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198120</wp:posOffset>
            </wp:positionH>
            <wp:positionV relativeFrom="page">
              <wp:posOffset>271780</wp:posOffset>
            </wp:positionV>
            <wp:extent cx="71526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3683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526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60" w:lineRule="exact"/>
        <w:rPr>
          <w:sz w:val="24"/>
          <w:szCs w:val="24"/>
          <w:color w:val="auto"/>
        </w:rPr>
      </w:pPr>
    </w:p>
    <w:p>
      <w:pPr>
        <w:ind w:left="4960"/>
        <w:spacing w:after="0"/>
        <w:rPr>
          <w:sz w:val="20"/>
          <w:szCs w:val="20"/>
          <w:color w:val="auto"/>
        </w:rPr>
      </w:pPr>
      <w:r>
        <w:rPr>
          <w:rFonts w:ascii="Arial" w:cs="Arial" w:eastAsia="Arial" w:hAnsi="Arial"/>
          <w:sz w:val="28"/>
          <w:szCs w:val="28"/>
          <w:b w:val="1"/>
          <w:bCs w:val="1"/>
          <w:color w:val="auto"/>
        </w:rPr>
        <w:t>FORM 6-K</w:t>
      </w:r>
    </w:p>
    <w:p>
      <w:pPr>
        <w:spacing w:after="0" w:line="218"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Report of Foreign Private Issuer</w:t>
      </w:r>
    </w:p>
    <w:p>
      <w:pPr>
        <w:jc w:val="center"/>
        <w:ind w:right="-1060"/>
        <w:spacing w:after="0"/>
        <w:rPr>
          <w:sz w:val="20"/>
          <w:szCs w:val="20"/>
          <w:color w:val="auto"/>
        </w:rPr>
      </w:pPr>
      <w:r>
        <w:rPr>
          <w:rFonts w:ascii="Arial" w:cs="Arial" w:eastAsia="Arial" w:hAnsi="Arial"/>
          <w:sz w:val="14"/>
          <w:szCs w:val="14"/>
          <w:color w:val="auto"/>
        </w:rPr>
        <w:t>Pursuant to Rule 13a-16 or 15d-16 under the</w:t>
      </w:r>
    </w:p>
    <w:p>
      <w:pPr>
        <w:jc w:val="center"/>
        <w:ind w:right="-1100"/>
        <w:spacing w:after="0"/>
        <w:rPr>
          <w:sz w:val="20"/>
          <w:szCs w:val="20"/>
          <w:color w:val="auto"/>
        </w:rPr>
      </w:pPr>
      <w:r>
        <w:rPr>
          <w:rFonts w:ascii="Arial" w:cs="Arial" w:eastAsia="Arial" w:hAnsi="Arial"/>
          <w:sz w:val="14"/>
          <w:szCs w:val="14"/>
          <w:color w:val="auto"/>
        </w:rPr>
        <w:t>Securities Exchange Act of 1934</w:t>
      </w:r>
    </w:p>
    <w:p>
      <w:pPr>
        <w:spacing w:after="0" w:line="146"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For the month of February 2023</w:t>
      </w:r>
    </w:p>
    <w:p>
      <w:pPr>
        <w:spacing w:after="0" w:line="178"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Commission File Number: 001-14014</w:t>
      </w:r>
    </w:p>
    <w:p>
      <w:pPr>
        <w:spacing w:after="0" w:line="115" w:lineRule="exact"/>
        <w:rPr>
          <w:sz w:val="24"/>
          <w:szCs w:val="24"/>
          <w:color w:val="auto"/>
        </w:rPr>
      </w:pPr>
    </w:p>
    <w:p>
      <w:pPr>
        <w:ind w:left="4020"/>
        <w:spacing w:after="0"/>
        <w:rPr>
          <w:sz w:val="20"/>
          <w:szCs w:val="20"/>
          <w:color w:val="auto"/>
        </w:rPr>
      </w:pPr>
      <w:r>
        <w:rPr>
          <w:rFonts w:ascii="Arial" w:cs="Arial" w:eastAsia="Arial" w:hAnsi="Arial"/>
          <w:sz w:val="37"/>
          <w:szCs w:val="37"/>
          <w:b w:val="1"/>
          <w:bCs w:val="1"/>
          <w:color w:val="auto"/>
        </w:rPr>
        <w:t>CREDICORP LTD.</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(Translation of registrant’s name into English)</w:t>
      </w:r>
    </w:p>
    <w:p>
      <w:pPr>
        <w:spacing w:after="0" w:line="146"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Of our subsidiary</w:t>
      </w:r>
    </w:p>
    <w:p>
      <w:pPr>
        <w:spacing w:after="0" w:line="16"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Banco de Credito del Peru:</w:t>
      </w:r>
    </w:p>
    <w:p>
      <w:pPr>
        <w:jc w:val="center"/>
        <w:ind w:right="-1060"/>
        <w:spacing w:after="0"/>
        <w:rPr>
          <w:sz w:val="20"/>
          <w:szCs w:val="20"/>
          <w:color w:val="auto"/>
        </w:rPr>
      </w:pPr>
      <w:r>
        <w:rPr>
          <w:rFonts w:ascii="Arial" w:cs="Arial" w:eastAsia="Arial" w:hAnsi="Arial"/>
          <w:sz w:val="14"/>
          <w:szCs w:val="14"/>
          <w:b w:val="1"/>
          <w:bCs w:val="1"/>
          <w:color w:val="auto"/>
        </w:rPr>
        <w:t>Calle Centenario 156</w:t>
      </w:r>
    </w:p>
    <w:p>
      <w:pPr>
        <w:jc w:val="center"/>
        <w:ind w:right="-1060"/>
        <w:spacing w:after="0"/>
        <w:rPr>
          <w:sz w:val="20"/>
          <w:szCs w:val="20"/>
          <w:color w:val="auto"/>
        </w:rPr>
      </w:pPr>
      <w:r>
        <w:rPr>
          <w:rFonts w:ascii="Arial" w:cs="Arial" w:eastAsia="Arial" w:hAnsi="Arial"/>
          <w:sz w:val="14"/>
          <w:szCs w:val="14"/>
          <w:b w:val="1"/>
          <w:bCs w:val="1"/>
          <w:color w:val="auto"/>
        </w:rPr>
        <w:t>La Molina 15026</w:t>
      </w:r>
    </w:p>
    <w:p>
      <w:pPr>
        <w:jc w:val="center"/>
        <w:ind w:right="-1060"/>
        <w:spacing w:after="0"/>
        <w:rPr>
          <w:sz w:val="20"/>
          <w:szCs w:val="20"/>
          <w:color w:val="auto"/>
        </w:rPr>
      </w:pPr>
      <w:r>
        <w:rPr>
          <w:rFonts w:ascii="Arial" w:cs="Arial" w:eastAsia="Arial" w:hAnsi="Arial"/>
          <w:sz w:val="14"/>
          <w:szCs w:val="14"/>
          <w:b w:val="1"/>
          <w:bCs w:val="1"/>
          <w:color w:val="auto"/>
        </w:rPr>
        <w:t>Lima, Peru</w:t>
      </w:r>
    </w:p>
    <w:p>
      <w:pPr>
        <w:jc w:val="center"/>
        <w:ind w:right="-1100"/>
        <w:spacing w:after="0"/>
        <w:rPr>
          <w:sz w:val="20"/>
          <w:szCs w:val="20"/>
          <w:color w:val="auto"/>
        </w:rPr>
      </w:pPr>
      <w:r>
        <w:rPr>
          <w:rFonts w:ascii="Arial" w:cs="Arial" w:eastAsia="Arial" w:hAnsi="Arial"/>
          <w:sz w:val="14"/>
          <w:szCs w:val="14"/>
          <w:color w:val="auto"/>
        </w:rPr>
        <w:t>(Address of principal executive office)</w:t>
      </w:r>
    </w:p>
    <w:p>
      <w:pPr>
        <w:spacing w:after="0" w:line="162"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138" w:lineRule="exact"/>
        <w:rPr>
          <w:sz w:val="24"/>
          <w:szCs w:val="24"/>
          <w:color w:val="auto"/>
        </w:rPr>
      </w:pPr>
    </w:p>
    <w:p>
      <w:pPr>
        <w:ind w:left="4820"/>
        <w:spacing w:after="0" w:line="161" w:lineRule="exact"/>
        <w:rPr>
          <w:sz w:val="20"/>
          <w:szCs w:val="20"/>
          <w:color w:val="auto"/>
        </w:rPr>
      </w:pPr>
      <w:r>
        <w:rPr>
          <w:rFonts w:ascii="Arial" w:cs="Arial" w:eastAsia="Arial" w:hAnsi="Arial"/>
          <w:sz w:val="14"/>
          <w:szCs w:val="14"/>
          <w:color w:val="auto"/>
        </w:rPr>
        <w:t xml:space="preserve">Form 20-F </w:t>
      </w:r>
      <w:r>
        <w:rPr>
          <w:rFonts w:ascii="MS PGothic" w:cs="MS PGothic" w:eastAsia="MS PGothic" w:hAnsi="MS PGothic"/>
          <w:sz w:val="14"/>
          <w:szCs w:val="14"/>
          <w:color w:val="auto"/>
        </w:rPr>
        <w:t>☒</w:t>
      </w:r>
      <w:r>
        <w:rPr>
          <w:rFonts w:ascii="Arial" w:cs="Arial" w:eastAsia="Arial" w:hAnsi="Arial"/>
          <w:sz w:val="14"/>
          <w:szCs w:val="14"/>
          <w:color w:val="auto"/>
        </w:rPr>
        <w:t xml:space="preserve"> Form 40-F</w:t>
      </w:r>
      <w:r>
        <w:rPr>
          <w:rFonts w:ascii="MS PGothic" w:cs="MS PGothic" w:eastAsia="MS PGothic" w:hAnsi="MS PGothic"/>
          <w:sz w:val="14"/>
          <w:szCs w:val="14"/>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101(b)(1): ____</w:t>
      </w:r>
    </w:p>
    <w:p>
      <w:pPr>
        <w:spacing w:after="0" w:line="1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1526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71526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431165</wp:posOffset>
            </wp:positionV>
            <wp:extent cx="715264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139"/>
          </w:cols>
          <w:pgMar w:left="320" w:top="495" w:right="1440" w:bottom="1440" w:gutter="0" w:footer="0" w:header="0"/>
        </w:sectPr>
      </w:pPr>
    </w:p>
    <w:bookmarkStart w:id="1" w:name="page2"/>
    <w:bookmarkEnd w:id="1"/>
    <w:p>
      <w:pPr>
        <w:ind w:left="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161036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0360" cy="300355"/>
                    </a:xfrm>
                    <a:prstGeom prst="rect">
                      <a:avLst/>
                    </a:prstGeom>
                    <a:noFill/>
                  </pic:spPr>
                </pic:pic>
              </a:graphicData>
            </a:graphic>
          </wp:anchor>
        </w:drawing>
        <w:t>February 27, 2023</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4"/>
          <w:szCs w:val="14"/>
          <w:color w:val="auto"/>
        </w:rPr>
        <w:t>Securities and Exchange Commission - SEC</w:t>
      </w:r>
    </w:p>
    <w:p>
      <w:pPr>
        <w:ind w:left="8"/>
        <w:spacing w:after="0"/>
        <w:rPr>
          <w:sz w:val="20"/>
          <w:szCs w:val="20"/>
          <w:color w:val="auto"/>
        </w:rPr>
      </w:pPr>
      <w:r>
        <w:rPr>
          <w:rFonts w:ascii="Arial" w:cs="Arial" w:eastAsia="Arial" w:hAnsi="Arial"/>
          <w:sz w:val="14"/>
          <w:szCs w:val="14"/>
          <w:color w:val="auto"/>
        </w:rPr>
        <w:t>Re.: MATERIAL EVENT</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4"/>
          <w:szCs w:val="14"/>
          <w:color w:val="auto"/>
        </w:rPr>
        <w:t>Dear Sirs:</w:t>
      </w:r>
    </w:p>
    <w:p>
      <w:pPr>
        <w:spacing w:after="0" w:line="162" w:lineRule="exact"/>
        <w:rPr>
          <w:sz w:val="20"/>
          <w:szCs w:val="20"/>
          <w:color w:val="auto"/>
        </w:rPr>
      </w:pPr>
    </w:p>
    <w:p>
      <w:pPr>
        <w:ind w:left="8" w:right="400"/>
        <w:spacing w:after="0" w:line="246" w:lineRule="auto"/>
        <w:rPr>
          <w:sz w:val="20"/>
          <w:szCs w:val="20"/>
          <w:color w:val="auto"/>
        </w:rPr>
      </w:pPr>
      <w:r>
        <w:rPr>
          <w:rFonts w:ascii="Arial" w:cs="Arial" w:eastAsia="Arial" w:hAnsi="Arial"/>
          <w:sz w:val="14"/>
          <w:szCs w:val="14"/>
          <w:color w:val="auto"/>
        </w:rPr>
        <w:t>Credicorp Ltd. (‘Credicorp’) notifies you, as a Material Event, that in its session held on February 23, 2023, the company’s Board of Directors agreed unanimously on the following matters:</w:t>
      </w:r>
    </w:p>
    <w:p>
      <w:pPr>
        <w:spacing w:after="0" w:line="154" w:lineRule="exact"/>
        <w:rPr>
          <w:sz w:val="20"/>
          <w:szCs w:val="20"/>
          <w:color w:val="auto"/>
        </w:rPr>
      </w:pPr>
    </w:p>
    <w:p>
      <w:pPr>
        <w:ind w:left="268" w:right="400" w:hanging="268"/>
        <w:spacing w:after="0" w:line="246" w:lineRule="auto"/>
        <w:tabs>
          <w:tab w:leader="none" w:pos="268" w:val="left"/>
        </w:tabs>
        <w:numPr>
          <w:ilvl w:val="0"/>
          <w:numId w:val="1"/>
        </w:numPr>
        <w:rPr>
          <w:rFonts w:ascii="Arial" w:cs="Arial" w:eastAsia="Arial" w:hAnsi="Arial"/>
          <w:sz w:val="14"/>
          <w:szCs w:val="14"/>
          <w:color w:val="auto"/>
        </w:rPr>
      </w:pPr>
      <w:r>
        <w:rPr>
          <w:rFonts w:ascii="Arial" w:cs="Arial" w:eastAsia="Arial" w:hAnsi="Arial"/>
          <w:sz w:val="14"/>
          <w:szCs w:val="14"/>
          <w:color w:val="auto"/>
        </w:rPr>
        <w:t>Approved the Annual and Sustainability Report of Credicorp for the financial year ended December 31, 2022, that the Chairman will present at the Annual General Meeting of Shareholders on March 27, 2023, at 3:00 p. m. (Peru time) (the ‘AGM’).</w:t>
      </w:r>
    </w:p>
    <w:p>
      <w:pPr>
        <w:spacing w:after="0" w:line="200" w:lineRule="exact"/>
        <w:rPr>
          <w:rFonts w:ascii="Arial" w:cs="Arial" w:eastAsia="Arial" w:hAnsi="Arial"/>
          <w:sz w:val="14"/>
          <w:szCs w:val="14"/>
          <w:color w:val="auto"/>
        </w:rPr>
      </w:pPr>
    </w:p>
    <w:p>
      <w:pPr>
        <w:ind w:left="268" w:right="20" w:hanging="268"/>
        <w:spacing w:after="0" w:line="246" w:lineRule="auto"/>
        <w:tabs>
          <w:tab w:leader="none" w:pos="268" w:val="left"/>
        </w:tabs>
        <w:numPr>
          <w:ilvl w:val="0"/>
          <w:numId w:val="1"/>
        </w:numPr>
        <w:rPr>
          <w:rFonts w:ascii="Arial" w:cs="Arial" w:eastAsia="Arial" w:hAnsi="Arial"/>
          <w:sz w:val="14"/>
          <w:szCs w:val="14"/>
          <w:color w:val="auto"/>
        </w:rPr>
      </w:pPr>
      <w:r>
        <w:rPr>
          <w:rFonts w:ascii="Arial" w:cs="Arial" w:eastAsia="Arial" w:hAnsi="Arial"/>
          <w:sz w:val="14"/>
          <w:szCs w:val="14"/>
          <w:color w:val="auto"/>
        </w:rPr>
        <w:t>Approved the audited consolidated financial statements of Credicorp and its subsidiaries for the financial year ended December 31, 2022, including the report of the external auditors Gaveglio Aparicio y Asociados Sociedad de Responsabilidad Limitada, members of PricewaterhouseCoopers in Peru, that the Chairman will present at the AGM.</w:t>
      </w:r>
    </w:p>
    <w:p>
      <w:pPr>
        <w:spacing w:after="0" w:line="200" w:lineRule="exact"/>
        <w:rPr>
          <w:rFonts w:ascii="Arial" w:cs="Arial" w:eastAsia="Arial" w:hAnsi="Arial"/>
          <w:sz w:val="14"/>
          <w:szCs w:val="14"/>
          <w:color w:val="auto"/>
        </w:rPr>
      </w:pPr>
    </w:p>
    <w:p>
      <w:pPr>
        <w:ind w:left="268" w:right="700" w:hanging="268"/>
        <w:spacing w:after="0"/>
        <w:tabs>
          <w:tab w:leader="none" w:pos="268" w:val="left"/>
        </w:tabs>
        <w:numPr>
          <w:ilvl w:val="0"/>
          <w:numId w:val="1"/>
        </w:numPr>
        <w:rPr>
          <w:rFonts w:ascii="Arial" w:cs="Arial" w:eastAsia="Arial" w:hAnsi="Arial"/>
          <w:sz w:val="14"/>
          <w:szCs w:val="14"/>
          <w:color w:val="auto"/>
        </w:rPr>
      </w:pPr>
      <w:r>
        <w:rPr>
          <w:rFonts w:ascii="Arial" w:cs="Arial" w:eastAsia="Arial" w:hAnsi="Arial"/>
          <w:sz w:val="14"/>
          <w:szCs w:val="14"/>
          <w:color w:val="auto"/>
        </w:rPr>
        <w:t>Approved to present for approval to the AGM: (i) the list of proposed candidates that will hold office for the period 2023 – 2026, and (ii) their remuneration. The proposed candidates are:</w:t>
      </w: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Antonio Abruña Puyol</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Nuria Aliño Pérez</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María Teresa Aranzábal Harreguy</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Alexandre Gouvêa</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Patricia Lizárraga Guthertz</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Raimundo Morales Dasso</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Leslie Pierce Diez-Canseco</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Luis Romero Belismelis</w:t>
      </w:r>
    </w:p>
    <w:p>
      <w:pPr>
        <w:spacing w:after="0" w:line="11" w:lineRule="exact"/>
        <w:rPr>
          <w:rFonts w:ascii="Arial" w:cs="Arial" w:eastAsia="Arial" w:hAnsi="Arial"/>
          <w:sz w:val="14"/>
          <w:szCs w:val="14"/>
          <w:color w:val="auto"/>
        </w:rPr>
      </w:pPr>
    </w:p>
    <w:p>
      <w:pPr>
        <w:ind w:left="548" w:hanging="271"/>
        <w:spacing w:after="0"/>
        <w:tabs>
          <w:tab w:leader="none" w:pos="548" w:val="left"/>
        </w:tabs>
        <w:numPr>
          <w:ilvl w:val="1"/>
          <w:numId w:val="1"/>
        </w:numPr>
        <w:rPr>
          <w:rFonts w:ascii="Arial" w:cs="Arial" w:eastAsia="Arial" w:hAnsi="Arial"/>
          <w:sz w:val="14"/>
          <w:szCs w:val="14"/>
          <w:color w:val="auto"/>
        </w:rPr>
      </w:pPr>
      <w:r>
        <w:rPr>
          <w:rFonts w:ascii="Arial" w:cs="Arial" w:eastAsia="Arial" w:hAnsi="Arial"/>
          <w:sz w:val="14"/>
          <w:szCs w:val="14"/>
          <w:color w:val="auto"/>
        </w:rPr>
        <w:t>Pedro Rubio Feijóo</w:t>
      </w:r>
    </w:p>
    <w:p>
      <w:pPr>
        <w:spacing w:after="0" w:line="219" w:lineRule="exact"/>
        <w:rPr>
          <w:rFonts w:ascii="Arial" w:cs="Arial" w:eastAsia="Arial" w:hAnsi="Arial"/>
          <w:sz w:val="14"/>
          <w:szCs w:val="14"/>
          <w:color w:val="auto"/>
        </w:rPr>
      </w:pPr>
    </w:p>
    <w:p>
      <w:pPr>
        <w:jc w:val="both"/>
        <w:ind w:left="268" w:hanging="268"/>
        <w:spacing w:after="0" w:line="243" w:lineRule="auto"/>
        <w:tabs>
          <w:tab w:leader="none" w:pos="268" w:val="left"/>
        </w:tabs>
        <w:numPr>
          <w:ilvl w:val="0"/>
          <w:numId w:val="1"/>
        </w:numPr>
        <w:rPr>
          <w:rFonts w:ascii="Arial" w:cs="Arial" w:eastAsia="Arial" w:hAnsi="Arial"/>
          <w:sz w:val="14"/>
          <w:szCs w:val="14"/>
          <w:color w:val="auto"/>
        </w:rPr>
      </w:pPr>
      <w:r>
        <w:rPr>
          <w:rFonts w:ascii="Arial" w:cs="Arial" w:eastAsia="Arial" w:hAnsi="Arial"/>
          <w:sz w:val="14"/>
          <w:szCs w:val="14"/>
          <w:color w:val="auto"/>
        </w:rPr>
        <w:t>Agreed to recommend for consideration of the AGM (i) the appointment of Tanaka, Valdivia &amp; Asociados S. Civil de R.L., members of Ernst &amp; Young Global in Peru, as the external auditors of Credicorp and its subsidiaries for the financial year 2023, with the previous authorization of the Audit Committee; and (ii) the delegation of the power to set and approve fees for such audit services to the Board of Directors (for further delegation to the Audit Committee thereof).</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Documents mentioned above are available through the following hyperlink: </w:t>
      </w:r>
      <w:r>
        <w:rPr>
          <w:rFonts w:ascii="Arial" w:cs="Arial" w:eastAsia="Arial" w:hAnsi="Arial"/>
          <w:sz w:val="14"/>
          <w:szCs w:val="14"/>
          <w:u w:val="single" w:color="auto"/>
          <w:color w:val="auto"/>
        </w:rPr>
        <w:t>https://credicorp.gcs-web.com/annual-materials.</w:t>
      </w:r>
    </w:p>
    <w:p>
      <w:pPr>
        <w:spacing w:after="0" w:line="162" w:lineRule="exact"/>
        <w:rPr>
          <w:sz w:val="20"/>
          <w:szCs w:val="20"/>
          <w:color w:val="auto"/>
        </w:rPr>
      </w:pPr>
    </w:p>
    <w:p>
      <w:pPr>
        <w:jc w:val="both"/>
        <w:ind w:left="8"/>
        <w:spacing w:after="0" w:line="243" w:lineRule="auto"/>
        <w:rPr>
          <w:sz w:val="20"/>
          <w:szCs w:val="20"/>
          <w:color w:val="auto"/>
        </w:rPr>
      </w:pPr>
      <w:r>
        <w:rPr>
          <w:rFonts w:ascii="Arial" w:cs="Arial" w:eastAsia="Arial" w:hAnsi="Arial"/>
          <w:sz w:val="14"/>
          <w:szCs w:val="14"/>
          <w:color w:val="auto"/>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4"/>
          <w:szCs w:val="14"/>
          <w:color w:val="auto"/>
        </w:rPr>
        <w:t>Sincerely,</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4"/>
          <w:szCs w:val="14"/>
          <w:color w:val="auto"/>
        </w:rPr>
        <w:t>/s/ Miriam Böttger</w:t>
      </w:r>
    </w:p>
    <w:p>
      <w:pPr>
        <w:ind w:left="8"/>
        <w:spacing w:after="0"/>
        <w:rPr>
          <w:sz w:val="20"/>
          <w:szCs w:val="20"/>
          <w:color w:val="auto"/>
        </w:rPr>
      </w:pPr>
      <w:r>
        <w:rPr>
          <w:rFonts w:ascii="Arial" w:cs="Arial" w:eastAsia="Arial" w:hAnsi="Arial"/>
          <w:sz w:val="14"/>
          <w:szCs w:val="14"/>
          <w:color w:val="auto"/>
        </w:rPr>
        <w:t>Authorized Representative</w:t>
      </w:r>
    </w:p>
    <w:p>
      <w:pPr>
        <w:ind w:left="8"/>
        <w:spacing w:after="0"/>
        <w:rPr>
          <w:sz w:val="20"/>
          <w:szCs w:val="20"/>
          <w:color w:val="auto"/>
        </w:rPr>
      </w:pPr>
      <w:r>
        <w:rPr>
          <w:rFonts w:ascii="Arial" w:cs="Arial" w:eastAsia="Arial" w:hAnsi="Arial"/>
          <w:sz w:val="14"/>
          <w:szCs w:val="14"/>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15264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833" w:right="3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4"/>
          <w:szCs w:val="14"/>
          <w:b w:val="1"/>
          <w:bCs w:val="1"/>
          <w:color w:val="auto"/>
        </w:rPr>
        <w:t>SIGNATURE</w:t>
      </w:r>
    </w:p>
    <w:p>
      <w:pPr>
        <w:spacing w:after="0" w:line="178" w:lineRule="exact"/>
        <w:rPr>
          <w:sz w:val="20"/>
          <w:szCs w:val="20"/>
          <w:color w:val="auto"/>
        </w:rPr>
      </w:pPr>
    </w:p>
    <w:p>
      <w:pPr>
        <w:ind w:firstLine="411"/>
        <w:spacing w:after="0" w:line="24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Date: February 27, 2023</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CREDICORP LTD.</w:t>
      </w:r>
    </w:p>
    <w:p>
      <w:pPr>
        <w:ind w:left="5620"/>
        <w:spacing w:after="0"/>
        <w:rPr>
          <w:sz w:val="20"/>
          <w:szCs w:val="20"/>
          <w:color w:val="auto"/>
        </w:rPr>
      </w:pPr>
      <w:r>
        <w:rPr>
          <w:rFonts w:ascii="Arial" w:cs="Arial" w:eastAsia="Arial" w:hAnsi="Arial"/>
          <w:sz w:val="14"/>
          <w:szCs w:val="14"/>
          <w:color w:val="auto"/>
        </w:rPr>
        <w:t>(Registrant)</w:t>
      </w:r>
    </w:p>
    <w:p>
      <w:pPr>
        <w:spacing w:after="0" w:line="162" w:lineRule="exact"/>
        <w:rPr>
          <w:sz w:val="20"/>
          <w:szCs w:val="20"/>
          <w:color w:val="auto"/>
        </w:rPr>
      </w:pPr>
    </w:p>
    <w:p>
      <w:pPr>
        <w:ind w:left="5620"/>
        <w:spacing w:after="0"/>
        <w:tabs>
          <w:tab w:leader="none" w:pos="59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Miriam Böttger</w:t>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-99695</wp:posOffset>
            </wp:positionV>
            <wp:extent cx="26498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9855" cy="762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4"/>
          <w:szCs w:val="14"/>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715264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5264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640" cy="29210"/>
                    </a:xfrm>
                    <a:prstGeom prst="rect">
                      <a:avLst/>
                    </a:prstGeom>
                    <a:noFill/>
                  </pic:spPr>
                </pic:pic>
              </a:graphicData>
            </a:graphic>
          </wp:anchor>
        </w:drawing>
        <w:t>Exhibit 99.1</w:t>
      </w:r>
    </w:p>
    <w:p>
      <w:pPr>
        <w:spacing w:after="0" w:line="147" w:lineRule="exact"/>
        <w:rPr>
          <w:sz w:val="20"/>
          <w:szCs w:val="20"/>
          <w:color w:val="auto"/>
        </w:rPr>
      </w:pPr>
    </w:p>
    <w:p>
      <w:pPr>
        <w:ind w:left="1860"/>
        <w:spacing w:after="0"/>
        <w:rPr>
          <w:sz w:val="20"/>
          <w:szCs w:val="20"/>
          <w:color w:val="auto"/>
        </w:rPr>
      </w:pPr>
      <w:r>
        <w:rPr>
          <w:rFonts w:ascii="Arial" w:cs="Arial" w:eastAsia="Arial" w:hAnsi="Arial"/>
          <w:sz w:val="37"/>
          <w:szCs w:val="37"/>
          <w:b w:val="1"/>
          <w:bCs w:val="1"/>
          <w:color w:val="auto"/>
        </w:rPr>
        <w:t>Annual and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139700</wp:posOffset>
            </wp:positionV>
            <wp:extent cx="161036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03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340"/>
        <w:spacing w:after="0"/>
        <w:rPr>
          <w:sz w:val="20"/>
          <w:szCs w:val="20"/>
          <w:color w:val="auto"/>
        </w:rPr>
      </w:pPr>
      <w:r>
        <w:rPr>
          <w:rFonts w:ascii="Arial" w:cs="Arial" w:eastAsia="Arial" w:hAnsi="Arial"/>
          <w:sz w:val="37"/>
          <w:szCs w:val="37"/>
          <w:b w:val="1"/>
          <w:bCs w:val="1"/>
          <w:color w:val="auto"/>
        </w:rPr>
        <w:t>2022</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29845</wp:posOffset>
            </wp:positionV>
            <wp:extent cx="715264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140"/>
          </w:cols>
          <w:pgMar w:left="1440" w:top="259" w:right="319" w:bottom="1440" w:gutter="0" w:footer="0" w:header="0"/>
        </w:sectPr>
      </w:pPr>
    </w:p>
    <w:bookmarkStart w:id="4" w:name="page5"/>
    <w:bookmarkEnd w:id="4"/>
    <w:p>
      <w:pPr>
        <w:spacing w:after="0"/>
        <w:rPr>
          <w:sz w:val="20"/>
          <w:szCs w:val="20"/>
          <w:color w:val="auto"/>
        </w:rPr>
      </w:pPr>
      <w:r>
        <w:rPr>
          <w:rFonts w:ascii="Arial" w:cs="Arial" w:eastAsia="Arial" w:hAnsi="Arial"/>
          <w:sz w:val="28"/>
          <w:szCs w:val="28"/>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15264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000EE"/>
              </w:rPr>
              <w:t>Letter from the Chairman of the Board</w:t>
            </w:r>
          </w:p>
        </w:tc>
        <w:tc>
          <w:tcPr>
            <w:tcW w:w="64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68"/>
        </w:trPr>
        <w:tc>
          <w:tcPr>
            <w:tcW w:w="2580" w:type="dxa"/>
            <w:vAlign w:val="bottom"/>
            <w:gridSpan w:val="10"/>
          </w:tcPr>
          <w:p>
            <w:pPr>
              <w:spacing w:after="0"/>
              <w:rPr>
                <w:sz w:val="20"/>
                <w:szCs w:val="20"/>
                <w:color w:val="auto"/>
              </w:rPr>
            </w:pPr>
            <w:r>
              <w:rPr>
                <w:rFonts w:ascii="Arial" w:cs="Arial" w:eastAsia="Arial" w:hAnsi="Arial"/>
                <w:sz w:val="15"/>
                <w:szCs w:val="15"/>
                <w:color w:val="0000EE"/>
              </w:rPr>
              <w:t>Our Purpose, Vision and Values</w:t>
            </w:r>
          </w:p>
        </w:tc>
        <w:tc>
          <w:tcPr>
            <w:tcW w:w="642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68"/>
        </w:trPr>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5"/>
                <w:szCs w:val="15"/>
                <w:color w:val="0000EE"/>
              </w:rPr>
              <w:t>Statement of responsibility</w:t>
            </w:r>
          </w:p>
        </w:tc>
        <w:tc>
          <w:tcPr>
            <w:tcW w:w="360" w:type="dxa"/>
            <w:vAlign w:val="bottom"/>
            <w:tcBorders>
              <w:top w:val="single" w:sz="8" w:color="0000EE"/>
            </w:tcBorders>
          </w:tcPr>
          <w:p>
            <w:pPr>
              <w:spacing w:after="0"/>
              <w:rPr>
                <w:sz w:val="23"/>
                <w:szCs w:val="23"/>
                <w:color w:val="auto"/>
              </w:rPr>
            </w:pPr>
          </w:p>
        </w:tc>
        <w:tc>
          <w:tcPr>
            <w:tcW w:w="420" w:type="dxa"/>
            <w:vAlign w:val="bottom"/>
            <w:gridSpan w:val="2"/>
          </w:tcPr>
          <w:p>
            <w:pPr>
              <w:spacing w:after="0"/>
              <w:rPr>
                <w:sz w:val="23"/>
                <w:szCs w:val="23"/>
                <w:color w:val="auto"/>
              </w:rPr>
            </w:pPr>
          </w:p>
        </w:tc>
        <w:tc>
          <w:tcPr>
            <w:tcW w:w="642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68"/>
        </w:trPr>
        <w:tc>
          <w:tcPr>
            <w:tcW w:w="146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color w:val="0000EE"/>
              </w:rPr>
              <w:t>Credicorp at a glance</w:t>
            </w:r>
          </w:p>
        </w:tc>
        <w:tc>
          <w:tcPr>
            <w:tcW w:w="1120" w:type="dxa"/>
            <w:vAlign w:val="bottom"/>
            <w:gridSpan w:val="6"/>
          </w:tcPr>
          <w:p>
            <w:pPr>
              <w:spacing w:after="0"/>
              <w:rPr>
                <w:sz w:val="23"/>
                <w:szCs w:val="23"/>
                <w:color w:val="auto"/>
              </w:rPr>
            </w:pPr>
          </w:p>
        </w:tc>
        <w:tc>
          <w:tcPr>
            <w:tcW w:w="642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68"/>
        </w:trPr>
        <w:tc>
          <w:tcPr>
            <w:tcW w:w="124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rPr>
              <w:t>Group Description</w:t>
            </w:r>
          </w:p>
        </w:tc>
        <w:tc>
          <w:tcPr>
            <w:tcW w:w="1340" w:type="dxa"/>
            <w:vAlign w:val="bottom"/>
            <w:gridSpan w:val="8"/>
          </w:tcPr>
          <w:p>
            <w:pPr>
              <w:spacing w:after="0"/>
              <w:rPr>
                <w:sz w:val="23"/>
                <w:szCs w:val="23"/>
                <w:color w:val="auto"/>
              </w:rPr>
            </w:pPr>
          </w:p>
        </w:tc>
        <w:tc>
          <w:tcPr>
            <w:tcW w:w="64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68"/>
        </w:trPr>
        <w:tc>
          <w:tcPr>
            <w:tcW w:w="2580" w:type="dxa"/>
            <w:vAlign w:val="bottom"/>
            <w:gridSpan w:val="10"/>
          </w:tcPr>
          <w:p>
            <w:pPr>
              <w:spacing w:after="0"/>
              <w:rPr>
                <w:sz w:val="20"/>
                <w:szCs w:val="20"/>
                <w:color w:val="auto"/>
              </w:rPr>
            </w:pPr>
            <w:r>
              <w:rPr>
                <w:rFonts w:ascii="Arial" w:cs="Arial" w:eastAsia="Arial" w:hAnsi="Arial"/>
                <w:sz w:val="15"/>
                <w:szCs w:val="15"/>
                <w:color w:val="0000EE"/>
              </w:rPr>
              <w:t>Our businesses in 2022</w:t>
            </w:r>
          </w:p>
        </w:tc>
        <w:tc>
          <w:tcPr>
            <w:tcW w:w="64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68"/>
        </w:trPr>
        <w:tc>
          <w:tcPr>
            <w:tcW w:w="15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5"/>
                <w:szCs w:val="15"/>
                <w:color w:val="0000EE"/>
              </w:rPr>
              <w:t>Economic Environment</w:t>
            </w:r>
          </w:p>
        </w:tc>
        <w:tc>
          <w:tcPr>
            <w:tcW w:w="20" w:type="dxa"/>
            <w:vAlign w:val="bottom"/>
            <w:tcBorders>
              <w:top w:val="single" w:sz="8" w:color="0000EE"/>
            </w:tcBorders>
          </w:tcPr>
          <w:p>
            <w:pPr>
              <w:spacing w:after="0"/>
              <w:rPr>
                <w:sz w:val="23"/>
                <w:szCs w:val="23"/>
                <w:color w:val="auto"/>
              </w:rPr>
            </w:pPr>
          </w:p>
        </w:tc>
        <w:tc>
          <w:tcPr>
            <w:tcW w:w="980" w:type="dxa"/>
            <w:vAlign w:val="bottom"/>
            <w:gridSpan w:val="4"/>
          </w:tcPr>
          <w:p>
            <w:pPr>
              <w:spacing w:after="0"/>
              <w:rPr>
                <w:sz w:val="23"/>
                <w:szCs w:val="23"/>
                <w:color w:val="auto"/>
              </w:rPr>
            </w:pPr>
          </w:p>
        </w:tc>
        <w:tc>
          <w:tcPr>
            <w:tcW w:w="64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68"/>
        </w:trPr>
        <w:tc>
          <w:tcPr>
            <w:tcW w:w="2580" w:type="dxa"/>
            <w:vAlign w:val="bottom"/>
            <w:gridSpan w:val="10"/>
          </w:tcPr>
          <w:p>
            <w:pPr>
              <w:spacing w:after="0"/>
              <w:rPr>
                <w:sz w:val="20"/>
                <w:szCs w:val="20"/>
                <w:color w:val="auto"/>
              </w:rPr>
            </w:pPr>
            <w:r>
              <w:rPr>
                <w:rFonts w:ascii="Arial" w:cs="Arial" w:eastAsia="Arial" w:hAnsi="Arial"/>
                <w:sz w:val="15"/>
                <w:szCs w:val="15"/>
                <w:color w:val="0000EE"/>
              </w:rPr>
              <w:t>Economic and Financial Performance</w:t>
            </w:r>
          </w:p>
        </w:tc>
        <w:tc>
          <w:tcPr>
            <w:tcW w:w="64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68"/>
        </w:trPr>
        <w:tc>
          <w:tcPr>
            <w:tcW w:w="12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5"/>
                <w:szCs w:val="15"/>
                <w:color w:val="0000EE"/>
              </w:rPr>
              <w:t>Risk Management</w:t>
            </w:r>
          </w:p>
        </w:tc>
        <w:tc>
          <w:tcPr>
            <w:tcW w:w="1300" w:type="dxa"/>
            <w:vAlign w:val="bottom"/>
            <w:tcBorders>
              <w:top w:val="single" w:sz="8" w:color="0000EE"/>
            </w:tcBorders>
            <w:gridSpan w:val="7"/>
          </w:tcPr>
          <w:p>
            <w:pPr>
              <w:spacing w:after="0"/>
              <w:rPr>
                <w:sz w:val="23"/>
                <w:szCs w:val="23"/>
                <w:color w:val="auto"/>
              </w:rPr>
            </w:pPr>
          </w:p>
        </w:tc>
        <w:tc>
          <w:tcPr>
            <w:tcW w:w="40" w:type="dxa"/>
            <w:vAlign w:val="bottom"/>
          </w:tcPr>
          <w:p>
            <w:pPr>
              <w:spacing w:after="0"/>
              <w:rPr>
                <w:sz w:val="23"/>
                <w:szCs w:val="23"/>
                <w:color w:val="auto"/>
              </w:rPr>
            </w:pPr>
          </w:p>
        </w:tc>
        <w:tc>
          <w:tcPr>
            <w:tcW w:w="64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68"/>
        </w:trPr>
        <w:tc>
          <w:tcPr>
            <w:tcW w:w="2580" w:type="dxa"/>
            <w:vAlign w:val="bottom"/>
            <w:gridSpan w:val="10"/>
          </w:tcPr>
          <w:p>
            <w:pPr>
              <w:spacing w:after="0"/>
              <w:rPr>
                <w:sz w:val="20"/>
                <w:szCs w:val="20"/>
                <w:color w:val="auto"/>
              </w:rPr>
            </w:pPr>
            <w:r>
              <w:rPr>
                <w:rFonts w:ascii="Arial" w:cs="Arial" w:eastAsia="Arial" w:hAnsi="Arial"/>
                <w:sz w:val="15"/>
                <w:szCs w:val="15"/>
                <w:color w:val="0000EE"/>
              </w:rPr>
              <w:t>Financial Statements</w:t>
            </w:r>
          </w:p>
        </w:tc>
        <w:tc>
          <w:tcPr>
            <w:tcW w:w="642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68"/>
        </w:trPr>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5"/>
                <w:szCs w:val="15"/>
                <w:color w:val="0000EE"/>
                <w:w w:val="99"/>
              </w:rPr>
              <w:t>Annexes</w:t>
            </w:r>
          </w:p>
        </w:tc>
        <w:tc>
          <w:tcPr>
            <w:tcW w:w="820" w:type="dxa"/>
            <w:vAlign w:val="bottom"/>
            <w:tcBorders>
              <w:top w:val="single" w:sz="8" w:color="0000EE"/>
            </w:tcBorders>
            <w:gridSpan w:val="2"/>
          </w:tcPr>
          <w:p>
            <w:pPr>
              <w:spacing w:after="0"/>
              <w:rPr>
                <w:sz w:val="23"/>
                <w:szCs w:val="23"/>
                <w:color w:val="auto"/>
              </w:rPr>
            </w:pPr>
          </w:p>
        </w:tc>
        <w:tc>
          <w:tcPr>
            <w:tcW w:w="1160" w:type="dxa"/>
            <w:vAlign w:val="bottom"/>
            <w:gridSpan w:val="7"/>
          </w:tcPr>
          <w:p>
            <w:pPr>
              <w:spacing w:after="0"/>
              <w:rPr>
                <w:sz w:val="23"/>
                <w:szCs w:val="23"/>
                <w:color w:val="auto"/>
              </w:rPr>
            </w:pPr>
          </w:p>
        </w:tc>
        <w:tc>
          <w:tcPr>
            <w:tcW w:w="6420" w:type="dxa"/>
            <w:vAlign w:val="bottom"/>
          </w:tcPr>
          <w:p>
            <w:pPr>
              <w:jc w:val="right"/>
              <w:spacing w:after="0"/>
              <w:rPr>
                <w:sz w:val="20"/>
                <w:szCs w:val="20"/>
                <w:color w:val="auto"/>
              </w:rPr>
            </w:pPr>
            <w:r>
              <w:rPr>
                <w:rFonts w:ascii="Arial" w:cs="Arial" w:eastAsia="Arial" w:hAnsi="Arial"/>
                <w:sz w:val="15"/>
                <w:szCs w:val="15"/>
                <w:color w:val="auto"/>
              </w:rPr>
              <w:t>57</w:t>
            </w:r>
          </w:p>
        </w:tc>
      </w:tr>
    </w:tbl>
    <w:p>
      <w:pPr>
        <w:spacing w:after="0" w:line="27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sectPr>
      </w:pPr>
    </w:p>
    <w:bookmarkStart w:id="5" w:name="page6"/>
    <w:bookmarkEnd w:id="5"/>
    <w:p>
      <w:pPr>
        <w:spacing w:after="0"/>
        <w:rPr>
          <w:sz w:val="20"/>
          <w:szCs w:val="20"/>
          <w:color w:val="auto"/>
        </w:rPr>
      </w:pPr>
      <w:r>
        <w:rPr>
          <w:rFonts w:ascii="Arial" w:cs="Arial" w:eastAsia="Arial" w:hAnsi="Arial"/>
          <w:sz w:val="28"/>
          <w:szCs w:val="28"/>
          <w:b w:val="1"/>
          <w:bCs w:val="1"/>
          <w:color w:val="auto"/>
        </w:rPr>
        <w:t>Letter from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526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2-22</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Dear shareholders, clients, employees and members of the communities we serve,</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It is my pleasure to present to you our Annual and Sustainability Report 2022, through which I share my reflections on our current context, the role we play at Credicorp, advances in executing each of our business’s strategies, and my perspectives for the future. I am proud of the progress we have made over the past few years. We place our purpose at the center of all of our decisions and seek to be agents of change to drive development and growth in the countries in which we operate.</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472C4"/>
        </w:rPr>
        <w:t>In a 2022 marked by challenges on the global and local fronts, we adapted and advanced in the process to execute our strategy.</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year 2022 evolved in a context of considerable volatility. At the global level, the Russian invasion of Ukraine and other geopolitical tensions led international prices for energy and food to climb. In response, many countries were embattled by high levels of inflation, and subsequently hardened their monetary policies. Additionally, in our region, government instability and heightened levels of confrontation between branches of Government in Peru; the shift to a left-wing government in Colombia; and uncertainty in Chile due to the constituent process, negatively impacted the trust of households and companies and pressured dynamics for economic growth.</w:t>
      </w:r>
    </w:p>
    <w:p>
      <w:pPr>
        <w:spacing w:after="0" w:line="33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Peruvian economy expanded 2.7% in 2022, supported by an uptick in private consumption, which was spurred by recovery of employment and loosening of restrictions on access to pension savings and severance indemnity accounts (CTS). This economic result unfurled despite political certainty and a deterioration in the terms of trade. Inflation in Metropolitan Lima stood at 8.5%, which was the highest print seen in the last 26 years. In this context, BCRP revised its reference rate upward from 2.5% to 7.5%. The exchange rate fell 4.3% over the period to close 2022 at S/3.81.</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It is important to note the economic performance of Bolivia, Colombia and Chile, where we operate. In 2022, the Bolivian economy grew 4%, which reflected a return to pre-pandemic activity levels; high prices for oil, natural gas and metals; as well as a policy to subsidize fuel and gas, which mitigated the impact of inflation. The Colombian economy expanded around 8%</w:t>
      </w:r>
      <w:r>
        <w:rPr>
          <w:rFonts w:ascii="Arial" w:cs="Arial" w:eastAsia="Arial" w:hAnsi="Arial"/>
          <w:sz w:val="15"/>
          <w:szCs w:val="15"/>
          <w:b w:val="1"/>
          <w:bCs w:val="1"/>
          <w:color w:val="auto"/>
        </w:rPr>
        <w:t>─</w:t>
      </w:r>
      <w:r>
        <w:rPr>
          <w:rFonts w:ascii="Arial" w:cs="Arial" w:eastAsia="Arial" w:hAnsi="Arial"/>
          <w:sz w:val="15"/>
          <w:szCs w:val="15"/>
          <w:color w:val="auto"/>
        </w:rPr>
        <w:t xml:space="preserve"> one of the world’s highest prints</w:t>
      </w:r>
      <w:r>
        <w:rPr>
          <w:rFonts w:ascii="Arial" w:cs="Arial" w:eastAsia="Arial" w:hAnsi="Arial"/>
          <w:sz w:val="15"/>
          <w:szCs w:val="15"/>
          <w:b w:val="1"/>
          <w:bCs w:val="1"/>
          <w:color w:val="auto"/>
        </w:rPr>
        <w:t>─</w:t>
      </w:r>
      <w:r>
        <w:rPr>
          <w:rFonts w:ascii="Arial" w:cs="Arial" w:eastAsia="Arial" w:hAnsi="Arial"/>
          <w:sz w:val="15"/>
          <w:szCs w:val="15"/>
          <w:color w:val="auto"/>
        </w:rPr>
        <w:t xml:space="preserve"> despite a context marked by a change in government. The economy was driven by favorable terms of trade and strong household consumption. Chile, in turn, experienced a deceleration in its economy, which grew 2.9%. This evolution was driven by a drop in private consumption and resilient investment, in a context in which copper prices remain high. Political uncertainty decreased after the new constitution was rejected in the referendum held in September.</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 am proud to say that, despite headwinds, Credicorp is firmly advancing toward achieving our objectives thanks to our employees’ attitudes and commitment and the solidness of our strategic focus. We identify and manage risks agilely, modulating our appetite in certain segments and sectors. In parallel, our client-centered approach allowed us to improve our value proposition and expand the client base, which sets the stage for future growth. Finally, we strengthened our relations with our investors and generated value for our stakeholders. Our leaders’ vast experience in managing businesses in volatile and uncertain environments, coupled with the talent of our employees, was a fundamental driver of our progress.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472C4"/>
        </w:rPr>
        <w:t>We are committed to our purpose and anticipate the needs of our stakeholders as we develop each of our businesses and generate resilient results.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a number of trends, whose evolution was accelerated by the pandemic, continued to progress rapidly alongside growth in stakeholder expectations regarding, in particular: the positive impact that our companies should generate; a rise in the appetite of new generations of talent for different forms of working; and accelerated changes in our clients’ needs, which requires on-going innovation.</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At Credicorp, we share the conviction that we have a responsibility to positively impact the communities in which we operate. This is the only way we can ensure our competitiveness and create long-term value. Accordingly, we drive initiatives on the Governance, Social and Environmental fronts through our businesses. In 2022, we continued to strengthen our Corporate Governance structure and trained our directors and employees in areas related to sustainability. On the Social front, we leveraged our competitive advantages to become a key facilitator in financial education and inclusion in the Andean region, by rolling out diverse initiatives at our subsidiaries. Last year, for example, we included more than 1.1 million Peruvians in the financial</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6" w:name="page7"/>
    <w:bookmarkEnd w:id="6"/>
    <w:p>
      <w:pPr>
        <w:jc w:val="both"/>
        <w:spacing w:after="0" w:line="246" w:lineRule="auto"/>
        <w:rPr>
          <w:sz w:val="20"/>
          <w:szCs w:val="20"/>
          <w:color w:val="auto"/>
        </w:rPr>
      </w:pPr>
      <w:r>
        <w:rPr>
          <w:rFonts w:ascii="Arial" w:cs="Arial" w:eastAsia="Arial" w:hAnsi="Arial"/>
          <w:sz w:val="15"/>
          <w:szCs w:val="15"/>
          <w:color w:val="auto"/>
        </w:rPr>
        <w:t>system through Yape and our financial education series, “El Quinto Piso,” topped 47 million views. Finally, on the Environmental front, we committed to achieving carbon neutrality at our own operations by 2032 and developed our ESG risk management framework, setting the bases to facilitate our clients’ transition to eco-sustainable models. In addition to the impact generated by our ESG initiatives, thanks to our operations in 2022, we distributed around S/2,127 million in tax revenues for governments and investments in communities.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Throughout the world, employees now expect benefits different from those that companies are accustomed to offering. These include more flexibility and job profiles that generate an impact. At Credicorp, we are determined to be “the best place for the best talent.” As such, we have been promoting a hybrid work model, where remote work strengthens the life balance and productivity, and have generated office spaces to drive our talent’s creativity and innovation. The hybrid model, which is here to stay, helps strengthen our employees’ ties to the company and enhances feeling of belonging and loyalty to the organization. This consequently increases their desire to continue developing our culture.</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Similar to our employees, our clients experience changes in their needs. They seek not only a better user experience, immediacy and personalization, but also demand more security. To meet these expectations, we are relying increasingly on technological capacities and data and analytics. We have been strengthening these aspects through our recruiting and training processes as we accelerate our pace of investment in transforming our businesses. Along these lines, we have progressed in our efforts to build more flexible and efficient architecture based on application program interfaces (APIs). We are conscious of the fact that our clients’ trust is one of our main assets and as such, have prioritized our cybersecurity. We educate our clients and create awareness of cyber risks and constantly train our employees; increase the robustness of our processes; and continuously implement new technologies to protect our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472C4"/>
        </w:rPr>
        <w:t>Developing each of our businesses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To accelerate our innovation strategy, at the beginning our 2022, we created a system of governance at the Credicorp level, led by the new role of Chief Innovation Officer. We defined our investment appetite for disruptive innovation and the domains in which we wish to participate. In the first stage, we invest mainly in domains such as payments, digital loans, neobanks, acquiring and added-value services for SMEs. We aspire to develop initiatives in Peru and in other countries in the region. With regard to the Krealo portfolio, our corporate venture capital center, growth in Tenpo in 2022 was noteworthy with more than 1 million new clients added. Additionally, Krealo incorporated 2 new ventures in its portfolio: Samishop in Peru, which strengthens the region’s ecosystem of the value-added services we offer SMEs, and Monokera in Colombia, whose objective is drive penetration of digital insurance in the region. Going forward, the initiatives in our innovation portfolio will begin to generate revenues.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Universal Banking, we are reaping the fruits of our businesses’ investments in digital transformation and maintain favorable perspectives.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BCP continued to focus on offering its clients and extraordinary experience while optimizing its operating efficiency. Our results on the transformation front have led our Net Promoter Score (NPS) for digital channels to rise 21 percentage points and our digital sales hit 61.4% (of total units sold) in Retail Banking. Thanks to our clients‘ trust, we consolidated our position as Peru’s transactional hub and participated in 47% of the total amount transacted in the banking system in the month of December. In 2023, we will leverage our data analytics capacities to continue evolving our segmentation and understanding or our clients’ behavior. We will design a differentiated value proposition for each segment with an eye on becoming the main bank of more Peruvians. We aspire to improve our NPS indicator to rank #1 for this indicator, which will strengthen our competitive position.</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Yape progressed considerably in its quest to become a super app and today has more than 11.5 million yaperos; 8 million active users; and more than 3 million affiliates that generate revenue. In 2022, Yape’s market share was around 25% of the mobile top-off market and the app has added the following to its digital payment functions: i) benefits, such as promotions or discounts at businesses, and ii) financial products, such as nano-loans and access to a low-ticket investment platform. These new functionalities, without a doubt, will help us drive the financial inclusion agenda. Yape’s objective is to achieve neutral cash flow in 2024.</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the Banco de Crédito de Bolivia, we made progress in our efforts to digitalize services. The number of transactions through digital channels rose 77% last year and we doubled the number of users of our mobile wallet SOLI, which stood at 442 thousand at year-end. We aspire to make SOLI the frontrunner in QR payments in Bolivia and aim to triple the number of users in 2023.</w:t>
      </w:r>
    </w:p>
    <w:p>
      <w:pPr>
        <w:spacing w:after="0" w:line="137"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b w:val="1"/>
          <w:bCs w:val="1"/>
          <w:color w:val="auto"/>
        </w:rPr>
        <w:t>In Microfinance, we consolidated our business recovery after the pandemic and evolved our business models in Peru and Colombia by optimizing experience, efficiency and growth.</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Mibanco Peru consolidated the hybrid model, which leverages Data Analytics and Technology to achieve a scheme for relations that efficiently brings us closer to our clients. We scaled the application of the centralized intelligence engine to assess loans; originate commercial offers; and step-up distribution through alternative channels. In 2022, 76% of disbursements were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7" w:name="page8"/>
    <w:bookmarkEnd w:id="7"/>
    <w:p>
      <w:pPr>
        <w:jc w:val="both"/>
        <w:spacing w:after="0" w:line="249" w:lineRule="auto"/>
        <w:rPr>
          <w:sz w:val="20"/>
          <w:szCs w:val="20"/>
          <w:color w:val="auto"/>
        </w:rPr>
      </w:pPr>
      <w:r>
        <w:rPr>
          <w:rFonts w:ascii="Arial" w:cs="Arial" w:eastAsia="Arial" w:hAnsi="Arial"/>
          <w:sz w:val="15"/>
          <w:szCs w:val="15"/>
          <w:color w:val="auto"/>
        </w:rPr>
        <w:t>generated through offers derived from the intelligence engine. The number of loans disbursed through alternative channels represented more than 45% of total loans. These advances, which went hand-in-hand with impeccable commercial execution, led to a significant improvement in the efficiency indicator, which stood at 51.3% at year-end. Going forward, we will strengthen our relations with our clients, backed by the power of new analytical and technological capacities.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Mibanco Colombia consolidated its traditional model, which is 100% based on relationship managers and branches. In addition to improvements in productivity, we have become a point of reference for loan risk management and have the lowest delinquency ratio of all microfinance players in Colombia. In parallel, we have set the bases to migrate to a hybrid model and in 2022, 60% of disbursements were generated through offers derived from the centralized intelligence engine. In the future, we aspire to consolidate the hybrid model that has been generating good results in Peru.</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Insurance and Pensions, we contribute to developing systems in which more Peruvians are interested in participating</w:t>
      </w:r>
      <w:r>
        <w:rPr>
          <w:rFonts w:ascii="Arial" w:cs="Arial" w:eastAsia="Arial" w:hAnsi="Arial"/>
          <w:sz w:val="15"/>
          <w:szCs w:val="15"/>
          <w:color w:val="auto"/>
        </w:rPr>
        <w:t>.</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At Pacífico, we have entered into alliances with different insurtechs to reduce our service times and consolidate our position as the insurer with the best Net Promoter Score in the market. Additionally, to protect the happiness of more people, we have expanded our offerings with a noteworthy increase in inclusive insurance: Tu Plata Segura, through Mibanco and Efectivo Protegido, through BCP Agentes. In 2023, we seek to be #1 in terms of growth, bolstered primarily by the bancassurance channel.</w:t>
      </w:r>
    </w:p>
    <w:p>
      <w:pPr>
        <w:spacing w:after="0" w:line="33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Prima AFP, we will continue to be proactive in collaborative efforts to develop proposals to reform the regulatory framework and create awareness programs. The objective is to evolve toward an inclusive and sustainable pension system, which continues to serve as a mechanism to channel savings to long-term investment and contributes to our economy’s growth.</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Finally, in the </w:t>
      </w:r>
      <w:r>
        <w:rPr>
          <w:rFonts w:ascii="Arial" w:cs="Arial" w:eastAsia="Arial" w:hAnsi="Arial"/>
          <w:sz w:val="15"/>
          <w:szCs w:val="15"/>
          <w:b w:val="1"/>
          <w:bCs w:val="1"/>
          <w:color w:val="auto"/>
        </w:rPr>
        <w:t>Investment Banking and Wealth Management business, we focus on responding to the challenges wrought by volatility in the region.</w:t>
      </w:r>
      <w:r>
        <w:rPr>
          <w:rFonts w:ascii="Arial" w:cs="Arial" w:eastAsia="Arial" w:hAnsi="Arial"/>
          <w:sz w:val="15"/>
          <w:szCs w:val="15"/>
          <w:color w:val="auto"/>
        </w:rPr>
        <w:t xml:space="preserve"> Currently, we are in the final stage of a comprehensive assessment of our strategy. We have identified key levers to reach our long-term profitability targets. We seek to focus on finding the right businesses to drive our growth in a new scenario in the region and in the face of new perspectives.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472C4"/>
        </w:rPr>
        <w:t>We generate resilient results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year 2022 was characterized by a normalization in our profitability level and l now say that we have consolidated our recovery post-pandemic. Net income after minority interests totaled S/. 4,633 million, which translated into an ROE of 16.7%.</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Banca Universal led the recovery, which was driven by Core Income at BCP and by Net Interest Income in particular. Microfinance also experienced substantial recovery in its profitability, which was fueled by favorable dynamics for Net Interest Income at Mibanco and linked to effective pricing practices and commercial execution. Insurance and Pensions returned to positive terrain, steered mainly by a decrease in claims in the Life insurance line at Pacífico Seguros. Investment Banking and Wealth Management, in turn, continued to face challenges and registered a drop in profitability, which was primarily attributable to a decrease in total assets under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Total loans rose 0.7%, which reflected an uptick in structural loans at BCP and Mibanco in a context of economic reactivation.</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terms of portfolio quality, the structural NPL ratio increased slightly (4.95% vs 4.86% at the end of 2021). This evolution was driven primarily by growth in refinanced loans. The government loan (GP) portfolio deteriorated but is backed by extremely broad coverage through State guarantees. On the provisions’ front, the impact of rising inflation on consumer behavior, along with our incursion in higher-risk profiles in the SME segment, led the portfolio’s cost of risk to increase 1.22%, as it moves toward pre-pandemic levels.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net interest margin rose 97 basis points with regard to 2021, impacted by repricing management in an environment of rising rates. The shift toward a higher-yield asset structure, and a competitive funding structure, contributed to this result.</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Other income rose 3.6% over the year, fueled by the positive evolution of Fee Income (+4.2%), where growth was buoyed by an increase in fees for banking services and by the Net gain on FX transactions (+17.5%). The Insurance Underwriting Result was in positive terrain at year-end, which reflects a normalization in claims in the Life insurance line at Pacífico Seguros.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15"/>
          <w:szCs w:val="15"/>
          <w:color w:val="auto"/>
        </w:rPr>
        <w:t>In the aforementioned context, operating income increased 15.1% in 2022. Operating expenses rose 11.4%, driven by a rebound in variable compensation due to an uptick in results and growth in the pace of investments in digital transformation. This led the efficiency ratio to stand at 44.4%.</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a matter of course, we prioritized responsible capital management at all of our subsidiaries. We maintained adequate solvency levels and distributed cash dividends equivalent to S/1,196.4 million soles.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472C4"/>
        </w:rPr>
        <w:t>Looking toward the future with optimism</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enter 2023 with favorable dynamics for emerging economies. China’s recent reopening and its decision to relax its “Covid-Zero” policies bolstered global growth and commodity prices. Inflation in the United States is subsiding, which has led the Fed to attenuate its hard line and alleviated pressure on emerging economies. At the beginning of the year, Peru suffered intense social upheaval, which led to the loss of valuable lives and severely damaged the interests of private companies and public infrastructure. We are monitoring progress on this front and maintain a moderate perspective for economic growth in Peru of 2.0%. Our economic estimates remain at 3.1% and 1.3% for Bolivia and Colombia respectively and we expect a slight contraction in Chile.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 am hopeful that the next general elections in Peru will bring the stability that we need to begin rebuilding a country in an environment of peace, democracy and inclusion. Our institutional framework and macroeconomic fundamentals, which allowed the country to register 14 consecutive years of reductions in poverty prior to the pandemic, remain intact. It is our hope that the authorities elected move to protect these fundamentals; prioritize solutions for problems in the ambits of health, education and poverty; and resume efforts to strengthen our institutions.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Private companies must assume responsibility and collaborate to find solutions to society’s problems. At Credicorp, we will accelerate the implementation of our agenda for financial inclusion and education, two factors linked to poverty reduction. By advancing inclusion, we help vulnerable people achieve greater security through savings, more possibilities to generate income, and higher levels of economic independence. We aspire to contribute to improving lives by accelerating the changes that our countries need.</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this time, I would like to express my sincere hope that violence ceases both in our country and the world. If we focus on strengthening human relations and seeking the common good for all citizens, we will no doubt advance in the direction toward peace and strengthened democracy. To this end, we promote values such as empathy, respect and equity, which we must strive to recover in our society.</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Finally, I would like to thank our clients and investors for the trust they have bestowed and our 36 thousand employees, whose proactivity, commitment and resilience have been fundamental. The financial results achieved, the progress we have made to achieving strategic objectives, and the positive impacts we have generated for our communities, validate, even in this challenging environment, that we are on the right path. We begin this new year on stronger competitive footing thanks to our focus on attracting and retaining the best talent; our bet on investing in developing top-tier technological capacities; and our commitment to integrating sustainability at the core of everything we do.</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I am enthusiastic about the opportunities that lie ahead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110490</wp:posOffset>
            </wp:positionV>
            <wp:extent cx="1171575" cy="607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157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Luis Enrique Romero Belismelis</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9" w:name="page10"/>
    <w:bookmarkEnd w:id="9"/>
    <w:p>
      <w:pPr>
        <w:spacing w:after="0"/>
        <w:rPr>
          <w:sz w:val="20"/>
          <w:szCs w:val="20"/>
          <w:color w:val="auto"/>
        </w:rPr>
      </w:pPr>
      <w:r>
        <w:rPr>
          <w:rFonts w:ascii="Arial" w:cs="Arial" w:eastAsia="Arial" w:hAnsi="Arial"/>
          <w:sz w:val="28"/>
          <w:szCs w:val="28"/>
          <w:b w:val="1"/>
          <w:bCs w:val="1"/>
          <w:color w:val="auto"/>
        </w:rPr>
        <w:t>Our Purpose, Vision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526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GRI </w:t>
      </w:r>
      <w:r>
        <w:rPr>
          <w:rFonts w:ascii="Arial" w:cs="Arial" w:eastAsia="Arial" w:hAnsi="Arial"/>
          <w:sz w:val="14"/>
          <w:szCs w:val="14"/>
          <w:i w:val="1"/>
          <w:iCs w:val="1"/>
          <w:color w:val="auto"/>
        </w:rPr>
        <w:t>2-23</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Contribute to improving lives by driving the changes that our countries need.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Vision</w:t>
      </w:r>
    </w:p>
    <w:p>
      <w:pPr>
        <w:spacing w:after="0" w:line="280"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To be a sustainable financial services leader in Latin America. We are purpose-led, future-oriented and focused on creating superior value for our employees, customers, shareholders and the countries we operate in.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Values</w:t>
      </w:r>
    </w:p>
    <w:p>
      <w:pPr>
        <w:spacing w:after="0" w:line="280" w:lineRule="exact"/>
        <w:rPr>
          <w:sz w:val="20"/>
          <w:szCs w:val="20"/>
          <w:color w:val="auto"/>
        </w:rPr>
      </w:pPr>
    </w:p>
    <w:p>
      <w:pPr>
        <w:ind w:left="540" w:hanging="271"/>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Respect</w:t>
      </w:r>
    </w:p>
    <w:p>
      <w:pPr>
        <w:ind w:left="540" w:hanging="271"/>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Fairness</w:t>
      </w:r>
    </w:p>
    <w:p>
      <w:pPr>
        <w:ind w:left="540" w:hanging="271"/>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Honesty</w:t>
      </w:r>
    </w:p>
    <w:p>
      <w:pPr>
        <w:ind w:left="540" w:hanging="271"/>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Sustainability</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10" w:name="page11"/>
    <w:bookmarkEnd w:id="10"/>
    <w:p>
      <w:pPr>
        <w:spacing w:after="0"/>
        <w:rPr>
          <w:sz w:val="20"/>
          <w:szCs w:val="20"/>
          <w:color w:val="auto"/>
        </w:rPr>
      </w:pPr>
      <w:r>
        <w:rPr>
          <w:rFonts w:ascii="Arial" w:cs="Arial" w:eastAsia="Arial" w:hAnsi="Arial"/>
          <w:sz w:val="28"/>
          <w:szCs w:val="28"/>
          <w:b w:val="1"/>
          <w:bCs w:val="1"/>
          <w:color w:val="auto"/>
        </w:rPr>
        <w:t>Statement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526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“This document contains truthful information regarding business developments at Credicorp Ltd. and Subsidiaries in 2022. The signatories shall be liable, within the ambit of their faculties according to the norms of the Civil Code, for damages that any lack of veracity or insufficiency that the contents of these documents may generate.”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209550</wp:posOffset>
            </wp:positionV>
            <wp:extent cx="2898775" cy="709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709930"/>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2940"/>
        <w:spacing w:after="0"/>
        <w:rPr>
          <w:sz w:val="20"/>
          <w:szCs w:val="20"/>
          <w:color w:val="auto"/>
        </w:rPr>
      </w:pPr>
      <w:r>
        <w:rPr>
          <w:rFonts w:ascii="Arial" w:cs="Arial" w:eastAsia="Arial" w:hAnsi="Arial"/>
          <w:sz w:val="15"/>
          <w:szCs w:val="15"/>
          <w:color w:val="auto"/>
        </w:rPr>
        <w:t>César Ríos Briceño</w:t>
      </w:r>
    </w:p>
    <w:p>
      <w:pPr>
        <w:jc w:val="center"/>
        <w:ind w:left="294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400"/>
        <w:spacing w:after="0"/>
        <w:rPr>
          <w:sz w:val="20"/>
          <w:szCs w:val="20"/>
          <w:color w:val="auto"/>
        </w:rPr>
      </w:pPr>
      <w:r>
        <w:rPr>
          <w:rFonts w:ascii="Arial" w:cs="Arial" w:eastAsia="Arial" w:hAnsi="Arial"/>
          <w:sz w:val="15"/>
          <w:szCs w:val="15"/>
          <w:color w:val="auto"/>
        </w:rPr>
        <w:t>José Luis Munoz Rivera</w:t>
      </w:r>
    </w:p>
    <w:p>
      <w:pPr>
        <w:jc w:val="center"/>
        <w:ind w:right="3420"/>
        <w:spacing w:after="0"/>
        <w:rPr>
          <w:sz w:val="20"/>
          <w:szCs w:val="20"/>
          <w:color w:val="auto"/>
        </w:rPr>
      </w:pPr>
      <w:r>
        <w:rPr>
          <w:rFonts w:ascii="Arial" w:cs="Arial" w:eastAsia="Arial" w:hAnsi="Arial"/>
          <w:sz w:val="15"/>
          <w:szCs w:val="15"/>
          <w:color w:val="auto"/>
        </w:rPr>
        <w:t>Head of Accounting</w:t>
      </w:r>
    </w:p>
    <w:p>
      <w:pPr>
        <w:jc w:val="center"/>
        <w:ind w:right="3420"/>
        <w:spacing w:after="0"/>
        <w:rPr>
          <w:sz w:val="20"/>
          <w:szCs w:val="20"/>
          <w:color w:val="auto"/>
        </w:rPr>
      </w:pPr>
      <w:r>
        <w:rPr>
          <w:rFonts w:ascii="Arial" w:cs="Arial" w:eastAsia="Arial" w:hAnsi="Arial"/>
          <w:sz w:val="15"/>
          <w:szCs w:val="15"/>
          <w:color w:val="auto"/>
        </w:rPr>
        <w:t>C.P.C. N° 14902</w:t>
      </w:r>
    </w:p>
    <w:p>
      <w:pPr>
        <w:spacing w:after="0" w:line="173" w:lineRule="exact"/>
        <w:rPr>
          <w:sz w:val="20"/>
          <w:szCs w:val="20"/>
          <w:color w:val="auto"/>
        </w:rPr>
      </w:pPr>
    </w:p>
    <w:p>
      <w:pPr>
        <w:sectPr>
          <w:pgSz w:w="11900" w:h="16838" w:orient="portrait"/>
          <w:cols w:equalWidth="0" w:num="2">
            <w:col w:w="5500" w:space="720"/>
            <w:col w:w="5040"/>
          </w:cols>
          <w:pgMar w:left="320" w:top="282" w:right="319" w:bottom="1440" w:gutter="0" w:footer="0" w:header="0"/>
          <w:type w:val="continuous"/>
        </w:sectPr>
      </w:pPr>
    </w:p>
    <w:p>
      <w:pPr>
        <w:spacing w:after="0"/>
        <w:rPr>
          <w:sz w:val="20"/>
          <w:szCs w:val="20"/>
          <w:color w:val="auto"/>
        </w:rPr>
      </w:pPr>
      <w:r>
        <w:rPr>
          <w:rFonts w:ascii="Arial" w:cs="Arial" w:eastAsia="Arial" w:hAnsi="Arial"/>
          <w:sz w:val="15"/>
          <w:szCs w:val="15"/>
          <w:color w:val="auto"/>
        </w:rPr>
        <w:t>23/02/2023</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7"/>
          <w:szCs w:val="27"/>
          <w:b w:val="1"/>
          <w:bCs w:val="1"/>
          <w:color w:val="auto"/>
        </w:rPr>
        <w:t>Credicorp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526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GRI </w:t>
      </w:r>
      <w:r>
        <w:rPr>
          <w:rFonts w:ascii="Arial" w:cs="Arial" w:eastAsia="Arial" w:hAnsi="Arial"/>
          <w:sz w:val="17"/>
          <w:szCs w:val="17"/>
          <w:i w:val="1"/>
          <w:iCs w:val="1"/>
          <w:color w:val="auto"/>
        </w:rPr>
        <w:t>2-1, 2-6</w:t>
      </w:r>
    </w:p>
    <w:p>
      <w:pPr>
        <w:sectPr>
          <w:pgSz w:w="11900" w:h="16838" w:orient="portrait"/>
          <w:cols w:equalWidth="0" w:num="1">
            <w:col w:w="11260"/>
          </w:cols>
          <w:pgMar w:left="320" w:top="455" w:right="31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we are?</w:t>
      </w:r>
    </w:p>
    <w:p>
      <w:pPr>
        <w:spacing w:after="0" w:line="348" w:lineRule="exact"/>
        <w:rPr>
          <w:sz w:val="20"/>
          <w:szCs w:val="20"/>
          <w:color w:val="auto"/>
        </w:rPr>
      </w:pPr>
    </w:p>
    <w:p>
      <w:pPr>
        <w:ind w:left="100"/>
        <w:spacing w:after="0" w:line="247" w:lineRule="auto"/>
        <w:rPr>
          <w:sz w:val="20"/>
          <w:szCs w:val="20"/>
          <w:color w:val="auto"/>
        </w:rPr>
      </w:pPr>
      <w:r>
        <w:rPr>
          <w:rFonts w:ascii="Arial" w:cs="Arial" w:eastAsia="Arial" w:hAnsi="Arial"/>
          <w:sz w:val="16"/>
          <w:szCs w:val="16"/>
          <w:b w:val="1"/>
          <w:bCs w:val="1"/>
          <w:color w:val="auto"/>
        </w:rPr>
        <w:t xml:space="preserve">We are Peru’s leading financial group </w:t>
      </w:r>
      <w:r>
        <w:rPr>
          <w:rFonts w:ascii="Arial" w:cs="Arial" w:eastAsia="Arial" w:hAnsi="Arial"/>
          <w:sz w:val="16"/>
          <w:szCs w:val="16"/>
          <w:color w:val="auto"/>
        </w:rPr>
        <w:t>with</w:t>
      </w:r>
      <w:r>
        <w:rPr>
          <w:rFonts w:ascii="Arial" w:cs="Arial" w:eastAsia="Arial" w:hAnsi="Arial"/>
          <w:sz w:val="16"/>
          <w:szCs w:val="16"/>
          <w:b w:val="1"/>
          <w:bCs w:val="1"/>
          <w:color w:val="auto"/>
        </w:rPr>
        <w:t xml:space="preserve"> </w:t>
      </w:r>
      <w:r>
        <w:rPr>
          <w:rFonts w:ascii="Arial" w:cs="Arial" w:eastAsia="Arial" w:hAnsi="Arial"/>
          <w:sz w:val="16"/>
          <w:szCs w:val="16"/>
          <w:color w:val="auto"/>
        </w:rPr>
        <w:t>over 132 years of experience in this market. We have a solid universal banking, insurance and pension platform that serves all segments of the Peruvian population, complemented by an important and growing presence in microfinance, investment banking, and wealth management in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2025015</wp:posOffset>
            </wp:positionV>
            <wp:extent cx="14274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7480" cy="762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99695</wp:posOffset>
            </wp:positionV>
            <wp:extent cx="1830070" cy="1639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0070" cy="1639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Income</w:t>
      </w:r>
      <w:r>
        <w:rPr>
          <w:rFonts w:ascii="Arial" w:cs="Arial" w:eastAsia="Arial" w:hAnsi="Arial"/>
          <w:sz w:val="35"/>
          <w:szCs w:val="35"/>
          <w:b w:val="1"/>
          <w:bCs w:val="1"/>
          <w:color w:val="auto"/>
          <w:vertAlign w:val="superscript"/>
        </w:rPr>
        <w:t>1</w:t>
      </w:r>
    </w:p>
    <w:p>
      <w:pPr>
        <w:spacing w:after="0" w:line="59" w:lineRule="exact"/>
        <w:rPr>
          <w:sz w:val="20"/>
          <w:szCs w:val="20"/>
          <w:color w:val="auto"/>
        </w:rPr>
      </w:pPr>
    </w:p>
    <w:p>
      <w:pPr>
        <w:spacing w:after="0"/>
        <w:rPr>
          <w:sz w:val="20"/>
          <w:szCs w:val="20"/>
          <w:color w:val="auto"/>
        </w:rPr>
      </w:pPr>
      <w:r>
        <w:rPr>
          <w:rFonts w:ascii="Arial" w:cs="Arial" w:eastAsia="Arial" w:hAnsi="Arial"/>
          <w:sz w:val="28"/>
          <w:szCs w:val="28"/>
          <w:color w:val="997EA4"/>
        </w:rPr>
        <w:t>S/ 17,570 million</w:t>
      </w:r>
    </w:p>
    <w:p>
      <w:pPr>
        <w:ind w:left="80" w:right="20"/>
        <w:spacing w:after="0" w:line="246" w:lineRule="auto"/>
        <w:rPr>
          <w:sz w:val="20"/>
          <w:szCs w:val="20"/>
          <w:color w:val="auto"/>
        </w:rPr>
      </w:pPr>
      <w:r>
        <w:rPr>
          <w:rFonts w:ascii="Arial" w:cs="Arial" w:eastAsia="Arial" w:hAnsi="Arial"/>
          <w:sz w:val="15"/>
          <w:szCs w:val="15"/>
          <w:color w:val="auto"/>
        </w:rPr>
        <w:t>Our income generation grew 20.2% in 2022, in line with the economic reactivation and a disciplined pricing management in an environment of higher interest rates.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Loan Portfolio</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28"/>
          <w:szCs w:val="28"/>
          <w:color w:val="997EA4"/>
        </w:rPr>
        <w:t>S/ 148,626 million</w:t>
      </w:r>
    </w:p>
    <w:p>
      <w:pPr>
        <w:spacing w:after="0" w:line="78" w:lineRule="exact"/>
        <w:rPr>
          <w:sz w:val="20"/>
          <w:szCs w:val="20"/>
          <w:color w:val="auto"/>
        </w:rPr>
      </w:pPr>
    </w:p>
    <w:p>
      <w:pPr>
        <w:ind w:left="80" w:right="40"/>
        <w:spacing w:after="0" w:line="258" w:lineRule="auto"/>
        <w:rPr>
          <w:sz w:val="20"/>
          <w:szCs w:val="20"/>
          <w:color w:val="auto"/>
        </w:rPr>
      </w:pPr>
      <w:r>
        <w:rPr>
          <w:rFonts w:ascii="Arial" w:cs="Arial" w:eastAsia="Arial" w:hAnsi="Arial"/>
          <w:sz w:val="15"/>
          <w:szCs w:val="15"/>
          <w:color w:val="auto"/>
        </w:rPr>
        <w:t>Its expansion was 0.7% in comparision to the level in 2021</w:t>
      </w:r>
    </w:p>
    <w:p>
      <w:pPr>
        <w:spacing w:after="0" w:line="124" w:lineRule="exact"/>
        <w:rPr>
          <w:sz w:val="20"/>
          <w:szCs w:val="20"/>
          <w:color w:val="auto"/>
        </w:rPr>
      </w:pPr>
    </w:p>
    <w:p>
      <w:pPr>
        <w:ind w:left="80" w:right="740"/>
        <w:spacing w:after="0" w:line="270" w:lineRule="auto"/>
        <w:rPr>
          <w:sz w:val="20"/>
          <w:szCs w:val="20"/>
          <w:color w:val="auto"/>
        </w:rPr>
      </w:pPr>
      <w:r>
        <w:rPr>
          <w:rFonts w:ascii="Arial" w:cs="Arial" w:eastAsia="Arial" w:hAnsi="Arial"/>
          <w:sz w:val="22"/>
          <w:szCs w:val="22"/>
          <w:b w:val="1"/>
          <w:bCs w:val="1"/>
          <w:color w:val="auto"/>
        </w:rPr>
        <w:t>Net Income (attributable to Credicorp)</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28"/>
          <w:szCs w:val="28"/>
          <w:color w:val="997EA4"/>
        </w:rPr>
        <w:t>S/ 4,633 million</w:t>
      </w:r>
    </w:p>
    <w:p>
      <w:pPr>
        <w:spacing w:after="0" w:line="78" w:lineRule="exact"/>
        <w:rPr>
          <w:sz w:val="20"/>
          <w:szCs w:val="20"/>
          <w:color w:val="auto"/>
        </w:rPr>
      </w:pPr>
    </w:p>
    <w:p>
      <w:pPr>
        <w:ind w:left="80"/>
        <w:spacing w:after="0" w:line="249" w:lineRule="auto"/>
        <w:rPr>
          <w:sz w:val="20"/>
          <w:szCs w:val="20"/>
          <w:color w:val="auto"/>
        </w:rPr>
      </w:pPr>
      <w:r>
        <w:rPr>
          <w:rFonts w:ascii="Arial" w:cs="Arial" w:eastAsia="Arial" w:hAnsi="Arial"/>
          <w:sz w:val="15"/>
          <w:szCs w:val="15"/>
          <w:color w:val="auto"/>
        </w:rPr>
        <w:t>In 2022, we recorded a profit above the S/ 3.585 million generated in 2021 and above pre-pandemic levels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Main subsidiaries</w:t>
            </w:r>
          </w:p>
        </w:tc>
        <w:tc>
          <w:tcPr>
            <w:tcW w:w="1840" w:type="dxa"/>
            <w:vAlign w:val="bottom"/>
          </w:tcPr>
          <w:p>
            <w:pPr>
              <w:jc w:val="center"/>
              <w:ind w:left="51"/>
              <w:spacing w:after="0"/>
              <w:rPr>
                <w:sz w:val="20"/>
                <w:szCs w:val="20"/>
                <w:color w:val="auto"/>
              </w:rPr>
            </w:pPr>
            <w:r>
              <w:rPr>
                <w:rFonts w:ascii="Arial" w:cs="Arial" w:eastAsia="Arial" w:hAnsi="Arial"/>
                <w:sz w:val="14"/>
                <w:szCs w:val="14"/>
                <w:b w:val="1"/>
                <w:bCs w:val="1"/>
                <w:color w:val="auto"/>
                <w:w w:val="94"/>
              </w:rPr>
              <w:t>Clients</w:t>
            </w:r>
            <w:r>
              <w:rPr>
                <w:rFonts w:ascii="Arial" w:cs="Arial" w:eastAsia="Arial" w:hAnsi="Arial"/>
                <w:sz w:val="23"/>
                <w:szCs w:val="23"/>
                <w:b w:val="1"/>
                <w:bCs w:val="1"/>
                <w:color w:val="auto"/>
                <w:w w:val="94"/>
                <w:vertAlign w:val="superscript"/>
              </w:rPr>
              <w:t>2</w:t>
            </w:r>
          </w:p>
        </w:tc>
      </w:tr>
      <w:tr>
        <w:trPr>
          <w:trHeight w:val="188"/>
        </w:trPr>
        <w:tc>
          <w:tcPr>
            <w:tcW w:w="164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4"/>
                <w:szCs w:val="14"/>
                <w:b w:val="1"/>
                <w:bCs w:val="1"/>
                <w:color w:val="auto"/>
              </w:rPr>
              <w:t>Peru</w:t>
            </w:r>
          </w:p>
        </w:tc>
        <w:tc>
          <w:tcPr>
            <w:tcW w:w="1840" w:type="dxa"/>
            <w:vAlign w:val="bottom"/>
            <w:tcBorders>
              <w:bottom w:val="single" w:sz="8" w:color="D9D9D9"/>
            </w:tcBorders>
            <w:shd w:val="clear" w:color="auto" w:fill="D9D9D9"/>
          </w:tcPr>
          <w:p>
            <w:pPr>
              <w:spacing w:after="0"/>
              <w:rPr>
                <w:sz w:val="16"/>
                <w:szCs w:val="16"/>
                <w:color w:val="auto"/>
              </w:rPr>
            </w:pPr>
          </w:p>
        </w:tc>
      </w:tr>
      <w:tr>
        <w:trPr>
          <w:trHeight w:val="167"/>
        </w:trPr>
        <w:tc>
          <w:tcPr>
            <w:tcW w:w="1640" w:type="dxa"/>
            <w:vAlign w:val="bottom"/>
          </w:tcPr>
          <w:p>
            <w:pPr>
              <w:ind w:left="80"/>
              <w:spacing w:after="0"/>
              <w:rPr>
                <w:sz w:val="20"/>
                <w:szCs w:val="20"/>
                <w:color w:val="auto"/>
              </w:rPr>
            </w:pPr>
            <w:r>
              <w:rPr>
                <w:rFonts w:ascii="Arial" w:cs="Arial" w:eastAsia="Arial" w:hAnsi="Arial"/>
                <w:sz w:val="14"/>
                <w:szCs w:val="14"/>
                <w:color w:val="auto"/>
              </w:rPr>
              <w:t>BCP</w:t>
            </w:r>
          </w:p>
        </w:tc>
        <w:tc>
          <w:tcPr>
            <w:tcW w:w="1840" w:type="dxa"/>
            <w:vAlign w:val="bottom"/>
          </w:tcPr>
          <w:p>
            <w:pPr>
              <w:jc w:val="center"/>
              <w:ind w:left="51"/>
              <w:spacing w:after="0"/>
              <w:rPr>
                <w:sz w:val="20"/>
                <w:szCs w:val="20"/>
                <w:color w:val="auto"/>
              </w:rPr>
            </w:pPr>
            <w:r>
              <w:rPr>
                <w:rFonts w:ascii="Arial" w:cs="Arial" w:eastAsia="Arial" w:hAnsi="Arial"/>
                <w:sz w:val="14"/>
                <w:szCs w:val="14"/>
                <w:color w:val="auto"/>
                <w:w w:val="98"/>
              </w:rPr>
              <w:t>Over 12 million</w:t>
            </w:r>
          </w:p>
        </w:tc>
      </w:tr>
      <w:tr>
        <w:trPr>
          <w:trHeight w:val="208"/>
        </w:trPr>
        <w:tc>
          <w:tcPr>
            <w:tcW w:w="1640" w:type="dxa"/>
            <w:vAlign w:val="bottom"/>
          </w:tcPr>
          <w:p>
            <w:pPr>
              <w:ind w:left="80"/>
              <w:spacing w:after="0"/>
              <w:rPr>
                <w:sz w:val="20"/>
                <w:szCs w:val="20"/>
                <w:color w:val="auto"/>
              </w:rPr>
            </w:pPr>
            <w:r>
              <w:rPr>
                <w:rFonts w:ascii="Arial" w:cs="Arial" w:eastAsia="Arial" w:hAnsi="Arial"/>
                <w:sz w:val="14"/>
                <w:szCs w:val="14"/>
                <w:color w:val="auto"/>
              </w:rPr>
              <w:t>Mibanco</w:t>
            </w:r>
          </w:p>
        </w:tc>
        <w:tc>
          <w:tcPr>
            <w:tcW w:w="1840" w:type="dxa"/>
            <w:vAlign w:val="bottom"/>
          </w:tcPr>
          <w:p>
            <w:pPr>
              <w:jc w:val="center"/>
              <w:ind w:left="51"/>
              <w:spacing w:after="0"/>
              <w:rPr>
                <w:sz w:val="20"/>
                <w:szCs w:val="20"/>
                <w:color w:val="auto"/>
              </w:rPr>
            </w:pPr>
            <w:r>
              <w:rPr>
                <w:rFonts w:ascii="Arial" w:cs="Arial" w:eastAsia="Arial" w:hAnsi="Arial"/>
                <w:sz w:val="14"/>
                <w:szCs w:val="14"/>
                <w:color w:val="auto"/>
                <w:w w:val="98"/>
              </w:rPr>
              <w:t>Over 1.5 million</w:t>
            </w:r>
          </w:p>
        </w:tc>
      </w:tr>
      <w:tr>
        <w:trPr>
          <w:trHeight w:val="208"/>
        </w:trPr>
        <w:tc>
          <w:tcPr>
            <w:tcW w:w="1640" w:type="dxa"/>
            <w:vAlign w:val="bottom"/>
          </w:tcPr>
          <w:p>
            <w:pPr>
              <w:ind w:left="80"/>
              <w:spacing w:after="0"/>
              <w:rPr>
                <w:sz w:val="20"/>
                <w:szCs w:val="20"/>
                <w:color w:val="auto"/>
              </w:rPr>
            </w:pPr>
            <w:r>
              <w:rPr>
                <w:rFonts w:ascii="Arial" w:cs="Arial" w:eastAsia="Arial" w:hAnsi="Arial"/>
                <w:sz w:val="14"/>
                <w:szCs w:val="14"/>
                <w:color w:val="auto"/>
              </w:rPr>
              <w:t>Pacífico</w:t>
            </w:r>
          </w:p>
        </w:tc>
        <w:tc>
          <w:tcPr>
            <w:tcW w:w="1840" w:type="dxa"/>
            <w:vAlign w:val="bottom"/>
          </w:tcPr>
          <w:p>
            <w:pPr>
              <w:jc w:val="center"/>
              <w:ind w:left="51"/>
              <w:spacing w:after="0"/>
              <w:rPr>
                <w:sz w:val="20"/>
                <w:szCs w:val="20"/>
                <w:color w:val="auto"/>
              </w:rPr>
            </w:pPr>
            <w:r>
              <w:rPr>
                <w:rFonts w:ascii="Arial" w:cs="Arial" w:eastAsia="Arial" w:hAnsi="Arial"/>
                <w:sz w:val="14"/>
                <w:szCs w:val="14"/>
                <w:color w:val="auto"/>
                <w:w w:val="98"/>
              </w:rPr>
              <w:t>Over 5.2 million</w:t>
            </w:r>
          </w:p>
        </w:tc>
      </w:tr>
      <w:tr>
        <w:trPr>
          <w:trHeight w:val="208"/>
        </w:trPr>
        <w:tc>
          <w:tcPr>
            <w:tcW w:w="1640" w:type="dxa"/>
            <w:vAlign w:val="bottom"/>
          </w:tcPr>
          <w:p>
            <w:pPr>
              <w:ind w:left="80"/>
              <w:spacing w:after="0"/>
              <w:rPr>
                <w:sz w:val="20"/>
                <w:szCs w:val="20"/>
                <w:color w:val="auto"/>
              </w:rPr>
            </w:pPr>
            <w:r>
              <w:rPr>
                <w:rFonts w:ascii="Arial" w:cs="Arial" w:eastAsia="Arial" w:hAnsi="Arial"/>
                <w:sz w:val="14"/>
                <w:szCs w:val="14"/>
                <w:color w:val="auto"/>
              </w:rPr>
              <w:t>Prima AFP</w:t>
            </w:r>
          </w:p>
        </w:tc>
        <w:tc>
          <w:tcPr>
            <w:tcW w:w="1840" w:type="dxa"/>
            <w:vAlign w:val="bottom"/>
          </w:tcPr>
          <w:p>
            <w:pPr>
              <w:jc w:val="center"/>
              <w:ind w:left="51"/>
              <w:spacing w:after="0"/>
              <w:rPr>
                <w:sz w:val="20"/>
                <w:szCs w:val="20"/>
                <w:color w:val="auto"/>
              </w:rPr>
            </w:pPr>
            <w:r>
              <w:rPr>
                <w:rFonts w:ascii="Arial" w:cs="Arial" w:eastAsia="Arial" w:hAnsi="Arial"/>
                <w:sz w:val="14"/>
                <w:szCs w:val="14"/>
                <w:color w:val="auto"/>
                <w:w w:val="98"/>
              </w:rPr>
              <w:t>Over 2.3 million</w:t>
            </w:r>
          </w:p>
        </w:tc>
      </w:tr>
      <w:tr>
        <w:trPr>
          <w:trHeight w:val="41"/>
        </w:trPr>
        <w:tc>
          <w:tcPr>
            <w:tcW w:w="16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188"/>
        </w:trPr>
        <w:tc>
          <w:tcPr>
            <w:tcW w:w="164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4"/>
                <w:szCs w:val="14"/>
                <w:b w:val="1"/>
                <w:bCs w:val="1"/>
                <w:color w:val="auto"/>
              </w:rPr>
              <w:t>Bolivia</w:t>
            </w:r>
          </w:p>
        </w:tc>
        <w:tc>
          <w:tcPr>
            <w:tcW w:w="1840" w:type="dxa"/>
            <w:vAlign w:val="bottom"/>
            <w:tcBorders>
              <w:bottom w:val="single" w:sz="8" w:color="D9D9D9"/>
            </w:tcBorders>
            <w:shd w:val="clear" w:color="auto" w:fill="D9D9D9"/>
          </w:tcPr>
          <w:p>
            <w:pPr>
              <w:spacing w:after="0"/>
              <w:rPr>
                <w:sz w:val="16"/>
                <w:szCs w:val="16"/>
                <w:color w:val="auto"/>
              </w:rPr>
            </w:pPr>
          </w:p>
        </w:tc>
      </w:tr>
      <w:tr>
        <w:trPr>
          <w:trHeight w:val="167"/>
        </w:trPr>
        <w:tc>
          <w:tcPr>
            <w:tcW w:w="1640" w:type="dxa"/>
            <w:vAlign w:val="bottom"/>
          </w:tcPr>
          <w:p>
            <w:pPr>
              <w:ind w:left="80"/>
              <w:spacing w:after="0"/>
              <w:rPr>
                <w:sz w:val="20"/>
                <w:szCs w:val="20"/>
                <w:color w:val="auto"/>
              </w:rPr>
            </w:pPr>
            <w:r>
              <w:rPr>
                <w:rFonts w:ascii="Arial" w:cs="Arial" w:eastAsia="Arial" w:hAnsi="Arial"/>
                <w:sz w:val="14"/>
                <w:szCs w:val="14"/>
                <w:color w:val="auto"/>
              </w:rPr>
              <w:t>BCP</w:t>
            </w:r>
          </w:p>
        </w:tc>
        <w:tc>
          <w:tcPr>
            <w:tcW w:w="1840" w:type="dxa"/>
            <w:vAlign w:val="bottom"/>
          </w:tcPr>
          <w:p>
            <w:pPr>
              <w:jc w:val="center"/>
              <w:ind w:left="31"/>
              <w:spacing w:after="0"/>
              <w:rPr>
                <w:sz w:val="20"/>
                <w:szCs w:val="20"/>
                <w:color w:val="auto"/>
              </w:rPr>
            </w:pPr>
            <w:r>
              <w:rPr>
                <w:rFonts w:ascii="Arial" w:cs="Arial" w:eastAsia="Arial" w:hAnsi="Arial"/>
                <w:sz w:val="14"/>
                <w:szCs w:val="14"/>
                <w:color w:val="auto"/>
                <w:w w:val="99"/>
              </w:rPr>
              <w:t>Over 700 thousand</w:t>
            </w:r>
          </w:p>
        </w:tc>
      </w:tr>
      <w:tr>
        <w:trPr>
          <w:trHeight w:val="41"/>
        </w:trPr>
        <w:tc>
          <w:tcPr>
            <w:tcW w:w="16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188"/>
        </w:trPr>
        <w:tc>
          <w:tcPr>
            <w:tcW w:w="164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4"/>
                <w:szCs w:val="14"/>
                <w:b w:val="1"/>
                <w:bCs w:val="1"/>
                <w:color w:val="auto"/>
              </w:rPr>
              <w:t>Colombia</w:t>
            </w:r>
          </w:p>
        </w:tc>
        <w:tc>
          <w:tcPr>
            <w:tcW w:w="1840" w:type="dxa"/>
            <w:vAlign w:val="bottom"/>
            <w:tcBorders>
              <w:bottom w:val="single" w:sz="8" w:color="D9D9D9"/>
            </w:tcBorders>
            <w:shd w:val="clear" w:color="auto" w:fill="D9D9D9"/>
          </w:tcPr>
          <w:p>
            <w:pPr>
              <w:spacing w:after="0"/>
              <w:rPr>
                <w:sz w:val="16"/>
                <w:szCs w:val="16"/>
                <w:color w:val="auto"/>
              </w:rPr>
            </w:pPr>
          </w:p>
        </w:tc>
      </w:tr>
      <w:tr>
        <w:trPr>
          <w:trHeight w:val="167"/>
        </w:trPr>
        <w:tc>
          <w:tcPr>
            <w:tcW w:w="1640" w:type="dxa"/>
            <w:vAlign w:val="bottom"/>
          </w:tcPr>
          <w:p>
            <w:pPr>
              <w:ind w:left="80"/>
              <w:spacing w:after="0"/>
              <w:rPr>
                <w:sz w:val="20"/>
                <w:szCs w:val="20"/>
                <w:color w:val="auto"/>
              </w:rPr>
            </w:pPr>
            <w:r>
              <w:rPr>
                <w:rFonts w:ascii="Arial" w:cs="Arial" w:eastAsia="Arial" w:hAnsi="Arial"/>
                <w:sz w:val="14"/>
                <w:szCs w:val="14"/>
                <w:color w:val="auto"/>
              </w:rPr>
              <w:t>Mibanco</w:t>
            </w:r>
          </w:p>
        </w:tc>
        <w:tc>
          <w:tcPr>
            <w:tcW w:w="1840" w:type="dxa"/>
            <w:vAlign w:val="bottom"/>
          </w:tcPr>
          <w:p>
            <w:pPr>
              <w:jc w:val="center"/>
              <w:ind w:left="31"/>
              <w:spacing w:after="0"/>
              <w:rPr>
                <w:sz w:val="20"/>
                <w:szCs w:val="20"/>
                <w:color w:val="auto"/>
              </w:rPr>
            </w:pPr>
            <w:r>
              <w:rPr>
                <w:rFonts w:ascii="Arial" w:cs="Arial" w:eastAsia="Arial" w:hAnsi="Arial"/>
                <w:sz w:val="14"/>
                <w:szCs w:val="14"/>
                <w:color w:val="auto"/>
                <w:w w:val="99"/>
              </w:rPr>
              <w:t>Over 400 thousand</w:t>
            </w:r>
          </w:p>
        </w:tc>
      </w:tr>
      <w:tr>
        <w:trPr>
          <w:trHeight w:val="41"/>
        </w:trPr>
        <w:tc>
          <w:tcPr>
            <w:tcW w:w="16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08"/>
        </w:trPr>
        <w:tc>
          <w:tcPr>
            <w:tcW w:w="1640" w:type="dxa"/>
            <w:vAlign w:val="bottom"/>
            <w:shd w:val="clear" w:color="auto" w:fill="D9D9D9"/>
          </w:tcPr>
          <w:p>
            <w:pPr>
              <w:ind w:left="80"/>
              <w:spacing w:after="0" w:line="208" w:lineRule="exact"/>
              <w:rPr>
                <w:sz w:val="20"/>
                <w:szCs w:val="20"/>
                <w:color w:val="auto"/>
              </w:rPr>
            </w:pPr>
            <w:r>
              <w:rPr>
                <w:rFonts w:ascii="Arial" w:cs="Arial" w:eastAsia="Arial" w:hAnsi="Arial"/>
                <w:sz w:val="14"/>
                <w:szCs w:val="14"/>
                <w:b w:val="1"/>
                <w:bCs w:val="1"/>
                <w:color w:val="auto"/>
              </w:rPr>
              <w:t>Regional</w:t>
            </w:r>
            <w:r>
              <w:rPr>
                <w:rFonts w:ascii="Arial" w:cs="Arial" w:eastAsia="Arial" w:hAnsi="Arial"/>
                <w:sz w:val="23"/>
                <w:szCs w:val="23"/>
                <w:b w:val="1"/>
                <w:bCs w:val="1"/>
                <w:color w:val="auto"/>
                <w:vertAlign w:val="superscript"/>
              </w:rPr>
              <w:t>3</w:t>
            </w:r>
          </w:p>
        </w:tc>
        <w:tc>
          <w:tcPr>
            <w:tcW w:w="1840" w:type="dxa"/>
            <w:vAlign w:val="bottom"/>
            <w:shd w:val="clear" w:color="auto" w:fill="D9D9D9"/>
          </w:tcPr>
          <w:p>
            <w:pPr>
              <w:spacing w:after="0"/>
              <w:rPr>
                <w:sz w:val="18"/>
                <w:szCs w:val="18"/>
                <w:color w:val="auto"/>
              </w:rPr>
            </w:pPr>
          </w:p>
        </w:tc>
      </w:tr>
      <w:tr>
        <w:trPr>
          <w:trHeight w:val="167"/>
        </w:trPr>
        <w:tc>
          <w:tcPr>
            <w:tcW w:w="1640" w:type="dxa"/>
            <w:vAlign w:val="bottom"/>
          </w:tcPr>
          <w:p>
            <w:pPr>
              <w:ind w:left="80"/>
              <w:spacing w:after="0"/>
              <w:rPr>
                <w:sz w:val="20"/>
                <w:szCs w:val="20"/>
                <w:color w:val="auto"/>
              </w:rPr>
            </w:pPr>
            <w:r>
              <w:rPr>
                <w:rFonts w:ascii="Arial" w:cs="Arial" w:eastAsia="Arial" w:hAnsi="Arial"/>
                <w:sz w:val="14"/>
                <w:szCs w:val="14"/>
                <w:color w:val="auto"/>
              </w:rPr>
              <w:t>Credicorp Capital</w:t>
            </w:r>
          </w:p>
        </w:tc>
        <w:tc>
          <w:tcPr>
            <w:tcW w:w="1840" w:type="dxa"/>
            <w:vAlign w:val="bottom"/>
          </w:tcPr>
          <w:p>
            <w:pPr>
              <w:jc w:val="center"/>
              <w:ind w:left="51"/>
              <w:spacing w:after="0"/>
              <w:rPr>
                <w:sz w:val="20"/>
                <w:szCs w:val="20"/>
                <w:color w:val="auto"/>
              </w:rPr>
            </w:pPr>
            <w:r>
              <w:rPr>
                <w:rFonts w:ascii="Arial" w:cs="Arial" w:eastAsia="Arial" w:hAnsi="Arial"/>
                <w:sz w:val="14"/>
                <w:szCs w:val="14"/>
                <w:color w:val="auto"/>
                <w:w w:val="99"/>
              </w:rPr>
              <w:t>N.D</w:t>
            </w:r>
          </w:p>
        </w:tc>
      </w:tr>
    </w:tbl>
    <w:p>
      <w:pPr>
        <w:spacing w:after="0" w:line="2229" w:lineRule="exact"/>
        <w:rPr>
          <w:sz w:val="20"/>
          <w:szCs w:val="20"/>
          <w:color w:val="auto"/>
        </w:rPr>
      </w:pPr>
    </w:p>
    <w:p>
      <w:pPr>
        <w:sectPr>
          <w:pgSz w:w="11900" w:h="16838" w:orient="portrait"/>
          <w:cols w:equalWidth="0" w:num="3">
            <w:col w:w="3540" w:space="60"/>
            <w:col w:w="3540" w:space="620"/>
            <w:col w:w="3500"/>
          </w:cols>
          <w:pgMar w:left="320" w:top="45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hanging="111"/>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net interest income, other income and net earned premiums less net claims.</w:t>
      </w:r>
    </w:p>
    <w:p>
      <w:pPr>
        <w:ind w:left="380" w:hanging="111"/>
        <w:spacing w:after="0" w:line="218"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A natural or legal person could be a client of more than one subsidiary</w:t>
      </w:r>
    </w:p>
    <w:p>
      <w:pPr>
        <w:ind w:left="380" w:hanging="111"/>
        <w:spacing w:after="0" w:line="218"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Peru, Colombia, Chile and Miami.</w:t>
      </w:r>
    </w:p>
    <w:p>
      <w:pPr>
        <w:ind w:left="380" w:hanging="111"/>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For more information about our employees, review chapter "3) Social - Employees" of the Sustainability Report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455" w:right="319" w:bottom="1440" w:gutter="0" w:footer="0" w:header="0"/>
          <w:type w:val="continuous"/>
        </w:sectPr>
      </w:pPr>
    </w:p>
    <w:bookmarkStart w:id="12" w:name="page13"/>
    <w:bookmarkEnd w:id="12"/>
    <w:p>
      <w:pPr>
        <w:ind w:left="8"/>
        <w:spacing w:after="0"/>
        <w:rPr>
          <w:sz w:val="20"/>
          <w:szCs w:val="20"/>
          <w:color w:val="auto"/>
        </w:rPr>
      </w:pPr>
      <w:r>
        <w:rPr>
          <w:rFonts w:ascii="Arial" w:cs="Arial" w:eastAsia="Arial" w:hAnsi="Arial"/>
          <w:sz w:val="22"/>
          <w:szCs w:val="22"/>
          <w:b w:val="1"/>
          <w:bCs w:val="1"/>
          <w:color w:val="auto"/>
        </w:rPr>
        <w:t>Relevant figures and indicators</w:t>
      </w:r>
    </w:p>
    <w:p>
      <w:pPr>
        <w:spacing w:after="0" w:line="178" w:lineRule="exact"/>
        <w:rPr>
          <w:sz w:val="20"/>
          <w:szCs w:val="20"/>
          <w:color w:val="auto"/>
        </w:rPr>
      </w:pPr>
    </w:p>
    <w:tbl>
      <w:tblPr>
        <w:tblLayout w:type="fixed"/>
        <w:tblInd w:w="18" w:type="dxa"/>
        <w:tblCellMar>
          <w:top w:w="0" w:type="dxa"/>
          <w:left w:w="0" w:type="dxa"/>
          <w:bottom w:w="0" w:type="dxa"/>
          <w:right w:w="0" w:type="dxa"/>
        </w:tblCellMar>
      </w:tblPr>
      <w:tr>
        <w:trPr>
          <w:trHeight w:val="271"/>
        </w:trPr>
        <w:tc>
          <w:tcPr>
            <w:tcW w:w="1360" w:type="dxa"/>
            <w:vAlign w:val="bottom"/>
            <w:tcBorders>
              <w:top w:val="single" w:sz="8" w:color="auto"/>
              <w:left w:val="single" w:sz="8" w:color="auto"/>
              <w:right w:val="single" w:sz="8" w:color="auto"/>
            </w:tcBorders>
            <w:shd w:val="clear" w:color="auto" w:fill="997EA4"/>
          </w:tcPr>
          <w:p>
            <w:pPr>
              <w:spacing w:after="0"/>
              <w:rPr>
                <w:sz w:val="23"/>
                <w:szCs w:val="23"/>
                <w:color w:val="auto"/>
              </w:rPr>
            </w:pPr>
          </w:p>
        </w:tc>
        <w:tc>
          <w:tcPr>
            <w:tcW w:w="4040" w:type="dxa"/>
            <w:vAlign w:val="bottom"/>
            <w:tcBorders>
              <w:top w:val="single" w:sz="8" w:color="auto"/>
              <w:right w:val="single" w:sz="8" w:color="auto"/>
            </w:tcBorders>
            <w:shd w:val="clear" w:color="auto" w:fill="997EA4"/>
          </w:tcPr>
          <w:p>
            <w:pPr>
              <w:ind w:left="120"/>
              <w:spacing w:after="0"/>
              <w:rPr>
                <w:sz w:val="20"/>
                <w:szCs w:val="20"/>
                <w:color w:val="auto"/>
              </w:rPr>
            </w:pPr>
            <w:r>
              <w:rPr>
                <w:rFonts w:ascii="Arial" w:cs="Arial" w:eastAsia="Arial" w:hAnsi="Arial"/>
                <w:sz w:val="14"/>
                <w:szCs w:val="14"/>
                <w:b w:val="1"/>
                <w:bCs w:val="1"/>
                <w:color w:val="FFFFFF"/>
              </w:rPr>
              <w:t>Ratios</w:t>
            </w:r>
          </w:p>
        </w:tc>
        <w:tc>
          <w:tcPr>
            <w:tcW w:w="900" w:type="dxa"/>
            <w:vAlign w:val="bottom"/>
            <w:tcBorders>
              <w:top w:val="single" w:sz="8" w:color="auto"/>
              <w:right w:val="single" w:sz="8" w:color="auto"/>
            </w:tcBorders>
            <w:shd w:val="clear" w:color="auto" w:fill="997EA4"/>
          </w:tcPr>
          <w:p>
            <w:pPr>
              <w:jc w:val="center"/>
              <w:spacing w:after="0"/>
              <w:rPr>
                <w:sz w:val="20"/>
                <w:szCs w:val="20"/>
                <w:color w:val="auto"/>
              </w:rPr>
            </w:pPr>
            <w:r>
              <w:rPr>
                <w:rFonts w:ascii="Arial" w:cs="Arial" w:eastAsia="Arial" w:hAnsi="Arial"/>
                <w:sz w:val="14"/>
                <w:szCs w:val="14"/>
                <w:b w:val="1"/>
                <w:bCs w:val="1"/>
                <w:color w:val="FFFFFF"/>
              </w:rPr>
              <w:t>2019</w:t>
            </w:r>
          </w:p>
        </w:tc>
        <w:tc>
          <w:tcPr>
            <w:tcW w:w="900" w:type="dxa"/>
            <w:vAlign w:val="bottom"/>
            <w:tcBorders>
              <w:top w:val="single" w:sz="8" w:color="auto"/>
              <w:right w:val="single" w:sz="8" w:color="auto"/>
            </w:tcBorders>
            <w:shd w:val="clear" w:color="auto" w:fill="997EA4"/>
          </w:tcPr>
          <w:p>
            <w:pPr>
              <w:jc w:val="center"/>
              <w:spacing w:after="0"/>
              <w:rPr>
                <w:sz w:val="20"/>
                <w:szCs w:val="20"/>
                <w:color w:val="auto"/>
              </w:rPr>
            </w:pPr>
            <w:r>
              <w:rPr>
                <w:rFonts w:ascii="Arial" w:cs="Arial" w:eastAsia="Arial" w:hAnsi="Arial"/>
                <w:sz w:val="14"/>
                <w:szCs w:val="14"/>
                <w:b w:val="1"/>
                <w:bCs w:val="1"/>
                <w:color w:val="FFFFFF"/>
              </w:rPr>
              <w:t>2020</w:t>
            </w:r>
          </w:p>
        </w:tc>
        <w:tc>
          <w:tcPr>
            <w:tcW w:w="900" w:type="dxa"/>
            <w:vAlign w:val="bottom"/>
            <w:tcBorders>
              <w:top w:val="single" w:sz="8" w:color="auto"/>
              <w:right w:val="single" w:sz="8" w:color="auto"/>
            </w:tcBorders>
            <w:shd w:val="clear" w:color="auto" w:fill="997EA4"/>
          </w:tcPr>
          <w:p>
            <w:pPr>
              <w:jc w:val="center"/>
              <w:spacing w:after="0"/>
              <w:rPr>
                <w:sz w:val="20"/>
                <w:szCs w:val="20"/>
                <w:color w:val="auto"/>
              </w:rPr>
            </w:pPr>
            <w:r>
              <w:rPr>
                <w:rFonts w:ascii="Arial" w:cs="Arial" w:eastAsia="Arial" w:hAnsi="Arial"/>
                <w:sz w:val="14"/>
                <w:szCs w:val="14"/>
                <w:b w:val="1"/>
                <w:bCs w:val="1"/>
                <w:color w:val="FFFFFF"/>
              </w:rPr>
              <w:t>2021</w:t>
            </w:r>
          </w:p>
        </w:tc>
        <w:tc>
          <w:tcPr>
            <w:tcW w:w="900" w:type="dxa"/>
            <w:vAlign w:val="bottom"/>
            <w:tcBorders>
              <w:top w:val="single" w:sz="8" w:color="auto"/>
              <w:right w:val="single" w:sz="8" w:color="auto"/>
            </w:tcBorders>
            <w:shd w:val="clear" w:color="auto" w:fill="997EA4"/>
          </w:tcPr>
          <w:p>
            <w:pPr>
              <w:jc w:val="center"/>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87"/>
        </w:trPr>
        <w:tc>
          <w:tcPr>
            <w:tcW w:w="1360" w:type="dxa"/>
            <w:vAlign w:val="bottom"/>
            <w:tcBorders>
              <w:left w:val="single" w:sz="8" w:color="auto"/>
              <w:bottom w:val="single" w:sz="8" w:color="auto"/>
              <w:right w:val="single" w:sz="8" w:color="auto"/>
            </w:tcBorders>
            <w:shd w:val="clear" w:color="auto" w:fill="997EA4"/>
          </w:tcPr>
          <w:p>
            <w:pPr>
              <w:spacing w:after="0"/>
              <w:rPr>
                <w:sz w:val="7"/>
                <w:szCs w:val="7"/>
                <w:color w:val="auto"/>
              </w:rPr>
            </w:pPr>
          </w:p>
        </w:tc>
        <w:tc>
          <w:tcPr>
            <w:tcW w:w="4040" w:type="dxa"/>
            <w:vAlign w:val="bottom"/>
            <w:tcBorders>
              <w:bottom w:val="single" w:sz="8" w:color="auto"/>
              <w:right w:val="single" w:sz="8" w:color="auto"/>
            </w:tcBorders>
            <w:shd w:val="clear" w:color="auto" w:fill="997EA4"/>
          </w:tcPr>
          <w:p>
            <w:pPr>
              <w:spacing w:after="0"/>
              <w:rPr>
                <w:sz w:val="7"/>
                <w:szCs w:val="7"/>
                <w:color w:val="auto"/>
              </w:rPr>
            </w:pPr>
          </w:p>
        </w:tc>
        <w:tc>
          <w:tcPr>
            <w:tcW w:w="900" w:type="dxa"/>
            <w:vAlign w:val="bottom"/>
            <w:tcBorders>
              <w:bottom w:val="single" w:sz="8" w:color="auto"/>
              <w:right w:val="single" w:sz="8" w:color="auto"/>
            </w:tcBorders>
            <w:shd w:val="clear" w:color="auto" w:fill="997EA4"/>
          </w:tcPr>
          <w:p>
            <w:pPr>
              <w:spacing w:after="0"/>
              <w:rPr>
                <w:sz w:val="7"/>
                <w:szCs w:val="7"/>
                <w:color w:val="auto"/>
              </w:rPr>
            </w:pPr>
          </w:p>
        </w:tc>
        <w:tc>
          <w:tcPr>
            <w:tcW w:w="900" w:type="dxa"/>
            <w:vAlign w:val="bottom"/>
            <w:tcBorders>
              <w:bottom w:val="single" w:sz="8" w:color="auto"/>
              <w:right w:val="single" w:sz="8" w:color="auto"/>
            </w:tcBorders>
            <w:shd w:val="clear" w:color="auto" w:fill="997EA4"/>
          </w:tcPr>
          <w:p>
            <w:pPr>
              <w:spacing w:after="0"/>
              <w:rPr>
                <w:sz w:val="7"/>
                <w:szCs w:val="7"/>
                <w:color w:val="auto"/>
              </w:rPr>
            </w:pPr>
          </w:p>
        </w:tc>
        <w:tc>
          <w:tcPr>
            <w:tcW w:w="900" w:type="dxa"/>
            <w:vAlign w:val="bottom"/>
            <w:tcBorders>
              <w:bottom w:val="single" w:sz="8" w:color="auto"/>
              <w:right w:val="single" w:sz="8" w:color="auto"/>
            </w:tcBorders>
            <w:shd w:val="clear" w:color="auto" w:fill="997EA4"/>
          </w:tcPr>
          <w:p>
            <w:pPr>
              <w:spacing w:after="0"/>
              <w:rPr>
                <w:sz w:val="7"/>
                <w:szCs w:val="7"/>
                <w:color w:val="auto"/>
              </w:rPr>
            </w:pPr>
          </w:p>
        </w:tc>
        <w:tc>
          <w:tcPr>
            <w:tcW w:w="900" w:type="dxa"/>
            <w:vAlign w:val="bottom"/>
            <w:tcBorders>
              <w:bottom w:val="single" w:sz="8" w:color="auto"/>
              <w:right w:val="single" w:sz="8" w:color="auto"/>
            </w:tcBorders>
            <w:shd w:val="clear" w:color="auto" w:fill="997EA4"/>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right w:val="single" w:sz="8" w:color="auto"/>
            </w:tcBorders>
          </w:tcPr>
          <w:p>
            <w:pPr>
              <w:spacing w:after="0"/>
              <w:rPr>
                <w:sz w:val="11"/>
                <w:szCs w:val="11"/>
                <w:color w:val="auto"/>
              </w:rPr>
            </w:pPr>
          </w:p>
        </w:tc>
        <w:tc>
          <w:tcPr>
            <w:tcW w:w="4040" w:type="dxa"/>
            <w:vAlign w:val="bottom"/>
            <w:tcBorders>
              <w:right w:val="single" w:sz="8" w:color="auto"/>
            </w:tcBorders>
          </w:tcPr>
          <w:p>
            <w:pPr>
              <w:ind w:left="120"/>
              <w:spacing w:after="0" w:line="127" w:lineRule="exact"/>
              <w:rPr>
                <w:sz w:val="20"/>
                <w:szCs w:val="20"/>
                <w:color w:val="auto"/>
              </w:rPr>
            </w:pPr>
            <w:r>
              <w:rPr>
                <w:rFonts w:ascii="Arial" w:cs="Arial" w:eastAsia="Arial" w:hAnsi="Arial"/>
                <w:sz w:val="14"/>
                <w:szCs w:val="14"/>
                <w:b w:val="1"/>
                <w:bCs w:val="1"/>
                <w:color w:val="auto"/>
              </w:rPr>
              <w:t>In local currency (%)</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9.2</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24.8</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13.5</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3"/>
        </w:trPr>
        <w:tc>
          <w:tcPr>
            <w:tcW w:w="136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2"/>
                <w:szCs w:val="12"/>
                <w:b w:val="1"/>
                <w:bCs w:val="1"/>
                <w:color w:val="auto"/>
              </w:rPr>
              <w:t>Loan growth</w:t>
            </w:r>
            <w:r>
              <w:rPr>
                <w:rFonts w:ascii="Arial" w:cs="Arial" w:eastAsia="Arial" w:hAnsi="Arial"/>
                <w:sz w:val="20"/>
                <w:szCs w:val="20"/>
                <w:b w:val="1"/>
                <w:bCs w:val="1"/>
                <w:color w:val="auto"/>
                <w:vertAlign w:val="superscript"/>
              </w:rPr>
              <w:t>1</w:t>
            </w:r>
          </w:p>
        </w:tc>
        <w:tc>
          <w:tcPr>
            <w:tcW w:w="4040" w:type="dxa"/>
            <w:vAlign w:val="bottom"/>
            <w:tcBorders>
              <w:right w:val="single" w:sz="8" w:color="auto"/>
            </w:tcBorders>
          </w:tcPr>
          <w:p>
            <w:pPr>
              <w:ind w:left="120"/>
              <w:spacing w:after="0" w:line="173" w:lineRule="exact"/>
              <w:rPr>
                <w:sz w:val="20"/>
                <w:szCs w:val="20"/>
                <w:color w:val="auto"/>
              </w:rPr>
            </w:pPr>
            <w:r>
              <w:rPr>
                <w:rFonts w:ascii="Arial" w:cs="Arial" w:eastAsia="Arial" w:hAnsi="Arial"/>
                <w:sz w:val="12"/>
                <w:szCs w:val="12"/>
                <w:b w:val="1"/>
                <w:bCs w:val="1"/>
                <w:color w:val="auto"/>
              </w:rPr>
              <w:t>In foreign currency (%)</w:t>
            </w:r>
            <w:r>
              <w:rPr>
                <w:rFonts w:ascii="Arial" w:cs="Arial" w:eastAsia="Arial" w:hAnsi="Arial"/>
                <w:sz w:val="20"/>
                <w:szCs w:val="20"/>
                <w:b w:val="1"/>
                <w:bCs w:val="1"/>
                <w:color w:val="auto"/>
                <w:vertAlign w:val="superscript"/>
              </w:rPr>
              <w:t>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40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Total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9"/>
        </w:trPr>
        <w:tc>
          <w:tcPr>
            <w:tcW w:w="1360" w:type="dxa"/>
            <w:vAlign w:val="bottom"/>
            <w:tcBorders>
              <w:left w:val="single" w:sz="8" w:color="auto"/>
              <w:right w:val="single" w:sz="8" w:color="auto"/>
            </w:tcBorders>
          </w:tcPr>
          <w:p>
            <w:pPr>
              <w:spacing w:after="0"/>
              <w:rPr>
                <w:sz w:val="12"/>
                <w:szCs w:val="12"/>
                <w:color w:val="auto"/>
              </w:rPr>
            </w:pPr>
          </w:p>
        </w:tc>
        <w:tc>
          <w:tcPr>
            <w:tcW w:w="4040" w:type="dxa"/>
            <w:vAlign w:val="bottom"/>
            <w:tcBorders>
              <w:right w:val="single" w:sz="8" w:color="auto"/>
            </w:tcBorders>
          </w:tcPr>
          <w:p>
            <w:pPr>
              <w:ind w:left="120"/>
              <w:spacing w:after="0" w:line="139" w:lineRule="exact"/>
              <w:rPr>
                <w:sz w:val="20"/>
                <w:szCs w:val="20"/>
                <w:color w:val="auto"/>
              </w:rPr>
            </w:pPr>
            <w:r>
              <w:rPr>
                <w:rFonts w:ascii="Arial" w:cs="Arial" w:eastAsia="Arial" w:hAnsi="Arial"/>
                <w:sz w:val="14"/>
                <w:szCs w:val="14"/>
                <w:b w:val="1"/>
                <w:bCs w:val="1"/>
                <w:color w:val="auto"/>
              </w:rPr>
              <w:t>Net interest margin (NIM, %)</w:t>
            </w:r>
          </w:p>
        </w:tc>
        <w:tc>
          <w:tcPr>
            <w:tcW w:w="9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5.4</w:t>
            </w:r>
          </w:p>
        </w:tc>
        <w:tc>
          <w:tcPr>
            <w:tcW w:w="9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4.3</w:t>
            </w:r>
          </w:p>
        </w:tc>
        <w:tc>
          <w:tcPr>
            <w:tcW w:w="9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4.1</w:t>
            </w:r>
          </w:p>
        </w:tc>
        <w:tc>
          <w:tcPr>
            <w:tcW w:w="9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Margins and</w:t>
            </w:r>
          </w:p>
        </w:tc>
        <w:tc>
          <w:tcPr>
            <w:tcW w:w="404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Cost of risk (%)</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Profitability</w:t>
            </w:r>
          </w:p>
        </w:tc>
        <w:tc>
          <w:tcPr>
            <w:tcW w:w="404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Return on average assets (ROAA, %)</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40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Return on average equity (ROAE,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9"/>
              </w:rPr>
              <w:t>Efficiency</w:t>
            </w:r>
          </w:p>
        </w:tc>
        <w:tc>
          <w:tcPr>
            <w:tcW w:w="404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1"/>
                <w:szCs w:val="11"/>
                <w:b w:val="1"/>
                <w:bCs w:val="1"/>
                <w:color w:val="auto"/>
              </w:rPr>
              <w:t xml:space="preserve">Efficiency ratio (%) </w:t>
            </w:r>
            <w:r>
              <w:rPr>
                <w:rFonts w:ascii="Arial" w:cs="Arial" w:eastAsia="Arial" w:hAnsi="Arial"/>
                <w:sz w:val="17"/>
                <w:szCs w:val="17"/>
                <w:b w:val="1"/>
                <w:bCs w:val="1"/>
                <w:color w:val="auto"/>
                <w:vertAlign w:val="superscript"/>
              </w:rPr>
              <w:t>2,3</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43.6</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46.3</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45.9</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Portfolio Quality</w:t>
            </w:r>
          </w:p>
        </w:tc>
        <w:tc>
          <w:tcPr>
            <w:tcW w:w="4040" w:type="dxa"/>
            <w:vAlign w:val="bottom"/>
            <w:tcBorders>
              <w:right w:val="single" w:sz="8" w:color="auto"/>
            </w:tcBorders>
          </w:tcPr>
          <w:p>
            <w:pPr>
              <w:ind w:left="120"/>
              <w:spacing w:after="0" w:line="127" w:lineRule="exact"/>
              <w:rPr>
                <w:sz w:val="20"/>
                <w:szCs w:val="20"/>
                <w:color w:val="auto"/>
              </w:rPr>
            </w:pPr>
            <w:r>
              <w:rPr>
                <w:rFonts w:ascii="Arial" w:cs="Arial" w:eastAsia="Arial" w:hAnsi="Arial"/>
                <w:sz w:val="9"/>
                <w:szCs w:val="9"/>
                <w:b w:val="1"/>
                <w:bCs w:val="1"/>
                <w:color w:val="auto"/>
              </w:rPr>
              <w:t xml:space="preserve">Internal overdue ratio (%) </w:t>
            </w:r>
            <w:r>
              <w:rPr>
                <w:rFonts w:ascii="Arial" w:cs="Arial" w:eastAsia="Arial" w:hAnsi="Arial"/>
                <w:sz w:val="14"/>
                <w:szCs w:val="14"/>
                <w:b w:val="1"/>
                <w:bCs w:val="1"/>
                <w:color w:val="auto"/>
                <w:vertAlign w:val="superscript"/>
              </w:rPr>
              <w:t>4</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2.9</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3.4</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3.8</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12"/>
        </w:trPr>
        <w:tc>
          <w:tcPr>
            <w:tcW w:w="1360" w:type="dxa"/>
            <w:vAlign w:val="bottom"/>
            <w:tcBorders>
              <w:left w:val="single" w:sz="8" w:color="auto"/>
              <w:right w:val="single" w:sz="8" w:color="auto"/>
            </w:tcBorders>
            <w:vMerge w:val="continue"/>
          </w:tcPr>
          <w:p>
            <w:pPr>
              <w:spacing w:after="0"/>
              <w:rPr>
                <w:sz w:val="9"/>
                <w:szCs w:val="9"/>
                <w:color w:val="auto"/>
              </w:rPr>
            </w:pPr>
          </w:p>
        </w:tc>
        <w:tc>
          <w:tcPr>
            <w:tcW w:w="4040" w:type="dxa"/>
            <w:vAlign w:val="bottom"/>
            <w:tcBorders>
              <w:right w:val="single" w:sz="8" w:color="auto"/>
            </w:tcBorders>
            <w:vMerge w:val="restart"/>
          </w:tcPr>
          <w:p>
            <w:pPr>
              <w:ind w:left="120"/>
              <w:spacing w:after="0" w:line="188" w:lineRule="exact"/>
              <w:rPr>
                <w:sz w:val="20"/>
                <w:szCs w:val="20"/>
                <w:color w:val="auto"/>
              </w:rPr>
            </w:pPr>
            <w:r>
              <w:rPr>
                <w:rFonts w:ascii="Arial" w:cs="Arial" w:eastAsia="Arial" w:hAnsi="Arial"/>
                <w:sz w:val="13"/>
                <w:szCs w:val="13"/>
                <w:b w:val="1"/>
                <w:bCs w:val="1"/>
                <w:color w:val="auto"/>
              </w:rPr>
              <w:t xml:space="preserve">NPL ratio (%) </w:t>
            </w:r>
            <w:r>
              <w:rPr>
                <w:rFonts w:ascii="Arial" w:cs="Arial" w:eastAsia="Arial" w:hAnsi="Arial"/>
                <w:sz w:val="21"/>
                <w:szCs w:val="21"/>
                <w:b w:val="1"/>
                <w:bCs w:val="1"/>
                <w:color w:val="auto"/>
                <w:vertAlign w:val="superscript"/>
              </w:rPr>
              <w:t>5</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3.9</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4.6</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5.0</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5"/>
        </w:trPr>
        <w:tc>
          <w:tcPr>
            <w:tcW w:w="1360" w:type="dxa"/>
            <w:vAlign w:val="bottom"/>
            <w:tcBorders>
              <w:left w:val="single" w:sz="8" w:color="auto"/>
              <w:bottom w:val="single" w:sz="8" w:color="auto"/>
              <w:right w:val="single" w:sz="8" w:color="auto"/>
            </w:tcBorders>
          </w:tcPr>
          <w:p>
            <w:pPr>
              <w:spacing w:after="0"/>
              <w:rPr>
                <w:sz w:val="6"/>
                <w:szCs w:val="6"/>
                <w:color w:val="auto"/>
              </w:rPr>
            </w:pPr>
          </w:p>
        </w:tc>
        <w:tc>
          <w:tcPr>
            <w:tcW w:w="404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right w:val="single" w:sz="8" w:color="auto"/>
            </w:tcBorders>
          </w:tcPr>
          <w:p>
            <w:pPr>
              <w:spacing w:after="0"/>
              <w:rPr>
                <w:sz w:val="11"/>
                <w:szCs w:val="11"/>
                <w:color w:val="auto"/>
              </w:rPr>
            </w:pPr>
          </w:p>
        </w:tc>
        <w:tc>
          <w:tcPr>
            <w:tcW w:w="4040" w:type="dxa"/>
            <w:vAlign w:val="bottom"/>
            <w:tcBorders>
              <w:right w:val="single" w:sz="8" w:color="auto"/>
            </w:tcBorders>
          </w:tcPr>
          <w:p>
            <w:pPr>
              <w:ind w:left="120"/>
              <w:spacing w:after="0" w:line="127" w:lineRule="exact"/>
              <w:rPr>
                <w:sz w:val="20"/>
                <w:szCs w:val="20"/>
                <w:color w:val="auto"/>
              </w:rPr>
            </w:pPr>
            <w:r>
              <w:rPr>
                <w:rFonts w:ascii="Arial" w:cs="Arial" w:eastAsia="Arial" w:hAnsi="Arial"/>
                <w:sz w:val="9"/>
                <w:szCs w:val="9"/>
                <w:b w:val="1"/>
                <w:bCs w:val="1"/>
                <w:color w:val="auto"/>
              </w:rPr>
              <w:t xml:space="preserve">BCP Global Capital ratio (%) </w:t>
            </w:r>
            <w:r>
              <w:rPr>
                <w:rFonts w:ascii="Arial" w:cs="Arial" w:eastAsia="Arial" w:hAnsi="Arial"/>
                <w:sz w:val="14"/>
                <w:szCs w:val="14"/>
                <w:b w:val="1"/>
                <w:bCs w:val="1"/>
                <w:color w:val="auto"/>
                <w:vertAlign w:val="superscript"/>
              </w:rPr>
              <w:t>6</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14.5</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14.9</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14.9</w:t>
            </w:r>
          </w:p>
        </w:tc>
        <w:tc>
          <w:tcPr>
            <w:tcW w:w="9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61"/>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Capital</w:t>
            </w:r>
            <w:r>
              <w:rPr>
                <w:rFonts w:ascii="Arial" w:cs="Arial" w:eastAsia="Arial" w:hAnsi="Arial"/>
                <w:sz w:val="23"/>
                <w:szCs w:val="23"/>
                <w:b w:val="1"/>
                <w:bCs w:val="1"/>
                <w:color w:val="auto"/>
                <w:w w:val="97"/>
                <w:vertAlign w:val="superscript"/>
              </w:rPr>
              <w:t>8</w:t>
            </w:r>
          </w:p>
        </w:tc>
        <w:tc>
          <w:tcPr>
            <w:tcW w:w="4040" w:type="dxa"/>
            <w:vAlign w:val="bottom"/>
            <w:tcBorders>
              <w:right w:val="single" w:sz="8" w:color="auto"/>
            </w:tcBorders>
          </w:tcPr>
          <w:p>
            <w:pPr>
              <w:ind w:left="120"/>
              <w:spacing w:after="0" w:line="162" w:lineRule="exact"/>
              <w:rPr>
                <w:sz w:val="20"/>
                <w:szCs w:val="20"/>
                <w:color w:val="auto"/>
              </w:rPr>
            </w:pPr>
            <w:r>
              <w:rPr>
                <w:rFonts w:ascii="Arial" w:cs="Arial" w:eastAsia="Arial" w:hAnsi="Arial"/>
                <w:sz w:val="11"/>
                <w:szCs w:val="11"/>
                <w:b w:val="1"/>
                <w:bCs w:val="1"/>
                <w:color w:val="auto"/>
              </w:rPr>
              <w:t xml:space="preserve">BCP Tier 1 ratio (%) </w:t>
            </w:r>
            <w:r>
              <w:rPr>
                <w:rFonts w:ascii="Arial" w:cs="Arial" w:eastAsia="Arial" w:hAnsi="Arial"/>
                <w:sz w:val="18"/>
                <w:szCs w:val="18"/>
                <w:b w:val="1"/>
                <w:bCs w:val="1"/>
                <w:color w:val="auto"/>
                <w:vertAlign w:val="superscript"/>
              </w:rPr>
              <w:t>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1"/>
        </w:trPr>
        <w:tc>
          <w:tcPr>
            <w:tcW w:w="1360" w:type="dxa"/>
            <w:vAlign w:val="bottom"/>
            <w:tcBorders>
              <w:left w:val="single" w:sz="8" w:color="auto"/>
              <w:right w:val="single" w:sz="8" w:color="auto"/>
            </w:tcBorders>
            <w:vMerge w:val="continue"/>
          </w:tcPr>
          <w:p>
            <w:pPr>
              <w:spacing w:after="0"/>
              <w:rPr>
                <w:sz w:val="14"/>
                <w:szCs w:val="14"/>
                <w:color w:val="auto"/>
              </w:rPr>
            </w:pPr>
          </w:p>
        </w:tc>
        <w:tc>
          <w:tcPr>
            <w:tcW w:w="4040" w:type="dxa"/>
            <w:vAlign w:val="bottom"/>
            <w:tcBorders>
              <w:right w:val="single" w:sz="8" w:color="auto"/>
            </w:tcBorders>
          </w:tcPr>
          <w:p>
            <w:pPr>
              <w:ind w:left="120"/>
              <w:spacing w:after="0" w:line="162" w:lineRule="exact"/>
              <w:rPr>
                <w:sz w:val="20"/>
                <w:szCs w:val="20"/>
                <w:color w:val="auto"/>
              </w:rPr>
            </w:pPr>
            <w:r>
              <w:rPr>
                <w:rFonts w:ascii="Arial" w:cs="Arial" w:eastAsia="Arial" w:hAnsi="Arial"/>
                <w:sz w:val="11"/>
                <w:szCs w:val="11"/>
                <w:b w:val="1"/>
                <w:bCs w:val="1"/>
                <w:color w:val="auto"/>
              </w:rPr>
              <w:t xml:space="preserve">BCP </w:t>
            </w:r>
            <w:r>
              <w:rPr>
                <w:rFonts w:ascii="Arial" w:cs="Arial" w:eastAsia="Arial" w:hAnsi="Arial"/>
                <w:sz w:val="11"/>
                <w:szCs w:val="11"/>
                <w:b w:val="1"/>
                <w:bCs w:val="1"/>
                <w:i w:val="1"/>
                <w:iCs w:val="1"/>
                <w:color w:val="auto"/>
              </w:rPr>
              <w:t>Common Equity</w:t>
            </w:r>
            <w:r>
              <w:rPr>
                <w:rFonts w:ascii="Arial" w:cs="Arial" w:eastAsia="Arial" w:hAnsi="Arial"/>
                <w:sz w:val="11"/>
                <w:szCs w:val="11"/>
                <w:b w:val="1"/>
                <w:bCs w:val="1"/>
                <w:color w:val="auto"/>
              </w:rPr>
              <w:t xml:space="preserve"> Tier 1 ratio (%) </w:t>
            </w:r>
            <w:r>
              <w:rPr>
                <w:rFonts w:ascii="Arial" w:cs="Arial" w:eastAsia="Arial" w:hAnsi="Arial"/>
                <w:sz w:val="18"/>
                <w:szCs w:val="18"/>
                <w:b w:val="1"/>
                <w:bCs w:val="1"/>
                <w:color w:val="auto"/>
                <w:vertAlign w:val="superscript"/>
              </w:rPr>
              <w:t>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8"/>
        </w:trPr>
        <w:tc>
          <w:tcPr>
            <w:tcW w:w="1360" w:type="dxa"/>
            <w:vAlign w:val="bottom"/>
            <w:tcBorders>
              <w:left w:val="single" w:sz="8" w:color="auto"/>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ind w:left="120"/>
              <w:spacing w:after="0" w:line="188"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13"/>
                <w:szCs w:val="13"/>
                <w:b w:val="1"/>
                <w:bCs w:val="1"/>
                <w:i w:val="1"/>
                <w:iCs w:val="1"/>
                <w:color w:val="auto"/>
              </w:rPr>
              <w:t>Common Equity</w:t>
            </w:r>
            <w:r>
              <w:rPr>
                <w:rFonts w:ascii="Arial" w:cs="Arial" w:eastAsia="Arial" w:hAnsi="Arial"/>
                <w:sz w:val="13"/>
                <w:szCs w:val="13"/>
                <w:b w:val="1"/>
                <w:bCs w:val="1"/>
                <w:color w:val="auto"/>
              </w:rPr>
              <w:t xml:space="preserve"> Tier 1 ratio (%) </w:t>
            </w:r>
            <w:r>
              <w:rPr>
                <w:rFonts w:ascii="Arial" w:cs="Arial" w:eastAsia="Arial" w:hAnsi="Arial"/>
                <w:sz w:val="21"/>
                <w:szCs w:val="21"/>
                <w:b w:val="1"/>
                <w:bCs w:val="1"/>
                <w:color w:val="auto"/>
                <w:vertAlign w:val="superscript"/>
              </w:rPr>
              <w:t>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45"/>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Employees</w:t>
            </w:r>
          </w:p>
        </w:tc>
        <w:tc>
          <w:tcPr>
            <w:tcW w:w="4040" w:type="dxa"/>
            <w:vAlign w:val="bottom"/>
            <w:tcBorders>
              <w:bottom w:val="single" w:sz="8" w:color="auto"/>
              <w:right w:val="single" w:sz="8" w:color="auto"/>
            </w:tcBorders>
          </w:tcPr>
          <w:p>
            <w:pPr>
              <w:ind w:left="120"/>
              <w:spacing w:after="0" w:line="245" w:lineRule="exact"/>
              <w:rPr>
                <w:sz w:val="20"/>
                <w:szCs w:val="20"/>
                <w:color w:val="auto"/>
              </w:rPr>
            </w:pPr>
            <w:r>
              <w:rPr>
                <w:rFonts w:ascii="Arial" w:cs="Arial" w:eastAsia="Arial" w:hAnsi="Arial"/>
                <w:sz w:val="14"/>
                <w:szCs w:val="14"/>
                <w:b w:val="1"/>
                <w:bCs w:val="1"/>
                <w:color w:val="auto"/>
              </w:rPr>
              <w:t>Permanent personnel (units)</w:t>
            </w:r>
            <w:r>
              <w:rPr>
                <w:rFonts w:ascii="Arial" w:cs="Arial" w:eastAsia="Arial" w:hAnsi="Arial"/>
                <w:sz w:val="23"/>
                <w:szCs w:val="23"/>
                <w:b w:val="1"/>
                <w:bCs w:val="1"/>
                <w:color w:val="auto"/>
                <w:vertAlign w:val="superscript"/>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34,918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36,806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36,396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36,968</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8"/>
              </w:rPr>
              <w:t>Shares</w:t>
            </w:r>
          </w:p>
        </w:tc>
        <w:tc>
          <w:tcPr>
            <w:tcW w:w="404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1"/>
                <w:szCs w:val="11"/>
                <w:b w:val="1"/>
                <w:bCs w:val="1"/>
                <w:color w:val="auto"/>
              </w:rPr>
              <w:t xml:space="preserve">Number of floating shares (millon) </w:t>
            </w:r>
            <w:r>
              <w:rPr>
                <w:rFonts w:ascii="Arial" w:cs="Arial" w:eastAsia="Arial" w:hAnsi="Arial"/>
                <w:sz w:val="17"/>
                <w:szCs w:val="17"/>
                <w:b w:val="1"/>
                <w:bCs w:val="1"/>
                <w:color w:val="auto"/>
                <w:vertAlign w:val="superscript"/>
              </w:rPr>
              <w:t>9</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6"/>
              </w:rPr>
              <w:t>79.51</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79.47</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79.53</w:t>
            </w:r>
          </w:p>
        </w:tc>
        <w:tc>
          <w:tcPr>
            <w:tcW w:w="9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79.53</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8" w:hanging="68"/>
        <w:spacing w:after="0"/>
        <w:tabs>
          <w:tab w:leader="none" w:pos="68"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Average daily balances.</w:t>
      </w:r>
    </w:p>
    <w:p>
      <w:pPr>
        <w:ind w:left="68" w:hanging="68"/>
        <w:spacing w:after="0" w:line="185" w:lineRule="auto"/>
        <w:tabs>
          <w:tab w:leader="none" w:pos="68" w:val="left"/>
        </w:tabs>
        <w:numPr>
          <w:ilvl w:val="0"/>
          <w:numId w:val="5"/>
        </w:numPr>
        <w:rPr>
          <w:rFonts w:ascii="Arial" w:cs="Arial" w:eastAsia="Arial" w:hAnsi="Arial"/>
          <w:sz w:val="13"/>
          <w:szCs w:val="13"/>
          <w:color w:val="auto"/>
          <w:vertAlign w:val="superscript"/>
        </w:rPr>
      </w:pPr>
      <w:r>
        <w:rPr>
          <w:rFonts w:ascii="Arial" w:cs="Arial" w:eastAsia="Arial" w:hAnsi="Arial"/>
          <w:sz w:val="8"/>
          <w:szCs w:val="8"/>
          <w:color w:val="auto"/>
        </w:rPr>
        <w:t>Figures differ from previously reported.</w:t>
      </w:r>
    </w:p>
    <w:p>
      <w:pPr>
        <w:spacing w:after="0" w:line="7" w:lineRule="exact"/>
        <w:rPr>
          <w:sz w:val="20"/>
          <w:szCs w:val="20"/>
          <w:color w:val="auto"/>
        </w:rPr>
      </w:pPr>
    </w:p>
    <w:p>
      <w:pPr>
        <w:ind w:left="8" w:hanging="8"/>
        <w:spacing w:after="0" w:line="185" w:lineRule="auto"/>
        <w:tabs>
          <w:tab w:leader="none" w:pos="82" w:val="left"/>
        </w:tabs>
        <w:numPr>
          <w:ilvl w:val="0"/>
          <w:numId w:val="6"/>
        </w:numPr>
        <w:rPr>
          <w:rFonts w:ascii="Arial" w:cs="Arial" w:eastAsia="Arial" w:hAnsi="Arial"/>
          <w:sz w:val="16"/>
          <w:szCs w:val="16"/>
          <w:color w:val="auto"/>
          <w:vertAlign w:val="superscript"/>
        </w:rPr>
      </w:pPr>
      <w:r>
        <w:rPr>
          <w:rFonts w:ascii="Arial" w:cs="Arial" w:eastAsia="Arial" w:hAnsi="Arial"/>
          <w:sz w:val="10"/>
          <w:szCs w:val="10"/>
          <w:color w:val="auto"/>
        </w:rPr>
        <w:t>Efficiency is calculated as: (salaries and employee benefits + administrative expenses + depreciation and amortization + association in partcipation + acquisition cost) / (net interest income + fee income + net gain on foreign exchange transactions + net earned premiums + net gain from associates + net gains on derivatives held for trading + net gain from exchange difference).</w:t>
      </w:r>
    </w:p>
    <w:p>
      <w:pPr>
        <w:ind w:left="8"/>
        <w:spacing w:after="0" w:line="185" w:lineRule="auto"/>
        <w:rPr>
          <w:rFonts w:ascii="Arial" w:cs="Arial" w:eastAsia="Arial" w:hAnsi="Arial"/>
          <w:sz w:val="16"/>
          <w:szCs w:val="16"/>
          <w:color w:val="auto"/>
          <w:vertAlign w:val="superscript"/>
        </w:rPr>
      </w:pPr>
      <w:r>
        <w:rPr>
          <w:rFonts w:ascii="Arial" w:cs="Arial" w:eastAsia="Arial" w:hAnsi="Arial"/>
          <w:sz w:val="13"/>
          <w:szCs w:val="13"/>
          <w:color w:val="auto"/>
          <w:vertAlign w:val="superscript"/>
        </w:rPr>
        <w:t>4</w:t>
      </w:r>
      <w:r>
        <w:rPr>
          <w:rFonts w:ascii="Arial" w:cs="Arial" w:eastAsia="Arial" w:hAnsi="Arial"/>
          <w:sz w:val="9"/>
          <w:szCs w:val="9"/>
          <w:color w:val="auto"/>
        </w:rPr>
        <w:t xml:space="preserve"> Internal overdue loans / total loans.</w:t>
      </w:r>
    </w:p>
    <w:p>
      <w:pPr>
        <w:ind w:left="8"/>
        <w:spacing w:after="0" w:line="185" w:lineRule="auto"/>
        <w:rPr>
          <w:rFonts w:ascii="Arial" w:cs="Arial" w:eastAsia="Arial" w:hAnsi="Arial"/>
          <w:sz w:val="16"/>
          <w:szCs w:val="16"/>
          <w:color w:val="auto"/>
          <w:vertAlign w:val="superscript"/>
        </w:rPr>
      </w:pPr>
      <w:r>
        <w:rPr>
          <w:rFonts w:ascii="Arial" w:cs="Arial" w:eastAsia="Arial" w:hAnsi="Arial"/>
          <w:sz w:val="13"/>
          <w:szCs w:val="13"/>
          <w:color w:val="auto"/>
          <w:vertAlign w:val="superscript"/>
        </w:rPr>
        <w:t>5</w:t>
      </w:r>
      <w:r>
        <w:rPr>
          <w:rFonts w:ascii="Arial" w:cs="Arial" w:eastAsia="Arial" w:hAnsi="Arial"/>
          <w:sz w:val="9"/>
          <w:szCs w:val="9"/>
          <w:color w:val="auto"/>
        </w:rPr>
        <w:t xml:space="preserve"> NPL (non-performing loans) = internal overdue loans + refinanced and restructured loans. NPL ratio = NPLs / total loans.</w:t>
      </w:r>
    </w:p>
    <w:p>
      <w:pPr>
        <w:ind w:left="8"/>
        <w:spacing w:after="0" w:line="185" w:lineRule="auto"/>
        <w:rPr>
          <w:rFonts w:ascii="Arial" w:cs="Arial" w:eastAsia="Arial" w:hAnsi="Arial"/>
          <w:sz w:val="16"/>
          <w:szCs w:val="16"/>
          <w:color w:val="auto"/>
          <w:vertAlign w:val="superscript"/>
        </w:rPr>
      </w:pPr>
      <w:r>
        <w:rPr>
          <w:rFonts w:ascii="Arial" w:cs="Arial" w:eastAsia="Arial" w:hAnsi="Arial"/>
          <w:sz w:val="13"/>
          <w:szCs w:val="13"/>
          <w:color w:val="auto"/>
          <w:vertAlign w:val="superscript"/>
        </w:rPr>
        <w:t>6</w:t>
      </w:r>
      <w:r>
        <w:rPr>
          <w:rFonts w:ascii="Arial" w:cs="Arial" w:eastAsia="Arial" w:hAnsi="Arial"/>
          <w:sz w:val="9"/>
          <w:szCs w:val="9"/>
          <w:color w:val="auto"/>
        </w:rPr>
        <w:t xml:space="preserve"> Regulatory Capital / Risk-weighted assets (legal minimum=10% since July 2011).</w:t>
      </w:r>
    </w:p>
    <w:p>
      <w:pPr>
        <w:ind w:left="8"/>
        <w:spacing w:after="0" w:line="185" w:lineRule="auto"/>
        <w:rPr>
          <w:rFonts w:ascii="Arial" w:cs="Arial" w:eastAsia="Arial" w:hAnsi="Arial"/>
          <w:sz w:val="16"/>
          <w:szCs w:val="16"/>
          <w:color w:val="auto"/>
          <w:vertAlign w:val="superscript"/>
        </w:rPr>
      </w:pPr>
      <w:r>
        <w:rPr>
          <w:rFonts w:ascii="Arial" w:cs="Arial" w:eastAsia="Arial" w:hAnsi="Arial"/>
          <w:sz w:val="13"/>
          <w:szCs w:val="13"/>
          <w:color w:val="auto"/>
          <w:vertAlign w:val="superscript"/>
        </w:rPr>
        <w:t>7</w:t>
      </w:r>
      <w:r>
        <w:rPr>
          <w:rFonts w:ascii="Arial" w:cs="Arial" w:eastAsia="Arial" w:hAnsi="Arial"/>
          <w:sz w:val="9"/>
          <w:szCs w:val="9"/>
          <w:color w:val="auto"/>
        </w:rPr>
        <w:t xml:space="preserve"> Tier 1 / Risk-weighted assets.</w:t>
      </w:r>
    </w:p>
    <w:p>
      <w:pPr>
        <w:ind w:left="8"/>
        <w:spacing w:after="0" w:line="185"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8</w:t>
      </w:r>
      <w:r>
        <w:rPr>
          <w:rFonts w:ascii="Arial" w:cs="Arial" w:eastAsia="Arial" w:hAnsi="Arial"/>
          <w:sz w:val="10"/>
          <w:szCs w:val="10"/>
          <w:color w:val="auto"/>
        </w:rPr>
        <w:t xml:space="preserve"> Common Equity Tier 1 Ratio = (Capital + Reserves - 100% of applicable deductions (investment in subsidiaries, goodwill, intangibles and deferred tax that rely on future profitability) + Retained Earnings + Unrealized gains or losses) / Risk-weighted assets. Based on NIIF.</w:t>
      </w:r>
    </w:p>
    <w:p>
      <w:pPr>
        <w:ind w:left="8"/>
        <w:spacing w:after="0"/>
        <w:rPr>
          <w:rFonts w:ascii="Arial" w:cs="Arial" w:eastAsia="Arial" w:hAnsi="Arial"/>
          <w:sz w:val="16"/>
          <w:szCs w:val="16"/>
          <w:color w:val="auto"/>
          <w:vertAlign w:val="superscript"/>
        </w:rPr>
      </w:pPr>
      <w:r>
        <w:rPr>
          <w:rFonts w:ascii="Arial" w:cs="Arial" w:eastAsia="Arial" w:hAnsi="Arial"/>
          <w:sz w:val="17"/>
          <w:szCs w:val="17"/>
          <w:color w:val="auto"/>
          <w:vertAlign w:val="superscript"/>
        </w:rPr>
        <w:t>9</w:t>
      </w:r>
      <w:r>
        <w:rPr>
          <w:rFonts w:ascii="Arial" w:cs="Arial" w:eastAsia="Arial" w:hAnsi="Arial"/>
          <w:sz w:val="11"/>
          <w:szCs w:val="11"/>
          <w:color w:val="auto"/>
        </w:rPr>
        <w:t xml:space="preserve"> Net of treasury shares. The total number of issued shares is 94.38 million.</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288" w:right="319" w:bottom="1440" w:gutter="0" w:footer="0" w:header="0"/>
        </w:sectPr>
      </w:pPr>
    </w:p>
    <w:bookmarkStart w:id="13" w:name="page14"/>
    <w:bookmarkEnd w:id="13"/>
    <w:p>
      <w:pPr>
        <w:spacing w:after="0"/>
        <w:rPr>
          <w:sz w:val="20"/>
          <w:szCs w:val="20"/>
          <w:color w:val="auto"/>
        </w:rPr>
      </w:pPr>
      <w:r>
        <w:rPr>
          <w:rFonts w:ascii="Arial" w:cs="Arial" w:eastAsia="Arial" w:hAnsi="Arial"/>
          <w:sz w:val="37"/>
          <w:szCs w:val="37"/>
          <w:b w:val="1"/>
          <w:bCs w:val="1"/>
          <w:color w:val="auto"/>
        </w:rPr>
        <w:t>Chapter 1</w:t>
      </w:r>
    </w:p>
    <w:p>
      <w:pPr>
        <w:spacing w:after="0" w:line="5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Group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526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General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2-1,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110490</wp:posOffset>
            </wp:positionV>
            <wp:extent cx="4999990" cy="1156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9990" cy="1156970"/>
                    </a:xfrm>
                    <a:prstGeom prst="rect">
                      <a:avLst/>
                    </a:prstGeom>
                    <a:noFill/>
                  </pic:spPr>
                </pic:pic>
              </a:graphicData>
            </a:graphic>
          </wp:anchor>
        </w:drawing>
      </w:r>
    </w:p>
    <w:p>
      <w:pPr>
        <w:spacing w:after="0" w:line="154"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180" w:type="dxa"/>
            <w:vAlign w:val="bottom"/>
            <w:tcBorders>
              <w:bottom w:val="single" w:sz="8" w:color="F3F2E9"/>
              <w:right w:val="single" w:sz="8" w:color="2AD2C9"/>
            </w:tcBorders>
            <w:shd w:val="clear" w:color="auto" w:fill="2AD2C9"/>
          </w:tcPr>
          <w:p>
            <w:pPr>
              <w:spacing w:after="0"/>
              <w:rPr>
                <w:sz w:val="16"/>
                <w:szCs w:val="16"/>
                <w:color w:val="auto"/>
              </w:rPr>
            </w:pPr>
          </w:p>
        </w:tc>
        <w:tc>
          <w:tcPr>
            <w:tcW w:w="4680" w:type="dxa"/>
            <w:vAlign w:val="bottom"/>
            <w:tcBorders>
              <w:bottom w:val="single" w:sz="8" w:color="F3F2E9"/>
            </w:tcBorders>
            <w:shd w:val="clear" w:color="auto" w:fill="2AD2C9"/>
          </w:tcPr>
          <w:p>
            <w:pPr>
              <w:spacing w:after="0"/>
              <w:rPr>
                <w:sz w:val="16"/>
                <w:szCs w:val="16"/>
                <w:color w:val="auto"/>
              </w:rPr>
            </w:pPr>
          </w:p>
        </w:tc>
        <w:tc>
          <w:tcPr>
            <w:tcW w:w="20" w:type="dxa"/>
            <w:vAlign w:val="bottom"/>
            <w:tcBorders>
              <w:bottom w:val="single" w:sz="8" w:color="F3F2E9"/>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80" w:type="dxa"/>
            <w:vAlign w:val="bottom"/>
            <w:tcBorders>
              <w:bottom w:val="single" w:sz="8" w:color="000066"/>
              <w:right w:val="single" w:sz="8" w:color="F3F2E9"/>
            </w:tcBorders>
          </w:tcPr>
          <w:p>
            <w:pPr>
              <w:ind w:left="100"/>
              <w:spacing w:after="0" w:line="164" w:lineRule="exact"/>
              <w:rPr>
                <w:sz w:val="20"/>
                <w:szCs w:val="20"/>
                <w:color w:val="auto"/>
              </w:rPr>
            </w:pPr>
            <w:r>
              <w:rPr>
                <w:rFonts w:ascii="Arial" w:cs="Arial" w:eastAsia="Arial" w:hAnsi="Arial"/>
                <w:sz w:val="15"/>
                <w:szCs w:val="15"/>
                <w:b w:val="1"/>
                <w:bCs w:val="1"/>
                <w:color w:val="auto"/>
              </w:rPr>
              <w:t>Commercial Name:</w:t>
            </w:r>
          </w:p>
        </w:tc>
        <w:tc>
          <w:tcPr>
            <w:tcW w:w="4680" w:type="dxa"/>
            <w:vAlign w:val="bottom"/>
            <w:tcBorders>
              <w:bottom w:val="single" w:sz="8" w:color="000066"/>
            </w:tcBorders>
          </w:tcPr>
          <w:p>
            <w:pPr>
              <w:ind w:left="60"/>
              <w:spacing w:after="0" w:line="164" w:lineRule="exact"/>
              <w:rPr>
                <w:sz w:val="20"/>
                <w:szCs w:val="20"/>
                <w:color w:val="auto"/>
              </w:rPr>
            </w:pPr>
            <w:r>
              <w:rPr>
                <w:rFonts w:ascii="Arial" w:cs="Arial" w:eastAsia="Arial" w:hAnsi="Arial"/>
                <w:sz w:val="15"/>
                <w:szCs w:val="15"/>
                <w:color w:val="auto"/>
              </w:rPr>
              <w:t>Credicorp Ltd.</w:t>
            </w:r>
          </w:p>
        </w:tc>
        <w:tc>
          <w:tcPr>
            <w:tcW w:w="20" w:type="dxa"/>
            <w:vAlign w:val="bottom"/>
            <w:tcBorders>
              <w:bottom w:val="single" w:sz="8" w:color="000066"/>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80" w:type="dxa"/>
            <w:vAlign w:val="bottom"/>
            <w:tcBorders>
              <w:right w:val="single" w:sz="8" w:color="F3F2E9"/>
            </w:tcBorders>
            <w:vMerge w:val="restart"/>
          </w:tcPr>
          <w:p>
            <w:pPr>
              <w:ind w:left="100"/>
              <w:spacing w:after="0"/>
              <w:rPr>
                <w:sz w:val="20"/>
                <w:szCs w:val="20"/>
                <w:color w:val="auto"/>
              </w:rPr>
            </w:pPr>
            <w:r>
              <w:rPr>
                <w:rFonts w:ascii="Arial" w:cs="Arial" w:eastAsia="Arial" w:hAnsi="Arial"/>
                <w:sz w:val="15"/>
                <w:szCs w:val="15"/>
                <w:b w:val="1"/>
                <w:bCs w:val="1"/>
                <w:color w:val="auto"/>
              </w:rPr>
              <w:t>Address</w:t>
            </w:r>
          </w:p>
        </w:tc>
        <w:tc>
          <w:tcPr>
            <w:tcW w:w="4680" w:type="dxa"/>
            <w:vAlign w:val="bottom"/>
          </w:tcPr>
          <w:p>
            <w:pPr>
              <w:ind w:left="60"/>
              <w:spacing w:after="0" w:line="164" w:lineRule="exact"/>
              <w:rPr>
                <w:sz w:val="20"/>
                <w:szCs w:val="20"/>
                <w:color w:val="auto"/>
              </w:rPr>
            </w:pPr>
            <w:r>
              <w:rPr>
                <w:rFonts w:ascii="Arial" w:cs="Arial" w:eastAsia="Arial" w:hAnsi="Arial"/>
                <w:sz w:val="15"/>
                <w:szCs w:val="15"/>
                <w:color w:val="auto"/>
              </w:rPr>
              <w:t>Clarendon House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80" w:type="dxa"/>
            <w:vAlign w:val="bottom"/>
            <w:tcBorders>
              <w:right w:val="single" w:sz="8" w:color="F3F2E9"/>
            </w:tcBorders>
            <w:vMerge w:val="continue"/>
          </w:tcPr>
          <w:p>
            <w:pPr>
              <w:spacing w:after="0"/>
              <w:rPr>
                <w:sz w:val="15"/>
                <w:szCs w:val="15"/>
                <w:color w:val="auto"/>
              </w:rPr>
            </w:pPr>
          </w:p>
        </w:tc>
        <w:tc>
          <w:tcPr>
            <w:tcW w:w="4680" w:type="dxa"/>
            <w:vAlign w:val="bottom"/>
          </w:tcPr>
          <w:p>
            <w:pPr>
              <w:ind w:left="60"/>
              <w:spacing w:after="0"/>
              <w:rPr>
                <w:sz w:val="20"/>
                <w:szCs w:val="20"/>
                <w:color w:val="auto"/>
              </w:rPr>
            </w:pPr>
            <w:r>
              <w:rPr>
                <w:rFonts w:ascii="Arial" w:cs="Arial" w:eastAsia="Arial" w:hAnsi="Arial"/>
                <w:sz w:val="15"/>
                <w:szCs w:val="15"/>
                <w:color w:val="auto"/>
              </w:rPr>
              <w:t>2 Church Street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000066"/>
              <w:right w:val="single" w:sz="8" w:color="F3F2E9"/>
            </w:tcBorders>
          </w:tcPr>
          <w:p>
            <w:pPr>
              <w:spacing w:after="0"/>
              <w:rPr>
                <w:sz w:val="15"/>
                <w:szCs w:val="15"/>
                <w:color w:val="auto"/>
              </w:rPr>
            </w:pPr>
          </w:p>
        </w:tc>
        <w:tc>
          <w:tcPr>
            <w:tcW w:w="4680" w:type="dxa"/>
            <w:vAlign w:val="bottom"/>
            <w:tcBorders>
              <w:bottom w:val="single" w:sz="8" w:color="000066"/>
            </w:tcBorders>
          </w:tcPr>
          <w:p>
            <w:pPr>
              <w:ind w:left="60"/>
              <w:spacing w:after="0"/>
              <w:rPr>
                <w:sz w:val="20"/>
                <w:szCs w:val="20"/>
                <w:color w:val="auto"/>
              </w:rPr>
            </w:pPr>
            <w:r>
              <w:rPr>
                <w:rFonts w:ascii="Arial" w:cs="Arial" w:eastAsia="Arial" w:hAnsi="Arial"/>
                <w:sz w:val="15"/>
                <w:szCs w:val="15"/>
                <w:color w:val="auto"/>
              </w:rPr>
              <w:t>Hamilton, Bermuda</w:t>
            </w:r>
          </w:p>
        </w:tc>
        <w:tc>
          <w:tcPr>
            <w:tcW w:w="20" w:type="dxa"/>
            <w:vAlign w:val="bottom"/>
            <w:tcBorders>
              <w:bottom w:val="single" w:sz="8" w:color="000066"/>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180" w:type="dxa"/>
            <w:vAlign w:val="bottom"/>
            <w:tcBorders>
              <w:right w:val="single" w:sz="8" w:color="F3F2E9"/>
            </w:tcBorders>
          </w:tcPr>
          <w:p>
            <w:pPr>
              <w:ind w:left="100"/>
              <w:spacing w:after="0" w:line="146" w:lineRule="exact"/>
              <w:rPr>
                <w:sz w:val="20"/>
                <w:szCs w:val="20"/>
                <w:color w:val="auto"/>
              </w:rPr>
            </w:pPr>
            <w:r>
              <w:rPr>
                <w:rFonts w:ascii="Arial" w:cs="Arial" w:eastAsia="Arial" w:hAnsi="Arial"/>
                <w:sz w:val="15"/>
                <w:szCs w:val="15"/>
                <w:b w:val="1"/>
                <w:bCs w:val="1"/>
                <w:color w:val="auto"/>
              </w:rPr>
              <w:t>Address of the Main</w:t>
            </w:r>
          </w:p>
        </w:tc>
        <w:tc>
          <w:tcPr>
            <w:tcW w:w="4680" w:type="dxa"/>
            <w:vAlign w:val="bottom"/>
            <w:vMerge w:val="restart"/>
          </w:tcPr>
          <w:p>
            <w:pPr>
              <w:ind w:left="60"/>
              <w:spacing w:after="0"/>
              <w:rPr>
                <w:sz w:val="20"/>
                <w:szCs w:val="20"/>
                <w:color w:val="auto"/>
              </w:rPr>
            </w:pPr>
            <w:r>
              <w:rPr>
                <w:rFonts w:ascii="Arial" w:cs="Arial" w:eastAsia="Arial" w:hAnsi="Arial"/>
                <w:sz w:val="15"/>
                <w:szCs w:val="15"/>
                <w:color w:val="auto"/>
              </w:rPr>
              <w:t>Calle Centenario 156, La Molina. Lima, Peru</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180" w:type="dxa"/>
            <w:vAlign w:val="bottom"/>
            <w:tcBorders>
              <w:right w:val="single" w:sz="8" w:color="F3F2E9"/>
            </w:tcBorders>
            <w:vMerge w:val="restart"/>
          </w:tcPr>
          <w:p>
            <w:pPr>
              <w:ind w:left="100"/>
              <w:spacing w:after="0"/>
              <w:rPr>
                <w:sz w:val="20"/>
                <w:szCs w:val="20"/>
                <w:color w:val="auto"/>
              </w:rPr>
            </w:pPr>
            <w:r>
              <w:rPr>
                <w:rFonts w:ascii="Arial" w:cs="Arial" w:eastAsia="Arial" w:hAnsi="Arial"/>
                <w:sz w:val="15"/>
                <w:szCs w:val="15"/>
                <w:b w:val="1"/>
                <w:bCs w:val="1"/>
                <w:color w:val="auto"/>
              </w:rPr>
              <w:t>Subsidiary and Headquarters</w:t>
            </w:r>
          </w:p>
        </w:tc>
        <w:tc>
          <w:tcPr>
            <w:tcW w:w="46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180" w:type="dxa"/>
            <w:vAlign w:val="bottom"/>
            <w:tcBorders>
              <w:bottom w:val="single" w:sz="8" w:color="000066"/>
              <w:right w:val="single" w:sz="8" w:color="F3F2E9"/>
            </w:tcBorders>
            <w:vMerge w:val="continue"/>
          </w:tcPr>
          <w:p>
            <w:pPr>
              <w:spacing w:after="0"/>
              <w:rPr>
                <w:sz w:val="7"/>
                <w:szCs w:val="7"/>
                <w:color w:val="auto"/>
              </w:rPr>
            </w:pPr>
          </w:p>
        </w:tc>
        <w:tc>
          <w:tcPr>
            <w:tcW w:w="4680" w:type="dxa"/>
            <w:vAlign w:val="bottom"/>
            <w:tcBorders>
              <w:bottom w:val="single" w:sz="8" w:color="000066"/>
            </w:tcBorders>
          </w:tcPr>
          <w:p>
            <w:pPr>
              <w:spacing w:after="0"/>
              <w:rPr>
                <w:sz w:val="7"/>
                <w:szCs w:val="7"/>
                <w:color w:val="auto"/>
              </w:rPr>
            </w:pPr>
          </w:p>
        </w:tc>
        <w:tc>
          <w:tcPr>
            <w:tcW w:w="20" w:type="dxa"/>
            <w:vAlign w:val="bottom"/>
            <w:tcBorders>
              <w:bottom w:val="single" w:sz="8" w:color="000066"/>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180" w:type="dxa"/>
            <w:vAlign w:val="bottom"/>
            <w:tcBorders>
              <w:bottom w:val="single" w:sz="8" w:color="000066"/>
              <w:right w:val="single" w:sz="8" w:color="F3F2E9"/>
            </w:tcBorders>
          </w:tcPr>
          <w:p>
            <w:pPr>
              <w:ind w:left="100"/>
              <w:spacing w:after="0" w:line="164" w:lineRule="exact"/>
              <w:rPr>
                <w:sz w:val="20"/>
                <w:szCs w:val="20"/>
                <w:color w:val="auto"/>
              </w:rPr>
            </w:pPr>
            <w:r>
              <w:rPr>
                <w:rFonts w:ascii="Arial" w:cs="Arial" w:eastAsia="Arial" w:hAnsi="Arial"/>
                <w:sz w:val="15"/>
                <w:szCs w:val="15"/>
                <w:b w:val="1"/>
                <w:bCs w:val="1"/>
                <w:color w:val="auto"/>
              </w:rPr>
              <w:t>Telephone</w:t>
            </w:r>
          </w:p>
        </w:tc>
        <w:tc>
          <w:tcPr>
            <w:tcW w:w="4680" w:type="dxa"/>
            <w:vAlign w:val="bottom"/>
            <w:tcBorders>
              <w:bottom w:val="single" w:sz="8" w:color="000066"/>
            </w:tcBorders>
          </w:tcPr>
          <w:p>
            <w:pPr>
              <w:ind w:left="60"/>
              <w:spacing w:after="0" w:line="164" w:lineRule="exact"/>
              <w:rPr>
                <w:sz w:val="20"/>
                <w:szCs w:val="20"/>
                <w:color w:val="auto"/>
              </w:rPr>
            </w:pPr>
            <w:r>
              <w:rPr>
                <w:rFonts w:ascii="Arial" w:cs="Arial" w:eastAsia="Arial" w:hAnsi="Arial"/>
                <w:sz w:val="15"/>
                <w:szCs w:val="15"/>
                <w:color w:val="auto"/>
              </w:rPr>
              <w:t>+51 1 313-2000</w:t>
            </w:r>
          </w:p>
        </w:tc>
        <w:tc>
          <w:tcPr>
            <w:tcW w:w="20" w:type="dxa"/>
            <w:vAlign w:val="bottom"/>
            <w:tcBorders>
              <w:bottom w:val="single" w:sz="8" w:color="000066"/>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80" w:type="dxa"/>
            <w:vAlign w:val="bottom"/>
            <w:tcBorders>
              <w:bottom w:val="single" w:sz="8" w:color="F3F2E9"/>
              <w:right w:val="single" w:sz="8" w:color="F3F2E9"/>
            </w:tcBorders>
          </w:tcPr>
          <w:p>
            <w:pPr>
              <w:ind w:left="100"/>
              <w:spacing w:after="0" w:line="164" w:lineRule="exact"/>
              <w:rPr>
                <w:sz w:val="20"/>
                <w:szCs w:val="20"/>
                <w:color w:val="auto"/>
              </w:rPr>
            </w:pPr>
            <w:r>
              <w:rPr>
                <w:rFonts w:ascii="Arial" w:cs="Arial" w:eastAsia="Arial" w:hAnsi="Arial"/>
                <w:sz w:val="15"/>
                <w:szCs w:val="15"/>
                <w:b w:val="1"/>
                <w:bCs w:val="1"/>
                <w:color w:val="auto"/>
              </w:rPr>
              <w:t>Fax:</w:t>
            </w:r>
          </w:p>
        </w:tc>
        <w:tc>
          <w:tcPr>
            <w:tcW w:w="4680" w:type="dxa"/>
            <w:vAlign w:val="bottom"/>
            <w:tcBorders>
              <w:bottom w:val="single" w:sz="8" w:color="F3F2E9"/>
            </w:tcBorders>
          </w:tcPr>
          <w:p>
            <w:pPr>
              <w:ind w:left="60"/>
              <w:spacing w:after="0" w:line="164" w:lineRule="exact"/>
              <w:rPr>
                <w:sz w:val="20"/>
                <w:szCs w:val="20"/>
                <w:color w:val="auto"/>
              </w:rPr>
            </w:pPr>
            <w:r>
              <w:rPr>
                <w:rFonts w:ascii="Arial" w:cs="Arial" w:eastAsia="Arial" w:hAnsi="Arial"/>
                <w:sz w:val="15"/>
                <w:szCs w:val="15"/>
                <w:color w:val="auto"/>
              </w:rPr>
              <w:t>+51 1 313-2121</w:t>
            </w:r>
          </w:p>
        </w:tc>
        <w:tc>
          <w:tcPr>
            <w:tcW w:w="20" w:type="dxa"/>
            <w:vAlign w:val="bottom"/>
            <w:tcBorders>
              <w:bottom w:val="single" w:sz="8" w:color="F3F2E9"/>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80" w:type="dxa"/>
            <w:vAlign w:val="bottom"/>
            <w:tcBorders>
              <w:right w:val="single" w:sz="8" w:color="2AD2C9"/>
            </w:tcBorders>
            <w:shd w:val="clear" w:color="auto" w:fill="2AD2C9"/>
          </w:tcPr>
          <w:p>
            <w:pPr>
              <w:spacing w:after="0"/>
              <w:rPr>
                <w:sz w:val="14"/>
                <w:szCs w:val="14"/>
                <w:color w:val="auto"/>
              </w:rPr>
            </w:pPr>
          </w:p>
        </w:tc>
        <w:tc>
          <w:tcPr>
            <w:tcW w:w="4680" w:type="dxa"/>
            <w:vAlign w:val="bottom"/>
            <w:shd w:val="clear" w:color="auto" w:fill="2AD2C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Credicorp Ltd. was established on August 17, 1995, in the City of Hamilton in Bermuda and is registered under registry No. EC21045. The company’s duration is indefinite.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Company Purpose</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Credicorp is a business group that, through its subsidiaries and associates, offers a wide range of financial, insurance and health services and products, mainly throughout Peru and in other countries such as Colombia, Bolivia, Chile, Panama and the United States. Its main subsidiaries are: Banco de Crédito del Peru (BCP), Mibanco, BCP Bolivia, Pacífico Compania de Seguros y Reaseguros, Prima AFP, ASB Bank Corp. (formerly Atlantic Security Bank) and Credicorp Capital.</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Credicorp was set up in 1995 through the acquisition of common shares of the Banco de Crédito del Peru (BCP), Atlantic Security Holding Corporation (ASHC) and Pacífico Compania de Seguros y Reaseguros S.A. (PPS). Through an Exchange Offer in October 1995, Credicorp acquired 90.1% of the shares of BCP, 98.2% of the shares of ASHC, and 75.8% of those of PPS. Trading of the common shares on the New York Stock Exchange began immediately after the Exchange Offer culminated and the closing price on this date was US$ 11.61 (adjusted to reflect stock dividends). On March 19, 1996, Credicorp acquired, through an Exchange Offer with similar terms to the one made in October 1995, the remaining 1.8% of shares in circulation of ASHC.</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2012, Credicorp, as part of its strategic plan, embarked on efforts to create a regional platform and a reorganization process to regroup the company’s businesses. In April 2012, Credicorp, through its BCP subsidiary, acquired 51% of the shares of Correval S.A. Sociedad Comisionista de Bolsa, an investment bank in Bogota, Colombia. In July 2012, Credicorp, through its BCP subsidiary, acquired 60.6% of the shares of IM Trust S.A. Corredores de Bolsa, an investment bank in Santiago, Chile. In November 2012 and June 2013 respectively, IM Trust and Correval were transferred to Credicorp Capital Ltd. (subsidiary chartered in Bermuda to engage in investment banking activities in Chile, Colombia and Peru); this had no impact on Credicorp’s financial statements. To conduct investment banking operations in Peru, Credicorp Capital Peru S.A.A. was chartered in Peru in April 2012 through a spin-off of a block of BCP’s assets. The assets that</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94" w:right="319" w:bottom="1440" w:gutter="0" w:footer="0" w:header="0"/>
        </w:sectPr>
      </w:pPr>
    </w:p>
    <w:bookmarkStart w:id="14" w:name="page15"/>
    <w:bookmarkEnd w:id="14"/>
    <w:p>
      <w:pPr>
        <w:jc w:val="both"/>
        <w:spacing w:after="0" w:line="244" w:lineRule="auto"/>
        <w:rPr>
          <w:sz w:val="20"/>
          <w:szCs w:val="20"/>
          <w:color w:val="auto"/>
        </w:rPr>
      </w:pPr>
      <w:r>
        <w:rPr>
          <w:rFonts w:ascii="Arial" w:cs="Arial" w:eastAsia="Arial" w:hAnsi="Arial"/>
          <w:sz w:val="15"/>
          <w:szCs w:val="15"/>
          <w:color w:val="auto"/>
        </w:rPr>
        <w:t>were transferred include Credibolsa, Credititulos, Credifondo and BCP’s investment banking activities. The spin-off of this block of assets had no impact on Credicorp’s consolidated financial statements. In addition, in 2014, through Financiera Edyficar (a subsidiary of Banco de Crédito del Peru), Credicorp acquired a majority stake of Mibanco’s shares. In November 2015, the 85.50% share that Grupo Crédito held in Credicorp Capital Peru S.A.A. was spun off and placed in Credicorp Capital Holding Peru, a subsidiary of Credicorp Capital Ltd. This act concluded the company’s reorganization process, whose purpose was to regroup the subsidiaries and shareholdings of Credicorp Capital Ltd. to improve business management. The split-off of this equity had no impact on Credicorp’s consolidated financial statement.</w:t>
      </w:r>
    </w:p>
    <w:p>
      <w:pPr>
        <w:spacing w:after="0" w:line="334"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At the beginning of 2016, BCP Bolivia ceased to exist as a subsidiary of BCP and became a subsidiary of the holding known as Inversiones Credicorp Bolivia S.A. (ICBSA), which is in turn a direct subsidiary of the Grupo Crédito. In May and August 2016, Credicorp Capital Ltd., through Credicorp Capital Holding Chile, acquired 39.4% of the shares of Inversiones IMT S.A., becoming the owner of 100% of total shares in the company. Between May and September 2016, Credicorp Capital Ltd., through Credicorp Holding Colombia S.A.S., acquired 49% of the shares of Credicorp Capital Colombia S.A., achieving a 100% stake in the organization.</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January 2017, May 2018 and May 2019, as part of the reorganization of subsidiaries, Grupo Crédito purchased 9%, 2.77% and 0.96% of BCP’s shares respectively from Credicorp Ltd. By December 2019, Grupo Crédito possessed 97.71% of BCP and Credicorp Ltd. ceased to hold direct shares in BCP.</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January 2019, 91.36% of the Compania Incubadora de Soluciones Moviles S.A. – Culqi was acquired and Tenpo S.P.A (formerly Krealo S.P.A) was chartered. In March 2019, Credicorp Capital Negocios Digitales S.A.S. was chartered; in July, 100% of Tenpo Technologies S.P.A. (formerly Tenpo SPA) and 100% of Tenpo Prepago (formerly Multicaja Prepago S.A.) were acquired; in September, 85% of Fondo de Inversion Independencia II was acquired; and in November, 100% of Ultraserfinco S.A. was acquired. Finally, in December, 77.46% of Banco Compartir S.A was acquired.</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June 2020, the merger by absorption between Credicorp Capital Colombia S.A. and Ultraserfinco S.A. was carried out; the latter being extinguished. Likewise, in October 2020, the merger by absorption between Banco Compartir S.A and Edyficar S.A.S. was carried out and formed Mibanco - Banco de la Microempresa de Colombia S.A.</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January 2, 2021, Ultralat Capital Market Inc. and Credicorp Capital Securities Inc. merged into a single entity. The new company operates under the corporate name of “Credicorp Capital LLC.”, which was authorized on February 2, 2021.</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On August 2, 2021, the merger by absorption between Atlantic Security Bank and ASB Bank Corp. was approved and registered in the Public Registry of Panama, leaving ASB Bank Corp as the surviving entity. In addition, ASB Bank Corp owns a 100% stake in Laurentian Corporate Service Ltd. since the merger with Atlantic Security Bank.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Credicorp’s subsidiaries are organized into four lines of business (LoBs):</w:t>
      </w:r>
    </w:p>
    <w:p>
      <w:pPr>
        <w:spacing w:after="0" w:line="155" w:lineRule="exact"/>
        <w:rPr>
          <w:sz w:val="20"/>
          <w:szCs w:val="20"/>
          <w:color w:val="auto"/>
        </w:rPr>
      </w:pPr>
    </w:p>
    <w:p>
      <w:pPr>
        <w:ind w:left="540" w:hanging="271"/>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Universal Banking</w:t>
      </w:r>
      <w:r>
        <w:rPr>
          <w:rFonts w:ascii="Arial" w:cs="Arial" w:eastAsia="Arial" w:hAnsi="Arial"/>
          <w:sz w:val="15"/>
          <w:szCs w:val="15"/>
          <w:color w:val="auto"/>
        </w:rPr>
        <w:t>, which includes Banco de Crédito del Peru and Banco de Crédito de Bolivia.</w:t>
      </w:r>
    </w:p>
    <w:p>
      <w:pPr>
        <w:spacing w:after="0" w:line="18" w:lineRule="exact"/>
        <w:rPr>
          <w:rFonts w:ascii="Arial" w:cs="Arial" w:eastAsia="Arial" w:hAnsi="Arial"/>
          <w:sz w:val="15"/>
          <w:szCs w:val="15"/>
          <w:color w:val="auto"/>
        </w:rPr>
      </w:pPr>
    </w:p>
    <w:p>
      <w:pPr>
        <w:ind w:left="540" w:hanging="271"/>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Microfinance</w:t>
      </w:r>
      <w:r>
        <w:rPr>
          <w:rFonts w:ascii="Arial" w:cs="Arial" w:eastAsia="Arial" w:hAnsi="Arial"/>
          <w:sz w:val="15"/>
          <w:szCs w:val="15"/>
          <w:color w:val="auto"/>
        </w:rPr>
        <w:t>, which includes Mibanco and Mibanco Colombia.</w:t>
      </w:r>
    </w:p>
    <w:p>
      <w:pPr>
        <w:ind w:left="540" w:hanging="271"/>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Insurance and Pension</w:t>
      </w:r>
      <w:r>
        <w:rPr>
          <w:rFonts w:ascii="Arial" w:cs="Arial" w:eastAsia="Arial" w:hAnsi="Arial"/>
          <w:sz w:val="15"/>
          <w:szCs w:val="15"/>
          <w:color w:val="auto"/>
        </w:rPr>
        <w:t>, which includes Grupo Pacífico and Prima AFP.</w:t>
      </w:r>
    </w:p>
    <w:p>
      <w:pPr>
        <w:ind w:left="540" w:hanging="271"/>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Investment Banking and Wealth Management</w:t>
      </w:r>
      <w:r>
        <w:rPr>
          <w:rFonts w:ascii="Arial" w:cs="Arial" w:eastAsia="Arial" w:hAnsi="Arial"/>
          <w:sz w:val="15"/>
          <w:szCs w:val="15"/>
          <w:color w:val="auto"/>
        </w:rPr>
        <w:t>, which includes Credicorp Capital and ASB Bank Corp (formerly Atlantic Security Bank).</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These LoBs are complemented by Krealo, Credicorp’s corporate arm for venture capital investments. Krealo identifies and invests in opportunities that complement Credicorp’s lines of business.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5" w:name="page16"/>
    <w:bookmarkEnd w:id="15"/>
    <w:p>
      <w:pPr>
        <w:ind w:left="8"/>
        <w:spacing w:after="0"/>
        <w:rPr>
          <w:sz w:val="20"/>
          <w:szCs w:val="20"/>
          <w:color w:val="auto"/>
        </w:rPr>
      </w:pPr>
      <w:r>
        <w:rPr>
          <w:rFonts w:ascii="Arial" w:cs="Arial" w:eastAsia="Arial" w:hAnsi="Arial"/>
          <w:sz w:val="22"/>
          <w:szCs w:val="22"/>
          <w:b w:val="1"/>
          <w:bCs w:val="1"/>
          <w:color w:val="595959"/>
        </w:rPr>
        <w:t>Credicorp’s Organizational Chart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chart below depicts Credicorp’s configuration: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758690" cy="2466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58690" cy="246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 w:hanging="68"/>
        <w:spacing w:after="0"/>
        <w:tabs>
          <w:tab w:leader="none" w:pos="68" w:val="left"/>
        </w:tabs>
        <w:numPr>
          <w:ilvl w:val="0"/>
          <w:numId w:val="8"/>
        </w:numPr>
        <w:rPr>
          <w:rFonts w:ascii="Arial" w:cs="Arial" w:eastAsia="Arial" w:hAnsi="Arial"/>
          <w:sz w:val="11"/>
          <w:szCs w:val="11"/>
          <w:color w:val="auto"/>
        </w:rPr>
      </w:pPr>
      <w:r>
        <w:rPr>
          <w:rFonts w:ascii="Arial" w:cs="Arial" w:eastAsia="Arial" w:hAnsi="Arial"/>
          <w:sz w:val="11"/>
          <w:szCs w:val="11"/>
          <w:color w:val="auto"/>
        </w:rPr>
        <w:t>Percentage of participation of the controlling majority shareholder.</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(1) Grupo Crédito has a 33.66% stake.</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(2) Credicorp Capital Ltd. has a 12.795% interest.</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(3) Processing Solutions S.A. (Peru) and Inversiones 2020 participate in 2.0% each.</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(4) Pacífico Seguros is the controlling entity. Inversiones Credicorp, Bolivia S.A has a 51.95% interest.</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(5) Pacífico Seguros is the controlling entity. Inversiones Credicorp, Bolivia S.A has a 51.87% interest.</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(6) Credit Group S.A. participates in 6.49%.</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(7) Ultralat Capital Market Inc. and Credicorp Capital Securities Inc. merged on January 2, 2021. Also, formally its new name “Credicorp Capital, LLC.” It was authorized on February 2, 2021.</w:t>
      </w:r>
    </w:p>
    <w:p>
      <w:pPr>
        <w:ind w:left="8"/>
        <w:spacing w:after="0" w:line="218" w:lineRule="auto"/>
        <w:rPr>
          <w:rFonts w:ascii="Arial" w:cs="Arial" w:eastAsia="Arial" w:hAnsi="Arial"/>
          <w:sz w:val="11"/>
          <w:szCs w:val="11"/>
          <w:color w:val="auto"/>
        </w:rPr>
      </w:pPr>
      <w:r>
        <w:rPr>
          <w:rFonts w:ascii="Arial" w:cs="Arial" w:eastAsia="Arial" w:hAnsi="Arial"/>
          <w:sz w:val="11"/>
          <w:szCs w:val="11"/>
          <w:color w:val="auto"/>
        </w:rPr>
        <w:t>(8) Atlantic Security Bank and ASB Bank Corp. Merged on August 2, 2021, leaving the latter as the existing company. Said merger was authorized on August 2, 2021.</w:t>
      </w:r>
    </w:p>
    <w:p>
      <w:pPr>
        <w:ind w:left="8"/>
        <w:spacing w:after="0"/>
        <w:rPr>
          <w:rFonts w:ascii="Arial" w:cs="Arial" w:eastAsia="Arial" w:hAnsi="Arial"/>
          <w:sz w:val="11"/>
          <w:szCs w:val="11"/>
          <w:color w:val="auto"/>
        </w:rPr>
      </w:pPr>
      <w:r>
        <w:rPr>
          <w:rFonts w:ascii="Arial" w:cs="Arial" w:eastAsia="Arial" w:hAnsi="Arial"/>
          <w:sz w:val="11"/>
          <w:szCs w:val="11"/>
          <w:color w:val="auto"/>
        </w:rPr>
        <w:t>(9) CC Asset Management Mexico S.A., was incorporated in Mexico on March 15, 2022.</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288" w:right="3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1750060</wp:posOffset>
            </wp:positionH>
            <wp:positionV relativeFrom="page">
              <wp:posOffset>198755</wp:posOffset>
            </wp:positionV>
            <wp:extent cx="4026535" cy="3616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026535" cy="361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
        <w:spacing w:after="0"/>
        <w:rPr>
          <w:sz w:val="20"/>
          <w:szCs w:val="20"/>
          <w:color w:val="auto"/>
        </w:rPr>
      </w:pPr>
      <w:r>
        <w:rPr>
          <w:rFonts w:ascii="Arial" w:cs="Arial" w:eastAsia="Arial" w:hAnsi="Arial"/>
          <w:sz w:val="11"/>
          <w:szCs w:val="11"/>
          <w:color w:val="auto"/>
        </w:rPr>
        <w:t>* Percentage of participation of the direct majority shareholder.</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BCP participates in 1.77% and Credicorp Ltd. participates in 0.08%.</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Credit Group S.A. participates in 4.99%.</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Tenpo Technologies SpA participates in 0.10%.</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BCP participates in 0.07%.</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Credicorp Ltd. participates in 4.01%. Inversiones 2020, Mibanco S.A and SEAH participate in 0.03%, each one.</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Independencia Asesores S.G.F.I. S.A. participates with 15.00%.</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BCP and Grupo Crédito S.A. They are the only associates of "Patronato BCP", a non-profit civil association.</w:t>
      </w:r>
    </w:p>
    <w:p>
      <w:pPr>
        <w:ind w:left="168" w:hanging="168"/>
        <w:spacing w:after="0" w:line="218" w:lineRule="auto"/>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Credicorp Peru S.A.C. participates in 2.72%.</w:t>
      </w:r>
    </w:p>
    <w:p>
      <w:pPr>
        <w:ind w:left="168" w:hanging="168"/>
        <w:spacing w:after="0"/>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Investments 2020 participates in 0.10%</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440" w:right="319" w:bottom="1440" w:gutter="0" w:footer="0" w:header="0"/>
        </w:sectPr>
      </w:pPr>
    </w:p>
    <w:bookmarkStart w:id="17" w:name="page18"/>
    <w:bookmarkEnd w:id="17"/>
    <w:p>
      <w:pPr>
        <w:ind w:left="8"/>
        <w:spacing w:after="0"/>
        <w:rPr>
          <w:sz w:val="20"/>
          <w:szCs w:val="20"/>
          <w:color w:val="auto"/>
        </w:rPr>
      </w:pPr>
      <w:r>
        <w:rPr>
          <w:rFonts w:ascii="Arial" w:cs="Arial" w:eastAsia="Arial" w:hAnsi="Arial"/>
          <w:sz w:val="22"/>
          <w:szCs w:val="22"/>
          <w:b w:val="1"/>
          <w:bCs w:val="1"/>
          <w:color w:val="595959"/>
        </w:rPr>
        <w:t>Capital and Main Shareholders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Capital issued by Credicorp Ltd. amounts to US$ 471,911,585 and is represented by 94,382,317 shares with a nominal value of US$ 5.00 each.</w:t>
      </w:r>
    </w:p>
    <w:p>
      <w:pPr>
        <w:spacing w:after="0" w:line="173" w:lineRule="exact"/>
        <w:rPr>
          <w:sz w:val="20"/>
          <w:szCs w:val="20"/>
          <w:color w:val="auto"/>
        </w:rPr>
      </w:pPr>
    </w:p>
    <w:p>
      <w:pPr>
        <w:ind w:left="8" w:right="20"/>
        <w:spacing w:after="0" w:line="258" w:lineRule="auto"/>
        <w:rPr>
          <w:sz w:val="20"/>
          <w:szCs w:val="20"/>
          <w:color w:val="auto"/>
        </w:rPr>
      </w:pPr>
      <w:r>
        <w:rPr>
          <w:rFonts w:ascii="Arial" w:cs="Arial" w:eastAsia="Arial" w:hAnsi="Arial"/>
          <w:sz w:val="15"/>
          <w:szCs w:val="15"/>
          <w:color w:val="auto"/>
        </w:rPr>
        <w:t xml:space="preserve">All of Credicorp’s issued shares are common and equal, and shareholders have the same rights conferred by Bermuda Law and Credicorp’s Bylaws, which are detailed in the </w:t>
      </w:r>
      <w:r>
        <w:rPr>
          <w:rFonts w:ascii="Arial" w:cs="Arial" w:eastAsia="Arial" w:hAnsi="Arial"/>
          <w:sz w:val="15"/>
          <w:szCs w:val="15"/>
          <w:u w:val="single" w:color="auto"/>
          <w:color w:val="auto"/>
        </w:rPr>
        <w:t>Shareholder’s Guide</w:t>
      </w:r>
      <w:r>
        <w:rPr>
          <w:rFonts w:ascii="Arial" w:cs="Arial" w:eastAsia="Arial" w:hAnsi="Arial"/>
          <w:sz w:val="15"/>
          <w:szCs w:val="15"/>
          <w:color w:val="auto"/>
        </w:rPr>
        <w:t>.</w:t>
      </w:r>
    </w:p>
    <w:p>
      <w:pPr>
        <w:spacing w:after="0" w:line="13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Shareholder Structure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48895</wp:posOffset>
            </wp:positionV>
            <wp:extent cx="5124450" cy="169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2445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Source: Share Registry</w:t>
      </w:r>
    </w:p>
    <w:p>
      <w:pPr>
        <w:spacing w:after="0" w:line="168" w:lineRule="exact"/>
        <w:rPr>
          <w:sz w:val="20"/>
          <w:szCs w:val="20"/>
          <w:color w:val="auto"/>
        </w:rPr>
      </w:pPr>
    </w:p>
    <w:p>
      <w:pPr>
        <w:ind w:left="8"/>
        <w:spacing w:after="0" w:line="258" w:lineRule="auto"/>
        <w:rPr>
          <w:sz w:val="20"/>
          <w:szCs w:val="20"/>
          <w:color w:val="auto"/>
        </w:rPr>
      </w:pPr>
      <w:r>
        <w:rPr>
          <w:rFonts w:ascii="Arial" w:cs="Arial" w:eastAsia="Arial" w:hAnsi="Arial"/>
          <w:sz w:val="15"/>
          <w:szCs w:val="15"/>
          <w:color w:val="auto"/>
        </w:rPr>
        <w:t>The table below shows the composition of shares with voting rights as of December 31, 2022, considering the percentage of share ownership relative to the total number of shares:</w:t>
      </w:r>
    </w:p>
    <w:p>
      <w:pPr>
        <w:spacing w:after="0" w:line="129" w:lineRule="exact"/>
        <w:rPr>
          <w:sz w:val="20"/>
          <w:szCs w:val="20"/>
          <w:color w:val="auto"/>
        </w:rPr>
      </w:pPr>
    </w:p>
    <w:tbl>
      <w:tblPr>
        <w:tblLayout w:type="fixed"/>
        <w:tblInd w:w="1138" w:type="dxa"/>
        <w:tblCellMar>
          <w:top w:w="0" w:type="dxa"/>
          <w:left w:w="0" w:type="dxa"/>
          <w:bottom w:w="0" w:type="dxa"/>
          <w:right w:w="0" w:type="dxa"/>
        </w:tblCellMar>
      </w:tblPr>
      <w:tr>
        <w:trPr>
          <w:trHeight w:val="166"/>
        </w:trPr>
        <w:tc>
          <w:tcPr>
            <w:tcW w:w="2320" w:type="dxa"/>
            <w:vAlign w:val="bottom"/>
            <w:tcBorders>
              <w:top w:val="single" w:sz="8" w:color="auto"/>
              <w:left w:val="single" w:sz="8" w:color="auto"/>
              <w:right w:val="single" w:sz="8" w:color="auto"/>
            </w:tcBorders>
            <w:shd w:val="clear" w:color="auto" w:fill="2AD2C9"/>
          </w:tcPr>
          <w:p>
            <w:pPr>
              <w:ind w:left="60"/>
              <w:spacing w:after="0" w:line="166" w:lineRule="exact"/>
              <w:rPr>
                <w:sz w:val="20"/>
                <w:szCs w:val="20"/>
                <w:color w:val="auto"/>
              </w:rPr>
            </w:pPr>
            <w:r>
              <w:rPr>
                <w:rFonts w:ascii="Arial" w:cs="Arial" w:eastAsia="Arial" w:hAnsi="Arial"/>
                <w:sz w:val="15"/>
                <w:szCs w:val="15"/>
                <w:b w:val="1"/>
                <w:bCs w:val="1"/>
                <w:color w:val="FFFFFF"/>
              </w:rPr>
              <w:t>Percentage of</w:t>
            </w:r>
          </w:p>
        </w:tc>
        <w:tc>
          <w:tcPr>
            <w:tcW w:w="2220" w:type="dxa"/>
            <w:vAlign w:val="bottom"/>
            <w:tcBorders>
              <w:top w:val="single" w:sz="8" w:color="auto"/>
              <w:right w:val="single" w:sz="8" w:color="auto"/>
            </w:tcBorders>
            <w:shd w:val="clear" w:color="auto" w:fill="2AD2C9"/>
          </w:tcPr>
          <w:p>
            <w:pPr>
              <w:jc w:val="center"/>
              <w:ind w:right="3"/>
              <w:spacing w:after="0" w:line="166" w:lineRule="exact"/>
              <w:rPr>
                <w:sz w:val="20"/>
                <w:szCs w:val="20"/>
                <w:color w:val="auto"/>
              </w:rPr>
            </w:pPr>
            <w:r>
              <w:rPr>
                <w:rFonts w:ascii="Arial" w:cs="Arial" w:eastAsia="Arial" w:hAnsi="Arial"/>
                <w:sz w:val="15"/>
                <w:szCs w:val="15"/>
                <w:b w:val="1"/>
                <w:bCs w:val="1"/>
                <w:color w:val="FFFFFF"/>
              </w:rPr>
              <w:t>Number of</w:t>
            </w:r>
          </w:p>
        </w:tc>
        <w:tc>
          <w:tcPr>
            <w:tcW w:w="2220" w:type="dxa"/>
            <w:vAlign w:val="bottom"/>
            <w:tcBorders>
              <w:top w:val="single" w:sz="8" w:color="auto"/>
              <w:right w:val="single" w:sz="8" w:color="auto"/>
            </w:tcBorders>
            <w:vMerge w:val="restart"/>
            <w:shd w:val="clear" w:color="auto" w:fill="2AD2C9"/>
          </w:tcPr>
          <w:p>
            <w:pPr>
              <w:ind w:left="440"/>
              <w:spacing w:after="0"/>
              <w:rPr>
                <w:sz w:val="20"/>
                <w:szCs w:val="20"/>
                <w:color w:val="auto"/>
              </w:rPr>
            </w:pPr>
            <w:r>
              <w:rPr>
                <w:rFonts w:ascii="Arial" w:cs="Arial" w:eastAsia="Arial" w:hAnsi="Arial"/>
                <w:sz w:val="15"/>
                <w:szCs w:val="15"/>
                <w:b w:val="1"/>
                <w:bCs w:val="1"/>
                <w:color w:val="FFFFFF"/>
              </w:rPr>
              <w:t>Share Percentage</w:t>
            </w:r>
          </w:p>
        </w:tc>
        <w:tc>
          <w:tcPr>
            <w:tcW w:w="0" w:type="dxa"/>
            <w:vAlign w:val="bottom"/>
          </w:tcPr>
          <w:p>
            <w:pPr>
              <w:spacing w:after="0"/>
              <w:rPr>
                <w:sz w:val="1"/>
                <w:szCs w:val="1"/>
                <w:color w:val="auto"/>
              </w:rPr>
            </w:pPr>
          </w:p>
        </w:tc>
      </w:tr>
      <w:tr>
        <w:trPr>
          <w:trHeight w:val="111"/>
        </w:trPr>
        <w:tc>
          <w:tcPr>
            <w:tcW w:w="2320" w:type="dxa"/>
            <w:vAlign w:val="bottom"/>
            <w:tcBorders>
              <w:left w:val="single" w:sz="8" w:color="auto"/>
              <w:right w:val="single" w:sz="8" w:color="auto"/>
            </w:tcBorders>
            <w:vMerge w:val="restart"/>
            <w:shd w:val="clear" w:color="auto" w:fill="2AD2C9"/>
          </w:tcPr>
          <w:p>
            <w:pPr>
              <w:ind w:left="60"/>
              <w:spacing w:after="0"/>
              <w:rPr>
                <w:sz w:val="20"/>
                <w:szCs w:val="20"/>
                <w:color w:val="auto"/>
              </w:rPr>
            </w:pPr>
            <w:r>
              <w:rPr>
                <w:rFonts w:ascii="Arial" w:cs="Arial" w:eastAsia="Arial" w:hAnsi="Arial"/>
                <w:sz w:val="15"/>
                <w:szCs w:val="15"/>
                <w:b w:val="1"/>
                <w:bCs w:val="1"/>
                <w:color w:val="FFFFFF"/>
              </w:rPr>
              <w:t>ownership</w:t>
            </w:r>
          </w:p>
        </w:tc>
        <w:tc>
          <w:tcPr>
            <w:tcW w:w="22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5"/>
                <w:szCs w:val="15"/>
                <w:b w:val="1"/>
                <w:bCs w:val="1"/>
                <w:color w:val="FFFFFF"/>
              </w:rPr>
              <w:t>Shareholders</w:t>
            </w:r>
          </w:p>
        </w:tc>
        <w:tc>
          <w:tcPr>
            <w:tcW w:w="2220" w:type="dxa"/>
            <w:vAlign w:val="bottom"/>
            <w:tcBorders>
              <w:right w:val="single" w:sz="8" w:color="auto"/>
            </w:tcBorders>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auto"/>
              <w:bottom w:val="single" w:sz="8" w:color="auto"/>
              <w:right w:val="single" w:sz="8" w:color="auto"/>
            </w:tcBorders>
            <w:vMerge w:val="continue"/>
            <w:shd w:val="clear" w:color="auto" w:fill="2AD2C9"/>
          </w:tcPr>
          <w:p>
            <w:pPr>
              <w:spacing w:after="0"/>
              <w:rPr>
                <w:sz w:val="7"/>
                <w:szCs w:val="7"/>
                <w:color w:val="auto"/>
              </w:rPr>
            </w:pPr>
          </w:p>
        </w:tc>
        <w:tc>
          <w:tcPr>
            <w:tcW w:w="222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2220" w:type="dxa"/>
            <w:vAlign w:val="bottom"/>
            <w:tcBorders>
              <w:bottom w:val="single" w:sz="8" w:color="auto"/>
              <w:right w:val="single" w:sz="8" w:color="auto"/>
            </w:tcBorders>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32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Less than 1%</w:t>
            </w:r>
          </w:p>
        </w:tc>
        <w:tc>
          <w:tcPr>
            <w:tcW w:w="22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5,581</w:t>
            </w:r>
          </w:p>
        </w:tc>
        <w:tc>
          <w:tcPr>
            <w:tcW w:w="22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173"/>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Between 1% - 4.9%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4.89%</w:t>
            </w:r>
          </w:p>
        </w:tc>
        <w:tc>
          <w:tcPr>
            <w:tcW w:w="0" w:type="dxa"/>
            <w:vAlign w:val="bottom"/>
          </w:tcPr>
          <w:p>
            <w:pPr>
              <w:spacing w:after="0"/>
              <w:rPr>
                <w:sz w:val="1"/>
                <w:szCs w:val="1"/>
                <w:color w:val="auto"/>
              </w:rPr>
            </w:pPr>
          </w:p>
        </w:tc>
      </w:tr>
      <w:tr>
        <w:trPr>
          <w:trHeight w:val="173"/>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Between 5% - 9.9%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5.89%</w:t>
            </w:r>
          </w:p>
        </w:tc>
        <w:tc>
          <w:tcPr>
            <w:tcW w:w="0" w:type="dxa"/>
            <w:vAlign w:val="bottom"/>
          </w:tcPr>
          <w:p>
            <w:pPr>
              <w:spacing w:after="0"/>
              <w:rPr>
                <w:sz w:val="1"/>
                <w:szCs w:val="1"/>
                <w:color w:val="auto"/>
              </w:rPr>
            </w:pPr>
          </w:p>
        </w:tc>
      </w:tr>
      <w:tr>
        <w:trPr>
          <w:trHeight w:val="162"/>
        </w:trPr>
        <w:tc>
          <w:tcPr>
            <w:tcW w:w="2320" w:type="dxa"/>
            <w:vAlign w:val="bottom"/>
            <w:tcBorders>
              <w:left w:val="single" w:sz="8" w:color="auto"/>
              <w:right w:val="single" w:sz="8" w:color="auto"/>
            </w:tcBorders>
          </w:tcPr>
          <w:p>
            <w:pPr>
              <w:ind w:left="60"/>
              <w:spacing w:after="0" w:line="161" w:lineRule="exact"/>
              <w:rPr>
                <w:sz w:val="20"/>
                <w:szCs w:val="20"/>
                <w:color w:val="auto"/>
              </w:rPr>
            </w:pPr>
            <w:r>
              <w:rPr>
                <w:rFonts w:ascii="Arial" w:cs="Arial" w:eastAsia="Arial" w:hAnsi="Arial"/>
                <w:sz w:val="15"/>
                <w:szCs w:val="15"/>
                <w:color w:val="auto"/>
              </w:rPr>
              <w:t>Greater than 10%</w:t>
            </w:r>
          </w:p>
        </w:tc>
        <w:tc>
          <w:tcPr>
            <w:tcW w:w="22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rPr>
              <w:t>1</w:t>
            </w:r>
          </w:p>
        </w:tc>
        <w:tc>
          <w:tcPr>
            <w:tcW w:w="22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rPr>
              <w:t>15.49%</w:t>
            </w:r>
          </w:p>
        </w:tc>
        <w:tc>
          <w:tcPr>
            <w:tcW w:w="0" w:type="dxa"/>
            <w:vAlign w:val="bottom"/>
          </w:tcPr>
          <w:p>
            <w:pPr>
              <w:spacing w:after="0"/>
              <w:rPr>
                <w:sz w:val="1"/>
                <w:szCs w:val="1"/>
                <w:color w:val="auto"/>
              </w:rPr>
            </w:pPr>
          </w:p>
        </w:tc>
      </w:tr>
      <w:tr>
        <w:trPr>
          <w:trHeight w:val="185"/>
        </w:trPr>
        <w:tc>
          <w:tcPr>
            <w:tcW w:w="2320" w:type="dxa"/>
            <w:vAlign w:val="bottom"/>
            <w:tcBorders>
              <w:left w:val="single" w:sz="8" w:color="auto"/>
              <w:bottom w:val="single" w:sz="8" w:color="auto"/>
              <w:right w:val="single" w:sz="8" w:color="auto"/>
            </w:tcBorders>
          </w:tcPr>
          <w:p>
            <w:pPr>
              <w:ind w:left="60"/>
              <w:spacing w:after="0" w:line="185" w:lineRule="exact"/>
              <w:rPr>
                <w:sz w:val="20"/>
                <w:szCs w:val="20"/>
                <w:color w:val="auto"/>
              </w:rPr>
            </w:pPr>
            <w:r>
              <w:rPr>
                <w:rFonts w:ascii="Arial" w:cs="Arial" w:eastAsia="Arial" w:hAnsi="Arial"/>
                <w:sz w:val="13"/>
                <w:szCs w:val="13"/>
                <w:color w:val="auto"/>
              </w:rPr>
              <w:t>N.D.</w:t>
            </w:r>
            <w:r>
              <w:rPr>
                <w:rFonts w:ascii="Arial" w:cs="Arial" w:eastAsia="Arial" w:hAnsi="Arial"/>
                <w:sz w:val="21"/>
                <w:szCs w:val="21"/>
                <w:color w:val="auto"/>
                <w:vertAlign w:val="superscript"/>
              </w:rPr>
              <w:t>3</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N.D.</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68.01%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14274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8" w:hanging="88"/>
        <w:spacing w:after="0"/>
        <w:tabs>
          <w:tab w:leader="none" w:pos="88"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Shares are calculated including those declared by shareholders in their Form 13G filed as of February 15, 2023.</w:t>
      </w:r>
    </w:p>
    <w:p>
      <w:pPr>
        <w:ind w:left="88" w:hanging="88"/>
        <w:spacing w:after="0" w:line="180" w:lineRule="auto"/>
        <w:tabs>
          <w:tab w:leader="none" w:pos="88" w:val="left"/>
        </w:tabs>
        <w:numPr>
          <w:ilvl w:val="0"/>
          <w:numId w:val="11"/>
        </w:numPr>
        <w:rPr>
          <w:rFonts w:ascii="Arial" w:cs="Arial" w:eastAsia="Arial" w:hAnsi="Arial"/>
          <w:sz w:val="16"/>
          <w:szCs w:val="16"/>
          <w:color w:val="auto"/>
          <w:vertAlign w:val="superscript"/>
        </w:rPr>
      </w:pPr>
      <w:r>
        <w:rPr>
          <w:rFonts w:ascii="Arial" w:cs="Arial" w:eastAsia="Arial" w:hAnsi="Arial"/>
          <w:sz w:val="10"/>
          <w:szCs w:val="10"/>
          <w:color w:val="auto"/>
        </w:rPr>
        <w:t>Includes shares that are directly or indirectly held by the Romero family or by companies that they own or represent.</w:t>
      </w:r>
    </w:p>
    <w:p>
      <w:pPr>
        <w:ind w:left="88" w:hanging="88"/>
        <w:spacing w:after="0" w:line="189" w:lineRule="auto"/>
        <w:tabs>
          <w:tab w:leader="none" w:pos="88" w:val="left"/>
        </w:tabs>
        <w:numPr>
          <w:ilvl w:val="0"/>
          <w:numId w:val="12"/>
        </w:numPr>
        <w:rPr>
          <w:rFonts w:ascii="Arial" w:cs="Arial" w:eastAsia="Arial" w:hAnsi="Arial"/>
          <w:sz w:val="18"/>
          <w:szCs w:val="18"/>
          <w:color w:val="auto"/>
          <w:vertAlign w:val="superscript"/>
        </w:rPr>
      </w:pPr>
      <w:r>
        <w:rPr>
          <w:rFonts w:ascii="Arial" w:cs="Arial" w:eastAsia="Arial" w:hAnsi="Arial"/>
          <w:sz w:val="11"/>
          <w:szCs w:val="11"/>
          <w:color w:val="auto"/>
        </w:rPr>
        <w:t>68.01% of Credicorp’s shares correspond to holdings whose purchase or sale was conducted through the NYSE, where it is not possible to identify the final beneficiary due to NYSE’s rules of disclosure.</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8" w:name="page19"/>
    <w:bookmarkEnd w:id="18"/>
    <w:p>
      <w:pPr>
        <w:ind w:left="8"/>
        <w:spacing w:after="0"/>
        <w:rPr>
          <w:sz w:val="20"/>
          <w:szCs w:val="20"/>
          <w:color w:val="auto"/>
        </w:rPr>
      </w:pPr>
      <w:r>
        <w:rPr>
          <w:rFonts w:ascii="Arial" w:cs="Arial" w:eastAsia="Arial" w:hAnsi="Arial"/>
          <w:sz w:val="22"/>
          <w:szCs w:val="22"/>
          <w:b w:val="1"/>
          <w:bCs w:val="1"/>
          <w:color w:val="auto"/>
        </w:rPr>
        <w:t>Market Dynamics</w:t>
      </w:r>
    </w:p>
    <w:p>
      <w:pPr>
        <w:spacing w:after="0" w:line="198"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The financial markets registered a downward trend in the first half of 2022, due primarily to interruptions in the global supply chain due to the Russia-Ukraine war. This situation spurred inflationary pressures across the globe and led many Central Banks to adopt contractionary monetary policies, which fueled the market’s concerns that widespread recession was on the horizon. Despite this rough start, the measures applied by the central banks early on helped allay fears and the impact of inflation and laid the bases for a rebound in the international securities market in the second half of the year, which partially offset the negative results posted earlier in 2022. The S&amp;P 500</w:t>
      </w:r>
      <w:r>
        <w:rPr>
          <w:rFonts w:ascii="Arial" w:cs="Arial" w:eastAsia="Arial" w:hAnsi="Arial"/>
          <w:sz w:val="25"/>
          <w:szCs w:val="25"/>
          <w:color w:val="auto"/>
          <w:vertAlign w:val="superscript"/>
        </w:rPr>
        <w:t>1</w:t>
      </w:r>
      <w:r>
        <w:rPr>
          <w:rFonts w:ascii="Arial" w:cs="Arial" w:eastAsia="Arial" w:hAnsi="Arial"/>
          <w:sz w:val="15"/>
          <w:szCs w:val="15"/>
          <w:color w:val="auto"/>
        </w:rPr>
        <w:t>, Euro Stoxx 50</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and the SSEC</w:t>
      </w:r>
      <w:r>
        <w:rPr>
          <w:rFonts w:ascii="Arial" w:cs="Arial" w:eastAsia="Arial" w:hAnsi="Arial"/>
          <w:sz w:val="25"/>
          <w:szCs w:val="25"/>
          <w:color w:val="auto"/>
          <w:vertAlign w:val="superscript"/>
        </w:rPr>
        <w:t>3</w:t>
      </w:r>
      <w:r>
        <w:rPr>
          <w:rFonts w:ascii="Arial" w:cs="Arial" w:eastAsia="Arial" w:hAnsi="Arial"/>
          <w:sz w:val="15"/>
          <w:szCs w:val="15"/>
          <w:color w:val="auto"/>
        </w:rPr>
        <w:t xml:space="preserve"> closed 2022 with drops of -19.44%, -16.98% and -21.80% with regard to 2021.</w:t>
      </w:r>
    </w:p>
    <w:p>
      <w:pPr>
        <w:spacing w:after="0" w:line="24" w:lineRule="exact"/>
        <w:rPr>
          <w:sz w:val="20"/>
          <w:szCs w:val="20"/>
          <w:color w:val="auto"/>
        </w:rPr>
      </w:pPr>
    </w:p>
    <w:p>
      <w:pPr>
        <w:jc w:val="both"/>
        <w:ind w:left="8"/>
        <w:spacing w:after="0" w:line="258" w:lineRule="auto"/>
        <w:rPr>
          <w:sz w:val="20"/>
          <w:szCs w:val="20"/>
          <w:color w:val="auto"/>
        </w:rPr>
      </w:pPr>
      <w:r>
        <w:rPr>
          <w:rFonts w:ascii="Arial" w:cs="Arial" w:eastAsia="Arial" w:hAnsi="Arial"/>
          <w:sz w:val="15"/>
          <w:szCs w:val="15"/>
          <w:color w:val="auto"/>
        </w:rPr>
        <w:t>On the local front, the Lima Stock Exchange reported growth of 6.10% in 2022 in a context marked by political instability, rising inflation and the counter-cyclical measures adopted by the Central Reserve Bank of Peru.</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Share Price</w:t>
      </w:r>
    </w:p>
    <w:p>
      <w:pPr>
        <w:spacing w:after="0" w:line="198"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In 2022, inflationary pressures and political uncertainty negatively impacted Peru’s performance and economic expectations. Despite this scenario, Credicorp remained resilient and obtained good results throughout the year. Credicorp’s share price closed the year at de US$ 135.66, which represented an increase of 11.1% with regard to 2021. The maximum price reached US$177.92 and the minimum, US$115.03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-10160</wp:posOffset>
            </wp:positionV>
            <wp:extent cx="4392295" cy="2057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922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768"/>
        <w:spacing w:after="0"/>
        <w:rPr>
          <w:sz w:val="20"/>
          <w:szCs w:val="20"/>
          <w:color w:val="auto"/>
        </w:rPr>
      </w:pPr>
      <w:r>
        <w:rPr>
          <w:rFonts w:ascii="Arial" w:cs="Arial" w:eastAsia="Arial" w:hAnsi="Arial"/>
          <w:sz w:val="12"/>
          <w:szCs w:val="12"/>
          <w:color w:val="auto"/>
        </w:rPr>
        <w:t>Source: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42748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42" w:lineRule="exact"/>
        <w:rPr>
          <w:sz w:val="20"/>
          <w:szCs w:val="20"/>
          <w:color w:val="auto"/>
        </w:rPr>
      </w:pPr>
    </w:p>
    <w:p>
      <w:pPr>
        <w:ind w:left="268" w:hanging="268"/>
        <w:spacing w:after="0"/>
        <w:tabs>
          <w:tab w:leader="none" w:pos="268"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The S&amp;P 500 is a stock index that follows the performance of shares of 500 leading companies that list on US stock exchanges.</w:t>
      </w:r>
    </w:p>
    <w:p>
      <w:pPr>
        <w:ind w:left="268" w:hanging="268"/>
        <w:spacing w:after="0" w:line="185" w:lineRule="auto"/>
        <w:tabs>
          <w:tab w:leader="none" w:pos="268" w:val="left"/>
        </w:tabs>
        <w:numPr>
          <w:ilvl w:val="0"/>
          <w:numId w:val="14"/>
        </w:numPr>
        <w:rPr>
          <w:rFonts w:ascii="Arial" w:cs="Arial" w:eastAsia="Arial" w:hAnsi="Arial"/>
          <w:sz w:val="13"/>
          <w:szCs w:val="13"/>
          <w:color w:val="auto"/>
          <w:vertAlign w:val="superscript"/>
        </w:rPr>
      </w:pPr>
      <w:r>
        <w:rPr>
          <w:rFonts w:ascii="Arial" w:cs="Arial" w:eastAsia="Arial" w:hAnsi="Arial"/>
          <w:sz w:val="8"/>
          <w:szCs w:val="8"/>
          <w:color w:val="auto"/>
        </w:rPr>
        <w:t>The Euro Stoxx 50 is a stock index that follows the performance of the shares of the largest 50 companies in the Eurozone.</w:t>
      </w:r>
    </w:p>
    <w:p>
      <w:pPr>
        <w:ind w:left="268" w:hanging="268"/>
        <w:spacing w:after="0" w:line="203" w:lineRule="auto"/>
        <w:tabs>
          <w:tab w:leader="none" w:pos="268" w:val="left"/>
        </w:tabs>
        <w:numPr>
          <w:ilvl w:val="0"/>
          <w:numId w:val="15"/>
        </w:numPr>
        <w:rPr>
          <w:rFonts w:ascii="Arial" w:cs="Arial" w:eastAsia="Arial" w:hAnsi="Arial"/>
          <w:sz w:val="14"/>
          <w:szCs w:val="14"/>
          <w:color w:val="auto"/>
          <w:vertAlign w:val="superscript"/>
        </w:rPr>
      </w:pPr>
      <w:r>
        <w:rPr>
          <w:rFonts w:ascii="Arial" w:cs="Arial" w:eastAsia="Arial" w:hAnsi="Arial"/>
          <w:sz w:val="9"/>
          <w:szCs w:val="9"/>
          <w:color w:val="auto"/>
        </w:rPr>
        <w:t>The SSEC is a stock index that is comprised of all Type A and Type B shares that are listed on the Shanghai Stock Exchange.</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288" w:right="319" w:bottom="1440" w:gutter="0" w:footer="0" w:header="0"/>
        </w:sectPr>
      </w:pPr>
    </w:p>
    <w:bookmarkStart w:id="19" w:name="page20"/>
    <w:bookmarkEnd w:id="19"/>
    <w:p>
      <w:pPr>
        <w:ind w:left="8"/>
        <w:spacing w:after="0"/>
        <w:rPr>
          <w:sz w:val="20"/>
          <w:szCs w:val="20"/>
          <w:color w:val="auto"/>
        </w:rPr>
      </w:pPr>
      <w:r>
        <w:rPr>
          <w:rFonts w:ascii="Arial" w:cs="Arial" w:eastAsia="Arial" w:hAnsi="Arial"/>
          <w:sz w:val="22"/>
          <w:szCs w:val="22"/>
          <w:b w:val="1"/>
          <w:bCs w:val="1"/>
          <w:color w:val="auto"/>
        </w:rPr>
        <w:t>Market Capitalization and Liquidity</w:t>
      </w:r>
    </w:p>
    <w:p>
      <w:pPr>
        <w:spacing w:after="0" w:line="198" w:lineRule="exact"/>
        <w:rPr>
          <w:sz w:val="20"/>
          <w:szCs w:val="20"/>
          <w:color w:val="auto"/>
        </w:rPr>
      </w:pPr>
    </w:p>
    <w:p>
      <w:pPr>
        <w:jc w:val="both"/>
        <w:ind w:left="8"/>
        <w:spacing w:after="0" w:line="252" w:lineRule="auto"/>
        <w:rPr>
          <w:sz w:val="20"/>
          <w:szCs w:val="20"/>
          <w:color w:val="auto"/>
        </w:rPr>
      </w:pPr>
      <w:r>
        <w:rPr>
          <w:rFonts w:ascii="Arial" w:cs="Arial" w:eastAsia="Arial" w:hAnsi="Arial"/>
          <w:sz w:val="15"/>
          <w:szCs w:val="15"/>
          <w:color w:val="auto"/>
        </w:rPr>
        <w:t>At the end of 2022, Credicorp’s market capitalization was situated at US$ 10,789 million. This represents an increase of 11.16% over the figure of US$ 9,707 million registered at the end of 2021. Credicorp’s daily trading volume was 409,622 shares in 2022, which reflects a 21% decrease with regard to the average posted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209550</wp:posOffset>
            </wp:positionV>
            <wp:extent cx="4392295" cy="1632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92295" cy="163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528" w:right="2500" w:firstLine="3"/>
        <w:spacing w:after="0" w:line="256" w:lineRule="auto"/>
        <w:tabs>
          <w:tab w:leader="none" w:pos="2610"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Figures differ from previously reported due to retroactive changes in the calculations of the number of outstanding shares given the incorporation of </w:t>
      </w:r>
      <w:r>
        <w:rPr>
          <w:rFonts w:ascii="Arial" w:cs="Arial" w:eastAsia="Arial" w:hAnsi="Arial"/>
          <w:sz w:val="12"/>
          <w:szCs w:val="12"/>
          <w:i w:val="1"/>
          <w:iCs w:val="1"/>
          <w:color w:val="auto"/>
        </w:rPr>
        <w:t>stock awards</w:t>
      </w:r>
    </w:p>
    <w:p>
      <w:pPr>
        <w:spacing w:after="0" w:line="150" w:lineRule="exact"/>
        <w:rPr>
          <w:sz w:val="20"/>
          <w:szCs w:val="20"/>
          <w:color w:val="auto"/>
        </w:rPr>
      </w:pPr>
    </w:p>
    <w:p>
      <w:pPr>
        <w:ind w:left="2248"/>
        <w:spacing w:after="0"/>
        <w:rPr>
          <w:sz w:val="20"/>
          <w:szCs w:val="20"/>
          <w:color w:val="auto"/>
        </w:rPr>
      </w:pPr>
      <w:r>
        <w:rPr>
          <w:rFonts w:ascii="Arial" w:cs="Arial" w:eastAsia="Arial" w:hAnsi="Arial"/>
          <w:sz w:val="15"/>
          <w:szCs w:val="15"/>
          <w:color w:val="auto"/>
        </w:rPr>
        <w:t>Source: Bloomberg.</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Dividends</w:t>
      </w:r>
    </w:p>
    <w:p>
      <w:pPr>
        <w:spacing w:after="0" w:line="198"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5"/>
          <w:szCs w:val="15"/>
          <w:color w:val="auto"/>
        </w:rPr>
        <w:t>In accordance with our dividend policy, and aligned with prudent capital management, Credicorp Ltd.s’ Board, in its session on April 28, 2022, announced the distribution of dividends equivalent to S/ 15 per share. It is important to note that Credicorp makes every effort to compensate our shareholders’ investments within a framework defined by our obligations, results, plans and stakeholders’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-10160</wp:posOffset>
            </wp:positionV>
            <wp:extent cx="3660140" cy="2078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60140"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8" w:hanging="168"/>
        <w:spacing w:after="0"/>
        <w:tabs>
          <w:tab w:leader="none" w:pos="168"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Dividends of 2019, 2020 and 2021 have been converted to US$ using the accounting exchange rate at the end of 02/27/2020, 05/10/2021 and 06/08/2022, respectively.</w:t>
      </w:r>
    </w:p>
    <w:p>
      <w:pPr>
        <w:ind w:left="168" w:hanging="168"/>
        <w:spacing w:after="0"/>
        <w:tabs>
          <w:tab w:leader="none" w:pos="168"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 2018, an ordinary dividend (S/20.0000) and a special dividend (S/8.0000) were paid, which were converted into dollars at the accounting exchange rate at the close of 05/08/2019 and 11/20/2019, respectively.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20" w:name="page21"/>
    <w:bookmarkEnd w:id="20"/>
    <w:p>
      <w:pPr>
        <w:ind w:left="8"/>
        <w:spacing w:after="0"/>
        <w:rPr>
          <w:sz w:val="20"/>
          <w:szCs w:val="20"/>
          <w:color w:val="auto"/>
        </w:rPr>
      </w:pPr>
      <w:r>
        <w:rPr>
          <w:rFonts w:ascii="Arial" w:cs="Arial" w:eastAsia="Arial" w:hAnsi="Arial"/>
          <w:sz w:val="37"/>
          <w:szCs w:val="37"/>
          <w:b w:val="1"/>
          <w:bCs w:val="1"/>
          <w:color w:val="auto"/>
        </w:rPr>
        <w:t>Chapter 2</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28"/>
          <w:szCs w:val="28"/>
          <w:b w:val="1"/>
          <w:bCs w:val="1"/>
          <w:color w:val="auto"/>
        </w:rPr>
        <w:t>Our businesses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5264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79"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GRI 2-6</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5"/>
          <w:szCs w:val="15"/>
          <w:color w:val="auto"/>
        </w:rPr>
        <w:t>Credicorp is a financial holding and is organized into 4 lines of business. We have differentiated strategies for our subsidiaries.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595959"/>
        </w:rPr>
        <w:t>1. Universal Banking</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808080"/>
        </w:rPr>
        <w:t>Banco de Crédito BCP – The N°1 bank for loans and deposits in Peru</w:t>
      </w:r>
    </w:p>
    <w:p>
      <w:pPr>
        <w:spacing w:after="0" w:line="184"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BCP is an institution in the Peruvian financial system and provider of financial services. This bank engages in commercial banking activities through its Wholesale Banking division, which provides specially designed services for corporate clients and large companies, and its Retail Banking division, which serves small and medium companies as well as individuals. BCP provides financing and savings solutions.</w:t>
      </w:r>
    </w:p>
    <w:p>
      <w:pPr>
        <w:spacing w:after="0" w:line="40" w:lineRule="exact"/>
        <w:rPr>
          <w:sz w:val="20"/>
          <w:szCs w:val="20"/>
          <w:color w:val="auto"/>
        </w:rPr>
      </w:pPr>
    </w:p>
    <w:p>
      <w:pPr>
        <w:ind w:left="548" w:hanging="271"/>
        <w:spacing w:after="0"/>
        <w:tabs>
          <w:tab w:leader="none" w:pos="5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Leader in loans and deposits in Peru. MS</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of 29.9% and 32.2% respectively</w:t>
      </w:r>
    </w:p>
    <w:p>
      <w:pPr>
        <w:ind w:left="548" w:hanging="271"/>
        <w:spacing w:after="0"/>
        <w:tabs>
          <w:tab w:leader="none" w:pos="5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Loans for S/ 123,708 million and Government Programs for S/ 8,557 million</w:t>
      </w:r>
    </w:p>
    <w:p>
      <w:pPr>
        <w:spacing w:after="0" w:line="173" w:lineRule="exact"/>
        <w:rPr>
          <w:sz w:val="20"/>
          <w:szCs w:val="20"/>
          <w:color w:val="auto"/>
        </w:rPr>
      </w:pPr>
    </w:p>
    <w:p>
      <w:pPr>
        <w:jc w:val="both"/>
        <w:ind w:left="8"/>
        <w:spacing w:after="0" w:line="258" w:lineRule="auto"/>
        <w:rPr>
          <w:sz w:val="20"/>
          <w:szCs w:val="20"/>
          <w:color w:val="auto"/>
        </w:rPr>
      </w:pPr>
      <w:r>
        <w:rPr>
          <w:rFonts w:ascii="Arial" w:cs="Arial" w:eastAsia="Arial" w:hAnsi="Arial"/>
          <w:sz w:val="15"/>
          <w:szCs w:val="15"/>
          <w:color w:val="auto"/>
        </w:rPr>
        <w:t>BCP’s purpose is to “Transform plans into reality.” The bank has two north stars that guide its journey: (i) to be the number 1 bank in client experience and i) have the best efficiency ratio in Latin America.</w:t>
      </w:r>
    </w:p>
    <w:p>
      <w:pPr>
        <w:spacing w:after="0" w:line="148"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At BCP, we work to develop internal capacities, which we denominate enablers, to ensure that we stay on track. These enablers are: (i) Information Technology, (ii) Data and Analytics, (iii) Cybersecurity. On the Information Technology Front, in 2022 we continued to transform our infrastructure through APIs to obtain greater efficiency and flexibility. We prioritized our operational stability to handle growth in digital transactions. Additionally, we achieved record-high uptimes that were comparable to those of first tier banks. On the Data and Analytics front, our Data Lake has more than 28 thousand variables and covered 77% of the economically active population. We leveraged this data to build risk models and develop personalized solutions. Finally, on the cybersecurity front, we launched mass campaigns to train our employees and are equipped with cutting-edge technological solutions that protect us against phishing, malware, data leaks, etc.</w:t>
      </w:r>
    </w:p>
    <w:p>
      <w:pPr>
        <w:spacing w:after="0" w:line="158" w:lineRule="exact"/>
        <w:rPr>
          <w:sz w:val="20"/>
          <w:szCs w:val="20"/>
          <w:color w:val="auto"/>
        </w:rPr>
      </w:pPr>
    </w:p>
    <w:p>
      <w:pPr>
        <w:ind w:left="548" w:right="20" w:hanging="271"/>
        <w:spacing w:after="0" w:line="264" w:lineRule="auto"/>
        <w:tabs>
          <w:tab w:leader="none" w:pos="5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2022, our digital sales accounted for 61% of total units sold through retail banking and 66% of the monetary transactions were made through digital channels. At year-end, 67% our clients in Personal Banking were classified as digital</w:t>
      </w:r>
      <w:r>
        <w:rPr>
          <w:rFonts w:ascii="Arial" w:cs="Arial" w:eastAsia="Arial" w:hAnsi="Arial"/>
          <w:sz w:val="25"/>
          <w:szCs w:val="25"/>
          <w:color w:val="auto"/>
          <w:vertAlign w:val="superscript"/>
        </w:rPr>
        <w:t>2</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14274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5" w:lineRule="exact"/>
        <w:rPr>
          <w:sz w:val="20"/>
          <w:szCs w:val="20"/>
          <w:color w:val="auto"/>
        </w:rPr>
      </w:pPr>
    </w:p>
    <w:p>
      <w:pPr>
        <w:ind w:left="68" w:hanging="68"/>
        <w:spacing w:after="0"/>
        <w:tabs>
          <w:tab w:leader="none" w:pos="68" w:val="left"/>
        </w:tabs>
        <w:numPr>
          <w:ilvl w:val="0"/>
          <w:numId w:val="20"/>
        </w:numPr>
        <w:rPr>
          <w:rFonts w:ascii="Arial" w:cs="Arial" w:eastAsia="Arial" w:hAnsi="Arial"/>
          <w:sz w:val="18"/>
          <w:szCs w:val="18"/>
          <w:color w:val="auto"/>
          <w:vertAlign w:val="superscript"/>
        </w:rPr>
      </w:pPr>
      <w:r>
        <w:rPr>
          <w:rFonts w:ascii="Arial" w:cs="Arial" w:eastAsia="Arial" w:hAnsi="Arial"/>
          <w:sz w:val="11"/>
          <w:szCs w:val="11"/>
          <w:color w:val="auto"/>
        </w:rPr>
        <w:t>Market share within the entire Financial System (includes Multiple Banking, financial companies, municipal savings banks, rural savings banks, and credit companies)</w:t>
      </w:r>
    </w:p>
    <w:p>
      <w:pPr>
        <w:spacing w:after="0" w:line="7" w:lineRule="exact"/>
        <w:rPr>
          <w:sz w:val="20"/>
          <w:szCs w:val="20"/>
          <w:color w:val="auto"/>
        </w:rPr>
      </w:pPr>
    </w:p>
    <w:p>
      <w:pPr>
        <w:ind w:left="8" w:right="220" w:hanging="8"/>
        <w:spacing w:after="0" w:line="189" w:lineRule="auto"/>
        <w:tabs>
          <w:tab w:leader="none" w:pos="82" w:val="left"/>
        </w:tabs>
        <w:numPr>
          <w:ilvl w:val="0"/>
          <w:numId w:val="21"/>
        </w:numPr>
        <w:rPr>
          <w:rFonts w:ascii="Arial" w:cs="Arial" w:eastAsia="Arial" w:hAnsi="Arial"/>
          <w:sz w:val="17"/>
          <w:szCs w:val="17"/>
          <w:color w:val="auto"/>
          <w:vertAlign w:val="superscript"/>
        </w:rPr>
      </w:pPr>
      <w:r>
        <w:rPr>
          <w:rFonts w:ascii="Arial" w:cs="Arial" w:eastAsia="Arial" w:hAnsi="Arial"/>
          <w:sz w:val="10"/>
          <w:szCs w:val="10"/>
          <w:color w:val="auto"/>
        </w:rPr>
        <w:t>Digital clients are retail customers who meet at least one of three conditions: (i) conduct at least 50% of their monetary transactions through digital channels, (ii) conduct at least 50% of their non-monetary transactions through digital channels, or (iii) purchased products digitally in the last 12 months.</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209" w:right="319" w:bottom="1440" w:gutter="0" w:footer="0" w:header="0"/>
        </w:sectPr>
      </w:pPr>
    </w:p>
    <w:bookmarkStart w:id="21" w:name="page22"/>
    <w:bookmarkEnd w:id="21"/>
    <w:p>
      <w:pPr>
        <w:ind w:left="8"/>
        <w:spacing w:after="0"/>
        <w:rPr>
          <w:sz w:val="20"/>
          <w:szCs w:val="20"/>
          <w:color w:val="auto"/>
        </w:rPr>
      </w:pPr>
      <w:r>
        <w:rPr>
          <w:rFonts w:ascii="Arial" w:cs="Arial" w:eastAsia="Arial" w:hAnsi="Arial"/>
          <w:sz w:val="17"/>
          <w:szCs w:val="17"/>
          <w:b w:val="1"/>
          <w:bCs w:val="1"/>
          <w:color w:val="808080"/>
        </w:rPr>
        <w:t>Banco de Crédito de Bolivia – Top 6 in loans and deposits in the Bolivian Financial System</w:t>
      </w:r>
    </w:p>
    <w:p>
      <w:pPr>
        <w:spacing w:after="0" w:line="185" w:lineRule="exact"/>
        <w:rPr>
          <w:sz w:val="20"/>
          <w:szCs w:val="20"/>
          <w:color w:val="auto"/>
        </w:rPr>
      </w:pPr>
    </w:p>
    <w:p>
      <w:pPr>
        <w:ind w:left="8" w:right="20"/>
        <w:spacing w:after="0" w:line="258" w:lineRule="auto"/>
        <w:rPr>
          <w:sz w:val="20"/>
          <w:szCs w:val="20"/>
          <w:color w:val="auto"/>
        </w:rPr>
      </w:pPr>
      <w:r>
        <w:rPr>
          <w:rFonts w:ascii="Arial" w:cs="Arial" w:eastAsia="Arial" w:hAnsi="Arial"/>
          <w:sz w:val="15"/>
          <w:szCs w:val="15"/>
          <w:color w:val="auto"/>
        </w:rPr>
        <w:t>Banco de Crédito de Bolivia is a universal bank that is solidly positioned at the national level. It has an extensive network of service and sales channels (more than 1,300 points of service). The bank is focused on on-going innovation and seeks to position itself as the clients’ first option in the Bolivian financial system.</w:t>
      </w:r>
    </w:p>
    <w:p>
      <w:pPr>
        <w:spacing w:after="0" w:line="148" w:lineRule="exact"/>
        <w:rPr>
          <w:sz w:val="20"/>
          <w:szCs w:val="20"/>
          <w:color w:val="auto"/>
        </w:rPr>
      </w:pPr>
    </w:p>
    <w:p>
      <w:pPr>
        <w:ind w:left="528" w:hanging="263"/>
        <w:spacing w:after="0"/>
        <w:tabs>
          <w:tab w:leader="none" w:pos="528" w:val="left"/>
        </w:tabs>
        <w:numPr>
          <w:ilvl w:val="1"/>
          <w:numId w:val="22"/>
        </w:numPr>
        <w:rPr>
          <w:rFonts w:ascii="Arial" w:cs="Arial" w:eastAsia="Arial" w:hAnsi="Arial"/>
          <w:sz w:val="15"/>
          <w:szCs w:val="15"/>
          <w:color w:val="auto"/>
        </w:rPr>
      </w:pPr>
      <w:r>
        <w:rPr>
          <w:rFonts w:ascii="Arial" w:cs="Arial" w:eastAsia="Arial" w:hAnsi="Arial"/>
          <w:sz w:val="15"/>
          <w:szCs w:val="15"/>
          <w:color w:val="auto"/>
        </w:rPr>
        <w:t>Loans totaled S/ 9,254 million with an MS of 8.3% deposits totaled S/10,986 million with an MS of 8.2% in Bolivia</w:t>
      </w:r>
    </w:p>
    <w:p>
      <w:pPr>
        <w:ind w:left="548" w:hanging="271"/>
        <w:spacing w:after="0"/>
        <w:tabs>
          <w:tab w:leader="none" w:pos="548" w:val="left"/>
        </w:tabs>
        <w:numPr>
          <w:ilvl w:val="2"/>
          <w:numId w:val="22"/>
        </w:numPr>
        <w:rPr>
          <w:rFonts w:ascii="Arial" w:cs="Arial" w:eastAsia="Arial" w:hAnsi="Arial"/>
          <w:sz w:val="15"/>
          <w:szCs w:val="15"/>
          <w:color w:val="auto"/>
        </w:rPr>
      </w:pPr>
      <w:r>
        <w:rPr>
          <w:rFonts w:ascii="Arial" w:cs="Arial" w:eastAsia="Arial" w:hAnsi="Arial"/>
          <w:sz w:val="15"/>
          <w:szCs w:val="15"/>
          <w:color w:val="auto"/>
        </w:rPr>
        <w:t>More than 400 thousand active users of the Soli application</w:t>
      </w:r>
    </w:p>
    <w:p>
      <w:pPr>
        <w:spacing w:after="0" w:line="149" w:lineRule="exact"/>
        <w:rPr>
          <w:rFonts w:ascii="Arial" w:cs="Arial" w:eastAsia="Arial" w:hAnsi="Arial"/>
          <w:sz w:val="15"/>
          <w:szCs w:val="15"/>
          <w:color w:val="auto"/>
        </w:rPr>
      </w:pPr>
    </w:p>
    <w:p>
      <w:pPr>
        <w:ind w:left="328" w:hanging="328"/>
        <w:spacing w:after="0"/>
        <w:tabs>
          <w:tab w:leader="none" w:pos="328" w:val="left"/>
        </w:tabs>
        <w:numPr>
          <w:ilvl w:val="0"/>
          <w:numId w:val="22"/>
        </w:numPr>
        <w:rPr>
          <w:rFonts w:ascii="Arial" w:cs="Arial" w:eastAsia="Arial" w:hAnsi="Arial"/>
          <w:sz w:val="22"/>
          <w:szCs w:val="22"/>
          <w:b w:val="1"/>
          <w:bCs w:val="1"/>
          <w:color w:val="595959"/>
        </w:rPr>
      </w:pPr>
      <w:r>
        <w:rPr>
          <w:rFonts w:ascii="Arial" w:cs="Arial" w:eastAsia="Arial" w:hAnsi="Arial"/>
          <w:sz w:val="22"/>
          <w:szCs w:val="22"/>
          <w:b w:val="1"/>
          <w:bCs w:val="1"/>
          <w:color w:val="595959"/>
        </w:rPr>
        <w:t>Microfinance</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808080"/>
        </w:rPr>
        <w:t>Mibanco – Leader in Microfinance in Latin America and the second most relevant player in the world</w:t>
      </w:r>
    </w:p>
    <w:p>
      <w:pPr>
        <w:spacing w:after="0" w:line="184" w:lineRule="exact"/>
        <w:rPr>
          <w:sz w:val="20"/>
          <w:szCs w:val="20"/>
          <w:color w:val="auto"/>
        </w:rPr>
      </w:pPr>
    </w:p>
    <w:p>
      <w:pPr>
        <w:ind w:left="8"/>
        <w:spacing w:after="0" w:line="258" w:lineRule="auto"/>
        <w:rPr>
          <w:sz w:val="20"/>
          <w:szCs w:val="20"/>
          <w:color w:val="auto"/>
        </w:rPr>
      </w:pPr>
      <w:r>
        <w:rPr>
          <w:rFonts w:ascii="Arial" w:cs="Arial" w:eastAsia="Arial" w:hAnsi="Arial"/>
          <w:sz w:val="15"/>
          <w:szCs w:val="15"/>
          <w:color w:val="auto"/>
        </w:rPr>
        <w:t>Mibanco is an entity in the Peruvian Financial System that serves micro and small businesses. It has the largest network for service in this segment and serves clients through Internet Banking, App Mibanco, telephone banking, correspondent agents and BCP ATMs.</w:t>
      </w:r>
    </w:p>
    <w:p>
      <w:pPr>
        <w:spacing w:after="0" w:line="148" w:lineRule="exact"/>
        <w:rPr>
          <w:sz w:val="20"/>
          <w:szCs w:val="20"/>
          <w:color w:val="auto"/>
        </w:rPr>
      </w:pPr>
    </w:p>
    <w:p>
      <w:pPr>
        <w:ind w:left="548" w:hanging="271"/>
        <w:spacing w:after="0"/>
        <w:tabs>
          <w:tab w:leader="none" w:pos="5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Regional leader in microfinance with 21.5% of MS in Peru in terms of loans</w:t>
      </w:r>
    </w:p>
    <w:p>
      <w:pPr>
        <w:ind w:left="548" w:hanging="271"/>
        <w:spacing w:after="0"/>
        <w:tabs>
          <w:tab w:leader="none" w:pos="5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Loans for S/ 14,089 million, of which S/ 954 million were Government Program loans</w:t>
      </w:r>
    </w:p>
    <w:p>
      <w:pPr>
        <w:spacing w:after="0" w:line="155" w:lineRule="exact"/>
        <w:rPr>
          <w:sz w:val="20"/>
          <w:szCs w:val="20"/>
          <w:color w:val="auto"/>
        </w:rPr>
      </w:pPr>
    </w:p>
    <w:p>
      <w:pPr>
        <w:ind w:left="8" w:right="100"/>
        <w:spacing w:after="0" w:line="283" w:lineRule="auto"/>
        <w:rPr>
          <w:sz w:val="20"/>
          <w:szCs w:val="20"/>
          <w:color w:val="auto"/>
        </w:rPr>
      </w:pPr>
      <w:r>
        <w:rPr>
          <w:rFonts w:ascii="Arial" w:cs="Arial" w:eastAsia="Arial" w:hAnsi="Arial"/>
          <w:sz w:val="15"/>
          <w:szCs w:val="15"/>
          <w:color w:val="auto"/>
        </w:rPr>
        <w:t xml:space="preserve">Mibanco’s purpose is to </w:t>
      </w:r>
      <w:r>
        <w:rPr>
          <w:rFonts w:ascii="Arial" w:cs="Arial" w:eastAsia="Arial" w:hAnsi="Arial"/>
          <w:sz w:val="15"/>
          <w:szCs w:val="15"/>
          <w:b w:val="1"/>
          <w:bCs w:val="1"/>
          <w:color w:val="auto"/>
        </w:rPr>
        <w:t>“Transform people’s lives armed with a commitment to financial inclusion and progress as we contribute to the country’s growth.”</w:t>
      </w:r>
      <w:r>
        <w:rPr>
          <w:rFonts w:ascii="Arial" w:cs="Arial" w:eastAsia="Arial" w:hAnsi="Arial"/>
          <w:sz w:val="15"/>
          <w:szCs w:val="15"/>
          <w:color w:val="auto"/>
        </w:rPr>
        <w:t xml:space="preserve"> To fulfill this purpose, the bank seeks to improve productivity, experience and growth.</w:t>
      </w:r>
    </w:p>
    <w:p>
      <w:pPr>
        <w:spacing w:after="0" w:line="303" w:lineRule="exact"/>
        <w:rPr>
          <w:sz w:val="20"/>
          <w:szCs w:val="20"/>
          <w:color w:val="auto"/>
        </w:rPr>
      </w:pPr>
    </w:p>
    <w:p>
      <w:pPr>
        <w:jc w:val="both"/>
        <w:ind w:left="8"/>
        <w:spacing w:after="0" w:line="245" w:lineRule="auto"/>
        <w:rPr>
          <w:sz w:val="20"/>
          <w:szCs w:val="20"/>
          <w:color w:val="auto"/>
        </w:rPr>
      </w:pPr>
      <w:r>
        <w:rPr>
          <w:rFonts w:ascii="Arial" w:cs="Arial" w:eastAsia="Arial" w:hAnsi="Arial"/>
          <w:sz w:val="15"/>
          <w:szCs w:val="15"/>
          <w:color w:val="auto"/>
        </w:rPr>
        <w:t>To advance on these fronts, the bank leverages 3 enablers: (i) centralized intelligence, (ii) alternative channels (iii) excellence in commercial execution. On the centralized intelligence front, the percentage of disbursements associated with commercial offers generated by our centralized intelligence engine rose to 75.8% in 2022 (versus 67.5% in 2021 and 53.4% in 2020). On the alternative channel front, our disbursement volume stood at 14.9% in 2022 (versus 8.6% in 2021 and 5.6% in 2020). Finally, our relationship managers’ focus on excellence is reflected in the resilience of the volumes disbursed through traditional channels, where disbursements hit an all-time high in 2022 despite a drop in the number of relationship managers and a context marred by social protests.</w:t>
      </w:r>
    </w:p>
    <w:p>
      <w:pPr>
        <w:spacing w:after="0" w:line="157"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5"/>
          <w:szCs w:val="15"/>
          <w:color w:val="auto"/>
        </w:rPr>
        <w:t>Thanks to the advances generated by these enablers, in 2022 we achieved a substantive improvement in our efficiency ratio, which stood at 51.3% (-410bps). Finally, the number of people financially included by Mibanco in 2022 totaled 72 thousand.</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595959"/>
        </w:rPr>
        <w:t>3. Insurance and Pensions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808080"/>
        </w:rPr>
        <w:t>Grupo Pacífico – Top 2 in net earned premiums in the Peruvian insurance market</w:t>
      </w:r>
    </w:p>
    <w:p>
      <w:pPr>
        <w:spacing w:after="0" w:line="184"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Grupo Pacífico is a leading institution in the Peruvian insurance system. The company has two businesses to attend to different fronts of its market: Life and P&amp;C. In 2015, Grupo Pacífico entered into a joint venture with Banmédica to participate as equal partners in the health insurance and medical service lines. This venture covers private health insurance (Medical Assistance), which is managed by Pacífico Seguros (and reported within the P&amp;C business), corporate health insurance for employees (EPS insurance) and medical service subsidiaries (clinics, laboratories,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22" w:name="page23"/>
    <w:bookmarkEnd w:id="22"/>
    <w:p>
      <w:pPr>
        <w:ind w:right="20"/>
        <w:spacing w:after="0" w:line="257" w:lineRule="auto"/>
        <w:rPr>
          <w:sz w:val="20"/>
          <w:szCs w:val="20"/>
          <w:color w:val="auto"/>
        </w:rPr>
      </w:pPr>
      <w:r>
        <w:rPr>
          <w:rFonts w:ascii="Arial" w:cs="Arial" w:eastAsia="Arial" w:hAnsi="Arial"/>
          <w:sz w:val="15"/>
          <w:szCs w:val="15"/>
          <w:color w:val="auto"/>
        </w:rPr>
        <w:t>oncological centers). Under this alliance, Grupo Pacífico transferred control of EPS insurance and of the medical service subsidiaries to Banmédica. Consequently, the EPS and medical services lines are not consolidated within Grupo Pacífico for accounting purposes and are reported as an investment in associates.</w:t>
      </w:r>
    </w:p>
    <w:p>
      <w:pPr>
        <w:spacing w:after="0" w:line="149" w:lineRule="exact"/>
        <w:rPr>
          <w:sz w:val="20"/>
          <w:szCs w:val="20"/>
          <w:color w:val="auto"/>
        </w:rPr>
      </w:pPr>
    </w:p>
    <w:p>
      <w:pPr>
        <w:ind w:left="540" w:hanging="271"/>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2nd in net earned premiums with S/ 2,881 million in the Peruvian insurance market.</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Pacífico Seguro’s purpose is to </w:t>
      </w:r>
      <w:r>
        <w:rPr>
          <w:rFonts w:ascii="Arial" w:cs="Arial" w:eastAsia="Arial" w:hAnsi="Arial"/>
          <w:sz w:val="15"/>
          <w:szCs w:val="15"/>
          <w:b w:val="1"/>
          <w:bCs w:val="1"/>
          <w:color w:val="auto"/>
        </w:rPr>
        <w:t>“Protect people’s happiness.”</w:t>
      </w:r>
      <w:r>
        <w:rPr>
          <w:rFonts w:ascii="Arial" w:cs="Arial" w:eastAsia="Arial" w:hAnsi="Arial"/>
          <w:sz w:val="15"/>
          <w:szCs w:val="15"/>
          <w:color w:val="auto"/>
        </w:rPr>
        <w:t xml:space="preserve"> The insurer has three north stars, which guide its journey. These are: (i) Increasing our sales so that clients can be protected; this entails developing new products and own channels and leveraging the power of Credicorp’s channels, (ii) Achieving the highest NPS in the market by surprising our clients with an extraordinary experience and placing them at the center of everything we do, and (iii) Continuing as market leader for efficiency to offer the best protection to our clients through the value that we create for our stakeholders.</w:t>
      </w:r>
    </w:p>
    <w:p>
      <w:pPr>
        <w:spacing w:after="0" w:line="152"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At Pacífico Seguros, we work to develop our internal capacities, which we denominate enablers, to ensure we follow our north stars. These enablers are: (i) Agility and (ii) Data Analytics. On the Agility front, we have completed our “Agile at Scale” and 36% of our employees work through our agile operating model. On the Data Analysis front, we have begun implementing our Target Operating Model to ensure that analytics efforts are developed jointly with our commercial teams.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Thanks to our transformation initiatives, premiums generated through digital channels rose 56% compared to 2021. Additionally, our application Mi Espacio Pacífico reported 56% growth in the number of users.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808080"/>
        </w:rPr>
        <w:t>Prima AFP – Second most important actor in the Pension business in Peru</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 xml:space="preserve">This company is a private pension fund manager, which was chartered in 2005. It ranks 2nd place in funds under management with a total of S/ 31,850 million and an MS of 30.1%. Prima AFP’s purpose is to </w:t>
      </w:r>
      <w:r>
        <w:rPr>
          <w:rFonts w:ascii="Arial" w:cs="Arial" w:eastAsia="Arial" w:hAnsi="Arial"/>
          <w:sz w:val="15"/>
          <w:szCs w:val="15"/>
          <w:b w:val="1"/>
          <w:bCs w:val="1"/>
          <w:color w:val="auto"/>
        </w:rPr>
        <w:t>“Guide and accompany people in their progress.”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4. Investment Banking and Wealth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808080"/>
        </w:rPr>
        <w:t>Credicorp Capital</w:t>
      </w:r>
    </w:p>
    <w:p>
      <w:pPr>
        <w:spacing w:after="0" w:line="184"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Credicorp Capital aspires to be the financial advisory and services company of choice in the region and seeks to employ the best talent. The company conducts operations in Peru, Colombia, Chile and the United States through five business units: (i) Asset Management, (ii) Capital Markets, (iii) Corporate Finance, (iv) Wealth Management and (v) Fiduciary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808080"/>
        </w:rPr>
        <w:t>ASB Bank Corp</w:t>
      </w:r>
    </w:p>
    <w:p>
      <w:pPr>
        <w:spacing w:after="0" w:line="184"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ASB is our banking platform in Panama. Its balance backs Credicorp Capital’s Wealth Manager and Corporate Finance businesses. ASB also acts as a platform for some of strategies of the trading business in the Capital Markets.</w:t>
      </w:r>
    </w:p>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In the Investment Banking and Wealth Management business, we are in the final stage of a comprehensive review of our strategy. We seek to focus on developing businesses that provide growth opportunities in the current regional context.</w:t>
      </w:r>
    </w:p>
    <w:p>
      <w:pPr>
        <w:spacing w:after="0" w:line="148" w:lineRule="exact"/>
        <w:rPr>
          <w:sz w:val="20"/>
          <w:szCs w:val="20"/>
          <w:color w:val="auto"/>
        </w:rPr>
      </w:pPr>
    </w:p>
    <w:p>
      <w:pPr>
        <w:ind w:left="520" w:hanging="263"/>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Assets under management for more than S/ 124 billion (includes ASB and Credicorp Capital)</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3" w:name="page24"/>
    <w:bookmarkEnd w:id="23"/>
    <w:p>
      <w:pPr>
        <w:spacing w:after="0"/>
        <w:rPr>
          <w:sz w:val="20"/>
          <w:szCs w:val="20"/>
          <w:color w:val="auto"/>
        </w:rPr>
      </w:pPr>
      <w:r>
        <w:rPr>
          <w:rFonts w:ascii="Arial" w:cs="Arial" w:eastAsia="Arial" w:hAnsi="Arial"/>
          <w:sz w:val="37"/>
          <w:szCs w:val="37"/>
          <w:b w:val="1"/>
          <w:bCs w:val="1"/>
          <w:color w:val="auto"/>
        </w:rPr>
        <w:t>Chapter 3</w:t>
      </w:r>
    </w:p>
    <w:p>
      <w:pPr>
        <w:spacing w:after="0" w:line="18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5264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A.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125730</wp:posOffset>
            </wp:positionV>
            <wp:extent cx="4026535" cy="2078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26535"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Source: INEI, BCRP.</w:t>
      </w:r>
    </w:p>
    <w:p>
      <w:pPr>
        <w:spacing w:after="0" w:line="162" w:lineRule="exact"/>
        <w:rPr>
          <w:sz w:val="20"/>
          <w:szCs w:val="20"/>
          <w:color w:val="auto"/>
        </w:rPr>
      </w:pPr>
    </w:p>
    <w:p>
      <w:pPr>
        <w:jc w:val="both"/>
        <w:spacing w:after="0" w:line="218" w:lineRule="auto"/>
        <w:rPr>
          <w:sz w:val="20"/>
          <w:szCs w:val="20"/>
          <w:color w:val="auto"/>
        </w:rPr>
      </w:pPr>
      <w:r>
        <w:rPr>
          <w:rFonts w:ascii="Arial" w:cs="Arial" w:eastAsia="Arial" w:hAnsi="Arial"/>
          <w:sz w:val="15"/>
          <w:szCs w:val="15"/>
          <w:color w:val="auto"/>
        </w:rPr>
        <w:t>In 2022, GDP rose around 2.7%. Private consumption increased 4.4%</w:t>
      </w:r>
      <w:r>
        <w:rPr>
          <w:rFonts w:ascii="Arial" w:cs="Arial" w:eastAsia="Arial" w:hAnsi="Arial"/>
          <w:sz w:val="25"/>
          <w:szCs w:val="25"/>
          <w:color w:val="auto"/>
          <w:vertAlign w:val="superscript"/>
        </w:rPr>
        <w:t>1</w:t>
      </w:r>
      <w:r>
        <w:rPr>
          <w:rFonts w:ascii="Arial" w:cs="Arial" w:eastAsia="Arial" w:hAnsi="Arial"/>
          <w:sz w:val="15"/>
          <w:szCs w:val="15"/>
          <w:color w:val="auto"/>
        </w:rPr>
        <w:t>, sustained by the normalization in household expenses after the pandemic; a recovery in employment; and withdrawals from Severance Indemnity Accounts (CTS) and Pension Funds. Private investment remained at similar levels compared to last year. At the sectorial level, the most dynamic sectors were services (3.4%), commercial (3.3%) and non-primary manufacturing (2.3%), which reflects an expansion in private consumption and a return to pre-pandemic activity levels. Nevertheless, the primary sectors fell around 0.5%, driven by a contraction in mining (-0.2%), primary manufacturing (-2.9%) and fishing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14274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43" w:lineRule="exact"/>
        <w:rPr>
          <w:sz w:val="20"/>
          <w:szCs w:val="20"/>
          <w:color w:val="auto"/>
        </w:rPr>
      </w:pPr>
    </w:p>
    <w:p>
      <w:pPr>
        <w:ind w:left="380" w:hanging="111"/>
        <w:spacing w:after="0"/>
        <w:tabs>
          <w:tab w:leader="none" w:pos="380" w:val="left"/>
        </w:tabs>
        <w:numPr>
          <w:ilvl w:val="0"/>
          <w:numId w:val="26"/>
        </w:numPr>
        <w:rPr>
          <w:rFonts w:ascii="Arial" w:cs="Arial" w:eastAsia="Arial" w:hAnsi="Arial"/>
          <w:sz w:val="26"/>
          <w:szCs w:val="26"/>
          <w:color w:val="auto"/>
          <w:vertAlign w:val="superscript"/>
        </w:rPr>
      </w:pPr>
      <w:r>
        <w:rPr>
          <w:rFonts w:ascii="Arial" w:cs="Arial" w:eastAsia="Arial" w:hAnsi="Arial"/>
          <w:sz w:val="15"/>
          <w:szCs w:val="15"/>
          <w:color w:val="auto"/>
        </w:rPr>
        <w:t>Estimate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94" w:right="31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808080"/>
        </w:rPr>
        <w:t>B.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125730</wp:posOffset>
            </wp:positionV>
            <wp:extent cx="4026535" cy="17716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26535"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Source: INEI.</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Interannual inflation stood at 8.5% in 2022, which represented a record high for the past 26 years. This was driven by higher international oil prices (WTI average 2022: +39% vs 2021) and agricultural commodities (wheat +28% and corn: +19%), accompanied by interruptions in the global supply chains, which led to product scarcity and delays in deliveries, which impacted negatively goods prices. In this context, inflation stood above BCRP’s target range of 1% to 3% for second consecutive year. Core inflation, which excludes food and energy, stood at 5.6% at the end of 2022, close to its maximum reported for last 22 years.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C. Reference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125730</wp:posOffset>
            </wp:positionV>
            <wp:extent cx="4026535" cy="15811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26535" cy="158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Source: BCRP.</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5" w:name="page26"/>
    <w:bookmarkEnd w:id="25"/>
    <w:p>
      <w:pPr>
        <w:ind w:right="400"/>
        <w:spacing w:after="0" w:line="257" w:lineRule="auto"/>
        <w:rPr>
          <w:sz w:val="20"/>
          <w:szCs w:val="20"/>
          <w:color w:val="auto"/>
        </w:rPr>
      </w:pPr>
      <w:r>
        <w:rPr>
          <w:rFonts w:ascii="Arial" w:cs="Arial" w:eastAsia="Arial" w:hAnsi="Arial"/>
          <w:sz w:val="15"/>
          <w:szCs w:val="15"/>
          <w:color w:val="auto"/>
        </w:rPr>
        <w:t>BCRP’s reference rate rose from 2.50% at the end of 2021 to 7.50% at the end of 2022 and reached a historic high. During the first eight months of the year, the regulatory entity raised its rate 50 bps per month until September, the rest of the year the monthly raise fell to 25 pbs.</w:t>
      </w:r>
    </w:p>
    <w:p>
      <w:pPr>
        <w:spacing w:after="0" w:line="149" w:lineRule="exact"/>
        <w:rPr>
          <w:sz w:val="20"/>
          <w:szCs w:val="20"/>
          <w:color w:val="auto"/>
        </w:rPr>
      </w:pPr>
    </w:p>
    <w:p>
      <w:pPr>
        <w:jc w:val="both"/>
        <w:ind w:right="500"/>
        <w:spacing w:after="0" w:line="258" w:lineRule="auto"/>
        <w:rPr>
          <w:sz w:val="20"/>
          <w:szCs w:val="20"/>
          <w:color w:val="auto"/>
        </w:rPr>
      </w:pPr>
      <w:r>
        <w:rPr>
          <w:rFonts w:ascii="Arial" w:cs="Arial" w:eastAsia="Arial" w:hAnsi="Arial"/>
          <w:sz w:val="15"/>
          <w:szCs w:val="15"/>
          <w:color w:val="auto"/>
        </w:rPr>
        <w:t>Rising reference rates are currently a global phenomenon, affecting both developed and emerging countries. The objective of Central Banks is to anchor future inflation expectations in a context marked by observed inflation rates that are the highest in decades and well above the targets set by these monetary entities.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808080"/>
        </w:rPr>
        <w:t>D. Public finance and the external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109220</wp:posOffset>
            </wp:positionV>
            <wp:extent cx="4026535" cy="21374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26535"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Source: BCRP.</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fiscal deficit in 2022 stood at 1.6% of GDP versus 2.5 % of GDP at the end of 2021. This reduction was attributable, to a large extent, to the fact that fiscal income was up (12.7%) while current expenditures were down (0.9%), which reflected a drop in COVID-related expenditures. Over the same period, expenses in gross capital formation, related to public investments, grew 19.1%.</w:t>
      </w:r>
    </w:p>
    <w:p>
      <w:pPr>
        <w:spacing w:after="0" w:line="143" w:lineRule="exact"/>
        <w:rPr>
          <w:sz w:val="20"/>
          <w:szCs w:val="20"/>
          <w:color w:val="auto"/>
        </w:rPr>
      </w:pPr>
    </w:p>
    <w:p>
      <w:pPr>
        <w:jc w:val="both"/>
        <w:spacing w:after="0" w:line="186" w:lineRule="auto"/>
        <w:rPr>
          <w:sz w:val="20"/>
          <w:szCs w:val="20"/>
          <w:color w:val="auto"/>
        </w:rPr>
      </w:pPr>
      <w:r>
        <w:rPr>
          <w:rFonts w:ascii="Arial" w:cs="Arial" w:eastAsia="Arial" w:hAnsi="Arial"/>
          <w:sz w:val="15"/>
          <w:szCs w:val="15"/>
          <w:color w:val="auto"/>
        </w:rPr>
        <w:t>Public debt represented 34.4% of GDP at the end of 3Q22, versus 35.9% at the end of 2021. In terms of the country’s credit rating, in October 2022, Fitch Rating</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revised Peru’s outlook downward from stable to negative but maintained the country’s BBB rating as a foreign currency issuer. In December 2022, S&amp;P</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followed suit and reduced Peru’s outlook from stable to negative but maintained its long-term foreign currency rating at BBB. At year-end, a context marked but stagnation on the political front and elevated tensions between the Executive Branch threatened to weaken the government’s capacity to implement timely policies.</w:t>
      </w:r>
    </w:p>
    <w:p>
      <w:pPr>
        <w:spacing w:after="0" w:line="163" w:lineRule="exact"/>
        <w:rPr>
          <w:sz w:val="20"/>
          <w:szCs w:val="20"/>
          <w:color w:val="auto"/>
        </w:rPr>
      </w:pPr>
    </w:p>
    <w:p>
      <w:pPr>
        <w:ind w:right="220"/>
        <w:spacing w:after="0" w:line="245" w:lineRule="auto"/>
        <w:rPr>
          <w:sz w:val="20"/>
          <w:szCs w:val="20"/>
          <w:color w:val="auto"/>
        </w:rPr>
      </w:pPr>
      <w:r>
        <w:rPr>
          <w:rFonts w:ascii="Arial" w:cs="Arial" w:eastAsia="Arial" w:hAnsi="Arial"/>
          <w:sz w:val="15"/>
          <w:szCs w:val="15"/>
          <w:color w:val="auto"/>
        </w:rPr>
        <w:t>The current account deficit is expected to stand at 5.0% of GDP in 2022 versus 2.3% of GDP at the end of 2021. Growth in this line is primarily attributable to a reduction in the trade surplus, which fell from USD 14.8 billion in 2021 to USD 9.5 mil million in 2022 (imports rose 16.4% due to an uptick in prices for oil and agricultural products while exports rose 4.1% during this period). The increase registered for the current account deficit was primarily attributable to growth in the service balance deficit, which was driven by high international shipping costs; an uptick in Peruvian residents’ trips abroad; and the fact that international tourism to the country remained below pre-COVID levels.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595959"/>
        </w:rPr>
        <w:t>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125730</wp:posOffset>
            </wp:positionV>
            <wp:extent cx="3660140" cy="2035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60140" cy="203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Source: BCRP.</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exchange rate stood at S/ 3.81 at the end of 2022, which reflected appreciation of 4.1% with regard to the print at the end of 2021. Among Latam’s currencies, the Sol appreciated the most against the dollar, followed by the Brazilian real and Mexican peso, which appreciated 5.1% and 5.0% respectively. The Chilean peso remained stable (0.1%) over the same period while the Colombian peso fell almost 20%. These variations took place in a year in which the US Dollar hit its highest level in two decades, driven by Fed’s upward interest rate cycle.</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Throughout the year, the Peruvian sol fluctuated between a low of 3.63 at the beginning of April and a high of 4.00 at the end of October. A historic high of 4.14 was reached in October 2021. Political events in December 2022 (the coup attempt by Pedro Castillo, his subsequent impeachment by Congress and the swearing in of Dina Boluarte as the new president of Peru) had a limited impact on the exchange rate.</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2022, BCRP made spot sales for US$ 1.2 mil million; intervention was concentrated in the first half of the year. This contrasts with the record sales reported in 2021 of US$ 11.6 billion. BCRP’s stock of FX swaps remained relatively stable and closed the year at S/ 38.1 billion (S/ 37.8 billion in 2021).</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Finally, net international reserves closed 2022 at US$ 71,883 million versus US$ 78,495 million in 2021, which represented 30%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4999990</wp:posOffset>
            </wp:positionH>
            <wp:positionV relativeFrom="paragraph">
              <wp:posOffset>107950</wp:posOffset>
            </wp:positionV>
            <wp:extent cx="2150110" cy="495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0110" cy="495935"/>
                    </a:xfrm>
                    <a:prstGeom prst="rect">
                      <a:avLst/>
                    </a:prstGeom>
                    <a:noFill/>
                  </pic:spPr>
                </pic:pic>
              </a:graphicData>
            </a:graphic>
          </wp:anchor>
        </w:drawing>
      </w:r>
    </w:p>
    <w:p>
      <w:pPr>
        <w:spacing w:after="0" w:line="216"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auto"/>
        </w:rPr>
        <w:t>The exchange rate stood at S/ 3.81 per US</w:t>
      </w:r>
    </w:p>
    <w:p>
      <w:pPr>
        <w:spacing w:after="0" w:line="18"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auto"/>
        </w:rPr>
        <w:t>Dollar at the end of 2022 and reached a</w:t>
      </w:r>
    </w:p>
    <w:p>
      <w:pPr>
        <w:ind w:left="7980"/>
        <w:spacing w:after="0"/>
        <w:rPr>
          <w:sz w:val="20"/>
          <w:szCs w:val="20"/>
          <w:color w:val="auto"/>
        </w:rPr>
      </w:pPr>
      <w:r>
        <w:rPr>
          <w:rFonts w:ascii="Arial" w:cs="Arial" w:eastAsia="Arial" w:hAnsi="Arial"/>
          <w:sz w:val="15"/>
          <w:szCs w:val="15"/>
          <w:b w:val="1"/>
          <w:bCs w:val="1"/>
          <w:color w:val="auto"/>
        </w:rPr>
        <w:t>record high of S/ 4.00 in October.</w:t>
      </w: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 For more information, see the respective </w:t>
      </w:r>
      <w:r>
        <w:rPr>
          <w:rFonts w:ascii="Arial" w:cs="Arial" w:eastAsia="Arial" w:hAnsi="Arial"/>
          <w:sz w:val="11"/>
          <w:szCs w:val="11"/>
          <w:u w:val="single" w:color="auto"/>
          <w:color w:val="0563C9"/>
        </w:rPr>
        <w:t>6K</w:t>
      </w:r>
      <w:r>
        <w:rPr>
          <w:rFonts w:ascii="Arial" w:cs="Arial" w:eastAsia="Arial" w:hAnsi="Arial"/>
          <w:sz w:val="11"/>
          <w:szCs w:val="11"/>
          <w:color w:val="auto"/>
        </w:rPr>
        <w:t xml:space="preserve"> filing.</w:t>
      </w: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 For more information, see the respective </w:t>
      </w:r>
      <w:r>
        <w:rPr>
          <w:rFonts w:ascii="Arial" w:cs="Arial" w:eastAsia="Arial" w:hAnsi="Arial"/>
          <w:sz w:val="11"/>
          <w:szCs w:val="11"/>
          <w:u w:val="single" w:color="auto"/>
          <w:color w:val="0563C9"/>
        </w:rPr>
        <w:t>6K</w:t>
      </w:r>
      <w:r>
        <w:rPr>
          <w:rFonts w:ascii="Arial" w:cs="Arial" w:eastAsia="Arial" w:hAnsi="Arial"/>
          <w:sz w:val="11"/>
          <w:szCs w:val="11"/>
          <w:color w:val="auto"/>
        </w:rPr>
        <w:t xml:space="preserve"> filing.</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7" w:name="page28"/>
    <w:bookmarkEnd w:id="27"/>
    <w:p>
      <w:pPr>
        <w:spacing w:after="0"/>
        <w:rPr>
          <w:sz w:val="20"/>
          <w:szCs w:val="20"/>
          <w:color w:val="auto"/>
        </w:rPr>
      </w:pPr>
      <w:r>
        <w:rPr>
          <w:rFonts w:ascii="Arial" w:cs="Arial" w:eastAsia="Arial" w:hAnsi="Arial"/>
          <w:sz w:val="37"/>
          <w:szCs w:val="37"/>
          <w:b w:val="1"/>
          <w:bCs w:val="1"/>
          <w:color w:val="auto"/>
        </w:rPr>
        <w:t>Chapter 4</w:t>
      </w:r>
    </w:p>
    <w:p>
      <w:pPr>
        <w:spacing w:after="0" w:line="18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Economic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526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Topic: </w:t>
      </w:r>
      <w:r>
        <w:rPr>
          <w:rFonts w:ascii="Arial" w:cs="Arial" w:eastAsia="Arial" w:hAnsi="Arial"/>
          <w:sz w:val="15"/>
          <w:szCs w:val="15"/>
          <w:color w:val="auto"/>
        </w:rPr>
        <w:t>Economic and Financial Performance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GRI </w:t>
      </w:r>
      <w:r>
        <w:rPr>
          <w:rFonts w:ascii="Arial" w:cs="Arial" w:eastAsia="Arial" w:hAnsi="Arial"/>
          <w:sz w:val="15"/>
          <w:szCs w:val="15"/>
          <w:color w:val="auto"/>
        </w:rPr>
        <w:t>3-3, 201-1</w:t>
      </w:r>
    </w:p>
    <w:p>
      <w:pPr>
        <w:spacing w:after="0"/>
        <w:rPr>
          <w:sz w:val="20"/>
          <w:szCs w:val="20"/>
          <w:color w:val="auto"/>
        </w:rPr>
      </w:pPr>
      <w:r>
        <w:rPr>
          <w:rFonts w:ascii="Arial" w:cs="Arial" w:eastAsia="Arial" w:hAnsi="Arial"/>
          <w:sz w:val="15"/>
          <w:szCs w:val="15"/>
          <w:b w:val="1"/>
          <w:bCs w:val="1"/>
          <w:color w:val="auto"/>
        </w:rPr>
        <w:t xml:space="preserve">SASB </w:t>
      </w:r>
      <w:r>
        <w:rPr>
          <w:rFonts w:ascii="Arial" w:cs="Arial" w:eastAsia="Arial" w:hAnsi="Arial"/>
          <w:sz w:val="15"/>
          <w:szCs w:val="15"/>
          <w:color w:val="auto"/>
        </w:rPr>
        <w:t>FN-CB-000-B, FN-CB-410-a.1</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1</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Business sustainability at Credicorp depends, to a large extent, on the positive impacts that our companies generate for stakeholders and society over time. Credicorp’s LOBs are key drivers in the markets in which they participate, and the organization plays a fundamental role in adequately transferring, for example, resources generated by savings accounts to financing and investment efforts, which in turn generate value for society and promote economic development. On the insurance and pension fronts, we work to ensure our clients’ wellbeing today and down the line with products that protect and grow their assets.</w:t>
      </w:r>
    </w:p>
    <w:p>
      <w:pPr>
        <w:spacing w:after="0" w:line="157"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 the material analysis performed, Economic and Financial Performance were ranked among the primary material issues for both Credicorp and its stakeholders. Given the relevance of this issue, the following chapter provides details on the holding’s financial evolution and the economic contribution that the Group generates, whose benefits are transferred to society through multiple venues.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Economic Value Generated and Distributed</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Credicorp generates economic value through its operations, financial income and other income, which are distributed among different stakeholders and the society. In 2022, the economic value generated was S/ 20,120 million, which represents 20% more than in 2021. This value is distributed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94615</wp:posOffset>
            </wp:positionV>
            <wp:extent cx="5124450" cy="1236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24450" cy="123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Finally, the economic value retained by Credicorp amounted to S/ 4,243 million at the end of 2022.</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94" w:right="31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595959"/>
        </w:rPr>
        <w:t>Financial Performance - Despite an adverse environment, we closed 2022 with solid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125730</wp:posOffset>
            </wp:positionV>
            <wp:extent cx="3657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5760" cy="7620"/>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125730</wp:posOffset>
            </wp:positionV>
            <wp:extent cx="3587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8775" cy="7620"/>
                    </a:xfrm>
                    <a:prstGeom prst="rect">
                      <a:avLst/>
                    </a:prstGeom>
                    <a:noFill/>
                  </pic:spPr>
                </pic:pic>
              </a:graphicData>
            </a:graphic>
          </wp:anchor>
        </w:drawing>
      </w:r>
    </w:p>
    <w:p>
      <w:pPr>
        <w:spacing w:after="0" w:line="158" w:lineRule="exact"/>
        <w:rPr>
          <w:sz w:val="20"/>
          <w:szCs w:val="20"/>
          <w:color w:val="auto"/>
        </w:rPr>
      </w:pPr>
    </w:p>
    <w:tbl>
      <w:tblPr>
        <w:tblLayout w:type="fixed"/>
        <w:tblInd w:w="1690" w:type="dxa"/>
        <w:tblCellMar>
          <w:top w:w="0" w:type="dxa"/>
          <w:left w:w="0" w:type="dxa"/>
          <w:bottom w:w="0" w:type="dxa"/>
          <w:right w:w="0" w:type="dxa"/>
        </w:tblCellMar>
      </w:tblPr>
      <w:tr>
        <w:trPr>
          <w:trHeight w:val="173"/>
        </w:trPr>
        <w:tc>
          <w:tcPr>
            <w:tcW w:w="2940" w:type="dxa"/>
            <w:vAlign w:val="bottom"/>
            <w:tcBorders>
              <w:top w:val="single" w:sz="8" w:color="auto"/>
              <w:left w:val="single" w:sz="8" w:color="auto"/>
              <w:right w:val="single" w:sz="8" w:color="auto"/>
            </w:tcBorders>
            <w:shd w:val="clear" w:color="auto" w:fill="2AD2C9"/>
          </w:tcPr>
          <w:p>
            <w:pPr>
              <w:jc w:val="center"/>
              <w:spacing w:after="0" w:line="173" w:lineRule="exact"/>
              <w:rPr>
                <w:sz w:val="20"/>
                <w:szCs w:val="20"/>
                <w:color w:val="auto"/>
              </w:rPr>
            </w:pPr>
            <w:r>
              <w:rPr>
                <w:rFonts w:ascii="Arial" w:cs="Arial" w:eastAsia="Arial" w:hAnsi="Arial"/>
                <w:sz w:val="17"/>
                <w:szCs w:val="17"/>
                <w:b w:val="1"/>
                <w:bCs w:val="1"/>
                <w:color w:val="FFFFFF"/>
                <w:w w:val="98"/>
              </w:rPr>
              <w:t>Net income</w:t>
            </w:r>
          </w:p>
        </w:tc>
        <w:tc>
          <w:tcPr>
            <w:tcW w:w="560" w:type="dxa"/>
            <w:vAlign w:val="bottom"/>
            <w:tcBorders>
              <w:right w:val="single" w:sz="8" w:color="auto"/>
            </w:tcBorders>
          </w:tcPr>
          <w:p>
            <w:pPr>
              <w:spacing w:after="0"/>
              <w:rPr>
                <w:sz w:val="15"/>
                <w:szCs w:val="15"/>
                <w:color w:val="auto"/>
              </w:rPr>
            </w:pPr>
          </w:p>
        </w:tc>
        <w:tc>
          <w:tcPr>
            <w:tcW w:w="192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7"/>
                <w:szCs w:val="17"/>
                <w:b w:val="1"/>
                <w:bCs w:val="1"/>
                <w:color w:val="FFFFFF"/>
                <w:w w:val="98"/>
              </w:rPr>
              <w:t>NPL Ratio</w:t>
            </w:r>
          </w:p>
        </w:tc>
        <w:tc>
          <w:tcPr>
            <w:tcW w:w="580" w:type="dxa"/>
            <w:vAlign w:val="bottom"/>
            <w:tcBorders>
              <w:right w:val="single" w:sz="8" w:color="auto"/>
            </w:tcBorders>
          </w:tcPr>
          <w:p>
            <w:pPr>
              <w:spacing w:after="0"/>
              <w:rPr>
                <w:sz w:val="15"/>
                <w:szCs w:val="15"/>
                <w:color w:val="auto"/>
              </w:rPr>
            </w:pPr>
          </w:p>
        </w:tc>
        <w:tc>
          <w:tcPr>
            <w:tcW w:w="188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7"/>
                <w:szCs w:val="17"/>
                <w:b w:val="1"/>
                <w:bCs w:val="1"/>
                <w:color w:val="FFFFFF"/>
              </w:rPr>
              <w:t>Cost of Risk</w:t>
            </w:r>
          </w:p>
        </w:tc>
        <w:tc>
          <w:tcPr>
            <w:tcW w:w="0" w:type="dxa"/>
            <w:vAlign w:val="bottom"/>
          </w:tcPr>
          <w:p>
            <w:pPr>
              <w:spacing w:after="0"/>
              <w:rPr>
                <w:sz w:val="1"/>
                <w:szCs w:val="1"/>
                <w:color w:val="auto"/>
              </w:rPr>
            </w:pPr>
          </w:p>
        </w:tc>
      </w:tr>
      <w:tr>
        <w:trPr>
          <w:trHeight w:val="131"/>
        </w:trPr>
        <w:tc>
          <w:tcPr>
            <w:tcW w:w="2940" w:type="dxa"/>
            <w:vAlign w:val="bottom"/>
            <w:tcBorders>
              <w:left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7"/>
                <w:szCs w:val="17"/>
                <w:b w:val="1"/>
                <w:bCs w:val="1"/>
                <w:color w:val="FFFFFF"/>
              </w:rPr>
              <w:t>(attributable to Credicorp)</w:t>
            </w:r>
          </w:p>
        </w:tc>
        <w:tc>
          <w:tcPr>
            <w:tcW w:w="56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shd w:val="clear" w:color="auto" w:fill="2AD2C9"/>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940" w:type="dxa"/>
            <w:vAlign w:val="bottom"/>
            <w:tcBorders>
              <w:left w:val="single" w:sz="8" w:color="auto"/>
              <w:bottom w:val="single" w:sz="8" w:color="auto"/>
              <w:right w:val="single" w:sz="8" w:color="auto"/>
            </w:tcBorders>
            <w:vMerge w:val="continue"/>
            <w:shd w:val="clear" w:color="auto" w:fill="2AD2C9"/>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920" w:type="dxa"/>
            <w:vAlign w:val="bottom"/>
            <w:tcBorders>
              <w:bottom w:val="single" w:sz="8" w:color="auto"/>
              <w:right w:val="single" w:sz="8" w:color="auto"/>
            </w:tcBorders>
            <w:shd w:val="clear" w:color="auto" w:fill="2AD2C9"/>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880" w:type="dxa"/>
            <w:vAlign w:val="bottom"/>
            <w:tcBorders>
              <w:bottom w:val="single" w:sz="8" w:color="auto"/>
              <w:right w:val="single" w:sz="8" w:color="auto"/>
            </w:tcBorders>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9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99"/>
              </w:rPr>
              <w:t>S/ 4,633.1 million</w:t>
            </w:r>
          </w:p>
        </w:tc>
        <w:tc>
          <w:tcPr>
            <w:tcW w:w="56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jc w:val="center"/>
              <w:ind w:right="15"/>
              <w:spacing w:after="0" w:line="153" w:lineRule="exact"/>
              <w:rPr>
                <w:sz w:val="20"/>
                <w:szCs w:val="20"/>
                <w:color w:val="auto"/>
              </w:rPr>
            </w:pPr>
            <w:r>
              <w:rPr>
                <w:rFonts w:ascii="Arial" w:cs="Arial" w:eastAsia="Arial" w:hAnsi="Arial"/>
                <w:sz w:val="17"/>
                <w:szCs w:val="17"/>
                <w:b w:val="1"/>
                <w:bCs w:val="1"/>
                <w:color w:val="auto"/>
                <w:w w:val="97"/>
              </w:rPr>
              <w:t>5.4%</w:t>
            </w:r>
          </w:p>
        </w:tc>
        <w:tc>
          <w:tcPr>
            <w:tcW w:w="58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98"/>
              </w:rPr>
              <w:t>1.22% (vs 0.82% in</w:t>
            </w:r>
          </w:p>
        </w:tc>
        <w:tc>
          <w:tcPr>
            <w:tcW w:w="0" w:type="dxa"/>
            <w:vAlign w:val="bottom"/>
          </w:tcPr>
          <w:p>
            <w:pPr>
              <w:spacing w:after="0"/>
              <w:rPr>
                <w:sz w:val="1"/>
                <w:szCs w:val="1"/>
                <w:color w:val="auto"/>
              </w:rPr>
            </w:pPr>
          </w:p>
        </w:tc>
      </w:tr>
      <w:tr>
        <w:trPr>
          <w:trHeight w:val="208"/>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(vs S/ 3,584.6 million in 2021)</w:t>
            </w:r>
          </w:p>
        </w:tc>
        <w:tc>
          <w:tcPr>
            <w:tcW w:w="560" w:type="dxa"/>
            <w:vAlign w:val="bottom"/>
            <w:tcBorders>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(vs 5.0% in 2021)</w:t>
            </w:r>
          </w:p>
        </w:tc>
        <w:tc>
          <w:tcPr>
            <w:tcW w:w="580" w:type="dxa"/>
            <w:vAlign w:val="bottom"/>
            <w:tcBorders>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-6985</wp:posOffset>
            </wp:positionV>
            <wp:extent cx="3657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5760" cy="7620"/>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-6985</wp:posOffset>
            </wp:positionV>
            <wp:extent cx="35877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8775" cy="762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-248285</wp:posOffset>
            </wp:positionV>
            <wp:extent cx="3657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5760" cy="7620"/>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-248285</wp:posOffset>
            </wp:positionV>
            <wp:extent cx="35877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8775" cy="7620"/>
                    </a:xfrm>
                    <a:prstGeom prst="rect">
                      <a:avLst/>
                    </a:prstGeom>
                    <a:noFill/>
                  </pic:spPr>
                </pic:pic>
              </a:graphicData>
            </a:graphic>
          </wp:anchor>
        </w:drawing>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2022, Credicorp registered net income of S/4,633.1 million, which translated into an ROE and ROA of 16.7% and 1.95, respectively. These results reflected the fact that the company has absorbed the negative impacts generated by the pandemic. The year 2022 was turbulent and the environment was adverse on the political, social and economic fronts. Nonetheless, Credicorp’s adequate liquidity and capitalization, coupled with prudent risk management and good portfolio quality, positioned the company to weather the storm and emerge stronger, with resources and capacities intact to continue strengthening our strategy and advancing different initiatives.</w:t>
      </w: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Higher net earnings were primarily attributable to growth in net interest income, which rose 23.1% in a context of rising interest rates. The recovery of our insurance underwriting result also contributed as it returned to positive terrain this year, in line with the normalization in claims levels post-pandemic. These dynamics were partially offset by growth in operating expenses and in provisions for loan losses, net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99060</wp:posOffset>
            </wp:positionV>
            <wp:extent cx="3660140" cy="2078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60140"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595959"/>
        </w:rPr>
        <w:t>Assets and Loans: The loan portfolio evolved positively in a context of economic reactivation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125730</wp:posOffset>
            </wp:positionV>
            <wp:extent cx="4026535" cy="26574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2653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At the end of 2022, Credicorp’s assets reported a drop of 3.3% with regard to the figure at the end of 2021. This evolution was driven by a decline in interest-bearing Due from Banks (depicted in the figure under “Other interest earning assets”) and a decrease in Investments. These dynamics respond to a drop in liquidity across the financial system due to amortizations of loans granted during the pandemic under the Government Programs (“GP”) Reactiva Peru and FAE-Mype. It is important to note that the Loan balance grew 0.7%, which led to an increase in the share of loans in Total Assets, which rose from 60.3% to 62.8%. The aforementioned dynamics, coupled with a contraction in the Peruvian Government Program Loans (GP) balances, led the composition of Interest Earning Assets (IEA) to tilt favorably toward higher yields.</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w:t>
      </w:r>
    </w:p>
    <w:p>
      <w:pPr>
        <w:spacing w:after="0" w:line="7" w:lineRule="exact"/>
        <w:rPr>
          <w:sz w:val="20"/>
          <w:szCs w:val="20"/>
          <w:color w:val="auto"/>
        </w:rPr>
      </w:pPr>
    </w:p>
    <w:p>
      <w:pPr>
        <w:jc w:val="both"/>
        <w:ind w:right="20"/>
        <w:spacing w:after="0" w:line="192" w:lineRule="auto"/>
        <w:rPr>
          <w:sz w:val="20"/>
          <w:szCs w:val="20"/>
          <w:color w:val="auto"/>
        </w:rPr>
      </w:pPr>
      <w:r>
        <w:rPr>
          <w:rFonts w:ascii="Arial" w:cs="Arial" w:eastAsia="Arial" w:hAnsi="Arial"/>
          <w:sz w:val="15"/>
          <w:szCs w:val="15"/>
          <w:color w:val="auto"/>
        </w:rPr>
        <w:t>Total loans in quarter-end balances rose 0.7% with regard to 2021 while structural loans</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increased 7.9%. This growth was partially offset by the evolution of the exchange rate. If we exclude this effect, total loans rose 2.3% and structural loans,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142748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22" w:lineRule="exact"/>
        <w:rPr>
          <w:sz w:val="20"/>
          <w:szCs w:val="20"/>
          <w:color w:val="auto"/>
        </w:rPr>
      </w:pPr>
    </w:p>
    <w:p>
      <w:pPr>
        <w:ind w:left="340" w:hanging="71"/>
        <w:spacing w:after="0"/>
        <w:tabs>
          <w:tab w:leader="none" w:pos="340" w:val="left"/>
        </w:tabs>
        <w:numPr>
          <w:ilvl w:val="0"/>
          <w:numId w:val="27"/>
        </w:numPr>
        <w:rPr>
          <w:rFonts w:ascii="Arial" w:cs="Arial" w:eastAsia="Arial" w:hAnsi="Arial"/>
          <w:sz w:val="18"/>
          <w:szCs w:val="18"/>
          <w:color w:val="auto"/>
          <w:vertAlign w:val="superscript"/>
        </w:rPr>
      </w:pPr>
      <w:r>
        <w:rPr>
          <w:rFonts w:ascii="Arial" w:cs="Arial" w:eastAsia="Arial" w:hAnsi="Arial"/>
          <w:sz w:val="11"/>
          <w:szCs w:val="11"/>
          <w:color w:val="auto"/>
        </w:rPr>
        <w:t>Excludes from total loans the loans granted to clients through the Government Programs Reactiva Peru y FAE-Mype.</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0" w:name="page31"/>
    <w:bookmarkEnd w:id="30"/>
    <w:p>
      <w:pPr>
        <w:spacing w:after="0"/>
        <w:rPr>
          <w:sz w:val="20"/>
          <w:szCs w:val="20"/>
          <w:color w:val="auto"/>
        </w:rPr>
      </w:pPr>
      <w:r>
        <w:rPr>
          <w:rFonts w:ascii="Arial" w:cs="Arial" w:eastAsia="Arial" w:hAnsi="Arial"/>
          <w:sz w:val="15"/>
          <w:szCs w:val="15"/>
          <w:color w:val="auto"/>
        </w:rPr>
        <w:t>The positive evolution of structural loans was in line with post-pandemic economic recovery across portfolios and in Retail Banking and Microfinance in particular.</w:t>
      </w:r>
    </w:p>
    <w:p>
      <w:pPr>
        <w:spacing w:after="0"/>
        <w:rPr>
          <w:sz w:val="20"/>
          <w:szCs w:val="20"/>
          <w:color w:val="auto"/>
        </w:rPr>
      </w:pPr>
      <w:r>
        <w:rPr>
          <w:rFonts w:ascii="Arial" w:cs="Arial" w:eastAsia="Arial" w:hAnsi="Arial"/>
          <w:sz w:val="15"/>
          <w:szCs w:val="15"/>
          <w:color w:val="auto"/>
        </w:rPr>
        <w:t>Loans granted under GP registered a 49.1% reduction in their balances to represent only 6.4% of total loans at the end of the period (vs. 12.6% at the end of 2021).</w:t>
      </w:r>
    </w:p>
    <w:p>
      <w:pPr>
        <w:spacing w:after="0" w:line="155" w:lineRule="exact"/>
        <w:rPr>
          <w:sz w:val="20"/>
          <w:szCs w:val="20"/>
          <w:color w:val="auto"/>
        </w:rPr>
      </w:pPr>
    </w:p>
    <w:p>
      <w:pPr>
        <w:ind w:left="7900"/>
        <w:spacing w:after="0"/>
        <w:rPr>
          <w:sz w:val="20"/>
          <w:szCs w:val="20"/>
          <w:color w:val="auto"/>
        </w:rPr>
      </w:pPr>
      <w:r>
        <w:rPr>
          <w:rFonts w:ascii="Arial" w:cs="Arial" w:eastAsia="Arial" w:hAnsi="Arial"/>
          <w:sz w:val="15"/>
          <w:szCs w:val="15"/>
          <w:b w:val="1"/>
          <w:bCs w:val="1"/>
          <w:color w:val="auto"/>
        </w:rPr>
        <w:t>Loans by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-97155</wp:posOffset>
            </wp:positionV>
            <wp:extent cx="2927985" cy="2423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27985" cy="2423160"/>
                    </a:xfrm>
                    <a:prstGeom prst="rect">
                      <a:avLst/>
                    </a:prstGeom>
                    <a:noFill/>
                  </pic:spPr>
                </pic:pic>
              </a:graphicData>
            </a:graphic>
          </wp:anchor>
        </w:drawing>
      </w:r>
    </w:p>
    <w:p>
      <w:pPr>
        <w:ind w:left="7860"/>
        <w:spacing w:after="0"/>
        <w:rPr>
          <w:sz w:val="20"/>
          <w:szCs w:val="20"/>
          <w:color w:val="auto"/>
        </w:rPr>
      </w:pPr>
      <w:r>
        <w:rPr>
          <w:rFonts w:ascii="Arial" w:cs="Arial" w:eastAsia="Arial" w:hAnsi="Arial"/>
          <w:sz w:val="15"/>
          <w:szCs w:val="15"/>
          <w:color w:val="auto"/>
        </w:rPr>
        <w:t>(Year-end balances)</w:t>
      </w:r>
    </w:p>
    <w:p>
      <w:pPr>
        <w:spacing w:after="0" w:line="154" w:lineRule="exact"/>
        <w:rPr>
          <w:sz w:val="20"/>
          <w:szCs w:val="20"/>
          <w:color w:val="auto"/>
        </w:rPr>
      </w:pPr>
    </w:p>
    <w:tbl>
      <w:tblPr>
        <w:tblLayout w:type="fixed"/>
        <w:tblInd w:w="6410" w:type="dxa"/>
        <w:tblCellMar>
          <w:top w:w="0" w:type="dxa"/>
          <w:left w:w="0" w:type="dxa"/>
          <w:bottom w:w="0" w:type="dxa"/>
          <w:right w:w="0" w:type="dxa"/>
        </w:tblCellMar>
      </w:tblPr>
      <w:tr>
        <w:trPr>
          <w:trHeight w:val="328"/>
        </w:trPr>
        <w:tc>
          <w:tcPr>
            <w:tcW w:w="2700" w:type="dxa"/>
            <w:vAlign w:val="bottom"/>
            <w:tcBorders>
              <w:top w:val="single" w:sz="8" w:color="auto"/>
              <w:left w:val="single" w:sz="8" w:color="auto"/>
              <w:bottom w:val="single" w:sz="8" w:color="29D2C9"/>
              <w:right w:val="single" w:sz="8" w:color="auto"/>
            </w:tcBorders>
            <w:shd w:val="clear" w:color="auto" w:fill="29D2C9"/>
          </w:tcPr>
          <w:p>
            <w:pPr>
              <w:ind w:left="1040"/>
              <w:spacing w:after="0"/>
              <w:rPr>
                <w:sz w:val="20"/>
                <w:szCs w:val="20"/>
                <w:color w:val="auto"/>
              </w:rPr>
            </w:pPr>
            <w:r>
              <w:rPr>
                <w:rFonts w:ascii="Arial" w:cs="Arial" w:eastAsia="Arial" w:hAnsi="Arial"/>
                <w:sz w:val="15"/>
                <w:szCs w:val="15"/>
                <w:b w:val="1"/>
                <w:bCs w:val="1"/>
                <w:color w:val="FFFFFF"/>
              </w:rPr>
              <w:t>Industry</w:t>
            </w:r>
          </w:p>
        </w:tc>
        <w:tc>
          <w:tcPr>
            <w:tcW w:w="1620" w:type="dxa"/>
            <w:vAlign w:val="bottom"/>
            <w:tcBorders>
              <w:top w:val="single" w:sz="8" w:color="auto"/>
              <w:bottom w:val="single" w:sz="8" w:color="29D2C9"/>
              <w:right w:val="single" w:sz="8" w:color="auto"/>
            </w:tcBorders>
            <w:shd w:val="clear" w:color="auto" w:fill="29D2C9"/>
          </w:tcPr>
          <w:p>
            <w:pPr>
              <w:ind w:left="440"/>
              <w:spacing w:after="0"/>
              <w:rPr>
                <w:sz w:val="20"/>
                <w:szCs w:val="20"/>
                <w:color w:val="auto"/>
              </w:rPr>
            </w:pPr>
            <w:r>
              <w:rPr>
                <w:rFonts w:ascii="Arial" w:cs="Arial" w:eastAsia="Arial" w:hAnsi="Arial"/>
                <w:sz w:val="15"/>
                <w:szCs w:val="15"/>
                <w:b w:val="1"/>
                <w:bCs w:val="1"/>
                <w:color w:val="FFFFFF"/>
              </w:rPr>
              <w:t>Loans(%)</w:t>
            </w:r>
          </w:p>
        </w:tc>
      </w:tr>
      <w:tr>
        <w:trPr>
          <w:trHeight w:val="164"/>
        </w:trPr>
        <w:tc>
          <w:tcPr>
            <w:tcW w:w="2700" w:type="dxa"/>
            <w:vAlign w:val="bottom"/>
            <w:tcBorders>
              <w:top w:val="single" w:sz="8" w:color="auto"/>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Commerce</w:t>
            </w:r>
          </w:p>
        </w:tc>
        <w:tc>
          <w:tcPr>
            <w:tcW w:w="1620" w:type="dxa"/>
            <w:vAlign w:val="bottom"/>
            <w:tcBorders>
              <w:top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18.7%</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Manufacturing</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16.2%</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Mortgage loans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15.9%</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Consumer loans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12.8%</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Real Estate and leasing</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7.2%</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Community services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4.6%</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Communications, werehousing and</w:t>
            </w:r>
          </w:p>
        </w:tc>
        <w:tc>
          <w:tcPr>
            <w:tcW w:w="1620" w:type="dxa"/>
            <w:vAlign w:val="bottom"/>
            <w:tcBorders>
              <w:right w:val="single" w:sz="8" w:color="auto"/>
            </w:tcBorders>
          </w:tcPr>
          <w:p>
            <w:pPr>
              <w:spacing w:after="0"/>
              <w:rPr>
                <w:sz w:val="15"/>
                <w:szCs w:val="15"/>
                <w:color w:val="auto"/>
              </w:rPr>
            </w:pP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transport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4.6%</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Agriculture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3.5%</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Mining</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2.7%</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Electricity, Gas and Water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3.4%</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Construction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2.6%</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Financial Brokering</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2.9%</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Restaurant &amp; Hotels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1.9%</w:t>
            </w:r>
          </w:p>
        </w:tc>
      </w:tr>
      <w:tr>
        <w:trPr>
          <w:trHeight w:val="173"/>
        </w:trPr>
        <w:tc>
          <w:tcPr>
            <w:tcW w:w="2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Education, Health and Others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1.2%</w:t>
            </w:r>
          </w:p>
        </w:tc>
      </w:tr>
      <w:tr>
        <w:trPr>
          <w:trHeight w:val="174"/>
        </w:trPr>
        <w:tc>
          <w:tcPr>
            <w:tcW w:w="27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5"/>
                <w:szCs w:val="15"/>
                <w:color w:val="auto"/>
              </w:rPr>
              <w:t>Others</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1.8%</w:t>
            </w:r>
          </w:p>
        </w:tc>
      </w:tr>
      <w:tr>
        <w:trPr>
          <w:trHeight w:val="164"/>
        </w:trPr>
        <w:tc>
          <w:tcPr>
            <w:tcW w:w="2700" w:type="dxa"/>
            <w:vAlign w:val="bottom"/>
            <w:tcBorders>
              <w:left w:val="single" w:sz="8" w:color="auto"/>
              <w:bottom w:val="single" w:sz="8" w:color="auto"/>
              <w:right w:val="single" w:sz="8" w:color="auto"/>
            </w:tcBorders>
          </w:tcPr>
          <w:p>
            <w:pPr>
              <w:spacing w:after="0" w:line="164" w:lineRule="exact"/>
              <w:rPr>
                <w:sz w:val="20"/>
                <w:szCs w:val="20"/>
                <w:color w:val="auto"/>
              </w:rPr>
            </w:pPr>
            <w:r>
              <w:rPr>
                <w:rFonts w:ascii="Arial" w:cs="Arial" w:eastAsia="Arial" w:hAnsi="Arial"/>
                <w:sz w:val="15"/>
                <w:szCs w:val="15"/>
                <w:b w:val="1"/>
                <w:bCs w:val="1"/>
                <w:color w:val="auto"/>
              </w:rPr>
              <w:t>Total loans</w:t>
            </w:r>
          </w:p>
        </w:tc>
        <w:tc>
          <w:tcPr>
            <w:tcW w:w="1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100.0%</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Portfolio</w:t>
      </w:r>
    </w:p>
    <w:p>
      <w:pPr>
        <w:spacing w:after="0" w:line="1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Total investments fell 7.2% in 2022 after certificates of deposit matured and were not renewed to offset the drop registered in liquid resources. Lower liquidity levels were seen across the system, and reflected the fact that clients used resources to amortize their GP loans.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Interest-Earning Assets</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Other interest-earning assets fell 18.2% in 2022, which was driven primarily by the evolution of Due from Banks which fell 17.0% over the year. This evolution was in turn spurred by a drop in the financial system’s liquidity, which reflected clients’ decisions to utilize resources to amortize GP loans and the fact that BCRP instituted a contractionary monetary policy to contain inflation pressures.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39" w:right="31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595959"/>
        </w:rPr>
        <w:t>Competitive Funding Structure</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2022, total funding at Credicorp fell 5.3%. This decline was driven mainly by a contraction in BCRP instruments (-42.6%), which reflects amortization of GP loans. The drop in demand deposits (-17.3%) and savings deposits (-3.8%) also contributed to this evolution. It is important to note that a significant portion of funds migrated from low-cost deposits (demand and savings) to time deposits (+33.0%) in a context of rising interest rates. Additionally, Severance Indemnity deposits dropped (4.8%), in line with a loosening of restrictions on withdrawals for this type of account.</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Due to banks and correspondents rose 23.9%, mainly through BCP Stand-alone, which took a Club Deal for US$ 250 million, which led the level of Due to foreign financial institutions to rise. Due to banks and correspondents at Mibanco also contributed to this dynamic. Finally, Bonds and Issued Notes fell 0.4%.</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this context, Credicorp’s cost of funding rose 1.83% in 2022, which represented an increase of 54bps with regard to last year. This evolution reflected rising interest rates and fund migration from low-cost deposits to time deposits. The fact that the company has a broad base for transactional deposits (demand, savings), allowed us to offset the increase in the cost of funding in a rising interest rate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99060</wp:posOffset>
            </wp:positionV>
            <wp:extent cx="4392295" cy="3067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92295" cy="306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2" w:name="page33"/>
    <w:bookmarkEnd w:id="32"/>
    <w:p>
      <w:pPr>
        <w:ind w:right="20"/>
        <w:spacing w:after="0" w:line="270" w:lineRule="auto"/>
        <w:rPr>
          <w:sz w:val="20"/>
          <w:szCs w:val="20"/>
          <w:color w:val="auto"/>
        </w:rPr>
      </w:pPr>
      <w:r>
        <w:rPr>
          <w:rFonts w:ascii="Arial" w:cs="Arial" w:eastAsia="Arial" w:hAnsi="Arial"/>
          <w:sz w:val="22"/>
          <w:szCs w:val="22"/>
          <w:b w:val="1"/>
          <w:bCs w:val="1"/>
          <w:color w:val="595959"/>
        </w:rPr>
        <w:t>NIM grew due to our effective management of pricing in a context of rising rates. The shift to a higher-yield asset structure and a competitive funding structure contributed to improving this result</w:t>
      </w:r>
    </w:p>
    <w:p>
      <w:pPr>
        <w:spacing w:after="0" w:line="135"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Net interest income, which is the most important component of income, rose 26.7% in 2022. This growth was driven mainly by the uptick in market rates in 2022, which impacted the yield on IEAs. Additionally, the shift to a higher-yield asset structure, which reflected growth in structural loans, favorably impacted this result.</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Interest expenses rose 40.2%, driven by growth in market rates, which subsequently impacted the cost of funding. Additionally, fund migration from low-cost deposits to time deposits also drove an uptick in this result.</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 this context, Net Interest Income (NII) rose 23.1% in 2022. The Net Interest Margin (NIM) stood at 5.07%, which reflects growth of 97 bps with regard to the level registered in 2021. The Risk-Adjusted Net Interest Margin increased 70 bps, rising from 3.57% in 2021 to 4.27%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94615</wp:posOffset>
            </wp:positionV>
            <wp:extent cx="4026535" cy="26206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26535"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595959"/>
        </w:rPr>
        <w:t>Cost of Risk on the way to normalizing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In 2022, provisions rose 49.4% with regard to last year, which primarily reflects the impact of a particularly low base in 2021.</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Growth in provisions was primarily driven by Retail Banking at BCP Stand-alone, and by the Consumer and SME-Pyme segments in particular, as well as by Mibanco. In Consumer, the increase in provisions was attributable to the fact the clients’ payment behavior was negatively affected by an increase in inflation throughout the year and to a particularly low comparative base last year. In SME-Pyme, growth in provisions responds to an increase in disbursements to segments with higher risk but also subject to higher interest rates. Finally, the uptick in provisions at Mibanco was triggered by maturities of specific vintages disbursed in the second half of 2022, which generated a negative impact on projected default ratios.</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In this context, the structural Cost of Risk (CofR) stood at 1.26% (compared to 0.99% in 2021). If we include the effects of Government Program Loans (GP), the CofR stands at 1.22% (compared to 0.82% last year).</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With regard to delinquency ratios, the structural NPL ratio registered little variation and stood at 4.95%, 9 basis points above the closing print in 2021. This slight increase was primarily attributable to growth in refinanced loans. The NPL ratio for total loans registered an increase of +42 bps (rising from 4.99% to 5.41%). It is important to note that the Government Loan Portfolio is backed by government guarantees. In line with the aforementioned, the coverage ratio for structural NPLS stood at 112% in 2021, versus 132% in 2021. If we include GP loans, the coverage ratio for total NPLs stands at 98% (in comparison to 115%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100330</wp:posOffset>
            </wp:positionV>
            <wp:extent cx="4831715" cy="24009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3171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595959"/>
        </w:rPr>
        <w:t>Growth in Other income reflects an uptick in transaction levels</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 2022, other income rose 3.6% with regard to 2021. This result was primarily driven by the positive evolution of Fee Income (+4.2%), which was mainly fueled by the banking business via an uptick in transactions. The increase in the Net gain on FX transactions was sizeable (+17.5%) and reflects an upturn in volatility. Other Non-core income fell significantly, primarily due to a drop in gains on speculative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99060</wp:posOffset>
            </wp:positionV>
            <wp:extent cx="5124450" cy="2225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24450" cy="222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595959"/>
        </w:rPr>
        <w:t>The Insurance Underwriting Result returned to positive terrain due to improvements in the sanitary situation</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insurance underwriting result returned to positive terrain after claims returned to more normal levels in the Life business. Growth in Net earned premiums in both Life and P&amp;C also drove this result. The increase in Net earned premiums in Life was primarily attributable to an uptick in Group Life, D&amp;S and Credit Life while growth in P&amp;C was mainly driven by products in Personal Lines and Medical Assistance. The aforementioned dynamics were partially offset by slight growth in claims in P&amp;C.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211455</wp:posOffset>
            </wp:positionV>
            <wp:extent cx="5124450" cy="2489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24450" cy="248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6" w:name="page37"/>
    <w:bookmarkEnd w:id="36"/>
    <w:p>
      <w:pPr>
        <w:ind w:right="400"/>
        <w:spacing w:after="0" w:line="270" w:lineRule="auto"/>
        <w:rPr>
          <w:sz w:val="20"/>
          <w:szCs w:val="20"/>
          <w:color w:val="auto"/>
        </w:rPr>
      </w:pPr>
      <w:r>
        <w:rPr>
          <w:rFonts w:ascii="Arial" w:cs="Arial" w:eastAsia="Arial" w:hAnsi="Arial"/>
          <w:sz w:val="22"/>
          <w:szCs w:val="22"/>
          <w:b w:val="1"/>
          <w:bCs w:val="1"/>
          <w:color w:val="595959"/>
        </w:rPr>
        <w:t>Positive evolution of the efficiency ratio, which allows us to step up the pace of investments to bolster our competitiveness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Operating income this year rose 15.1%, which was mainly driven by an uptick in Net interest income in a context marked by rising rate and growth in structural loan volumes. Operating expenses rose 11.4%, which was primarily spurred by growth in Administrative and General Expenses (+18.7%) and by an increase in Salaries and Employee benefits (+10.5%). Within Administrative and General Expenses, an uptick was reported for expenses for IT and system outsourcing, in line with the Group’s transformation strategy and disruptive strategy, and for expenses for advertising and fidelity programs.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In the aforementioned context, the efficiency ratio improved 150 bps YoY to stand at 44.4%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110490</wp:posOffset>
            </wp:positionV>
            <wp:extent cx="5124450" cy="3396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24450" cy="339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595959"/>
        </w:rPr>
        <w:t>Our solid solvency level sustains our strategic initiatives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Credicorp’s regulatory capital ratio was 1.35 times higher than the requirement set by the regulatory entity. This level represented a slight drop of 0.18 with regard to 2021. This evolution was driven mainly by growth in regulatory capital requirements in our banking businesses to cover loan growth.</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The Common Equity Tier 1 (CET1) stood at 12.5% at BCP Stand-alone and at Mibanco, 16.5%.</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It is important to note that the increase (+68bps) in the CET1 ratio at BCP Stand-alone primarily reflected a 45% growth in accumulated earnings. Finally, the CET1 at Mibanco reported growth of 122 pbs. This reflected an increase in retained earnings, which returned to positive terrain.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94615</wp:posOffset>
            </wp:positionV>
            <wp:extent cx="5124450" cy="3221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24450" cy="322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8" w:name="page39"/>
    <w:bookmarkEnd w:id="38"/>
    <w:p>
      <w:pPr>
        <w:spacing w:after="0"/>
        <w:rPr>
          <w:sz w:val="20"/>
          <w:szCs w:val="20"/>
          <w:color w:val="auto"/>
        </w:rPr>
      </w:pPr>
      <w:r>
        <w:rPr>
          <w:rFonts w:ascii="Arial" w:cs="Arial" w:eastAsia="Arial" w:hAnsi="Arial"/>
          <w:sz w:val="37"/>
          <w:szCs w:val="37"/>
          <w:b w:val="1"/>
          <w:bCs w:val="1"/>
          <w:color w:val="auto"/>
        </w:rPr>
        <w:t>Chapter 5</w:t>
      </w:r>
    </w:p>
    <w:p>
      <w:pPr>
        <w:spacing w:after="0" w:line="18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526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Topic </w:t>
      </w:r>
      <w:r>
        <w:rPr>
          <w:rFonts w:ascii="Arial" w:cs="Arial" w:eastAsia="Arial" w:hAnsi="Arial"/>
          <w:sz w:val="15"/>
          <w:szCs w:val="15"/>
          <w:color w:val="auto"/>
        </w:rPr>
        <w:t>Integral Risk Management, Data Privacy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418-1</w:t>
      </w:r>
    </w:p>
    <w:p>
      <w:pPr>
        <w:spacing w:after="0"/>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FN-CB-230-a.2, FN-CB-550-a.2</w:t>
      </w:r>
    </w:p>
    <w:p>
      <w:pPr>
        <w:spacing w:after="0"/>
        <w:rPr>
          <w:sz w:val="20"/>
          <w:szCs w:val="20"/>
          <w:color w:val="auto"/>
        </w:rPr>
      </w:pPr>
      <w:r>
        <w:rPr>
          <w:rFonts w:ascii="Arial" w:cs="Arial" w:eastAsia="Arial" w:hAnsi="Arial"/>
          <w:sz w:val="15"/>
          <w:szCs w:val="15"/>
          <w:b w:val="1"/>
          <w:bCs w:val="1"/>
          <w:color w:val="auto"/>
        </w:rPr>
        <w:t xml:space="preserve">Pillars </w:t>
      </w:r>
      <w:r>
        <w:rPr>
          <w:rFonts w:ascii="Arial" w:cs="Arial" w:eastAsia="Arial" w:hAnsi="Arial"/>
          <w:sz w:val="15"/>
          <w:szCs w:val="15"/>
          <w:color w:val="auto"/>
        </w:rPr>
        <w:t>1 and 2</w:t>
      </w:r>
    </w:p>
    <w:p>
      <w:pPr>
        <w:spacing w:after="0" w:line="173"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auto"/>
        </w:rPr>
        <w:t>Risk management is of utmost importance to all companies and to the financial industry in particular, where interaction between institutions and other market agents is intense. In this context, systemic risk is high. Financial companies must safeguard the security of their clients and resources by adeptly managing their balances and ensuring that an adequate capital base is in place in case unexpected events arise. Credicorp is equipped with frameworks and processes that implement comprehensive risk management via effective monitoring, assessment, and treatment of its risks and those of its subsidiaries. The Group is aware that risk management plays a key role on multiple fronts, and, similar to other stakeholder groups, listed this issue on the top of its materiality list in 2022. This chapter provides details on our corporate vision, financial risk management, ESG risks and non-financial risks as well as of our management of capital.</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I. Corporate Vision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Corporate Principles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Risk management constitutes a fundamental pillar in Credicorp’s strategy to ensure adequate business development. For this purpose, we have defined six corporate principles to guide risk management in the organization:</w:t>
      </w:r>
    </w:p>
    <w:p>
      <w:pPr>
        <w:spacing w:after="0" w:line="148" w:lineRule="exact"/>
        <w:rPr>
          <w:sz w:val="20"/>
          <w:szCs w:val="20"/>
          <w:color w:val="auto"/>
        </w:rPr>
      </w:pPr>
    </w:p>
    <w:p>
      <w:pPr>
        <w:ind w:left="820" w:hanging="274"/>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Commitment of executive management</w:t>
      </w:r>
    </w:p>
    <w:p>
      <w:pPr>
        <w:ind w:left="820" w:hanging="274"/>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Independence of risk functions</w:t>
      </w:r>
    </w:p>
    <w:p>
      <w:pPr>
        <w:ind w:left="820" w:hanging="274"/>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Sufficiency and quality of resources for risk management</w:t>
      </w:r>
    </w:p>
    <w:p>
      <w:pPr>
        <w:ind w:left="820" w:hanging="274"/>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Measure of performance based on the risk assumed</w:t>
      </w:r>
    </w:p>
    <w:p>
      <w:pPr>
        <w:ind w:left="820" w:hanging="274"/>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Follow-up and validation</w:t>
      </w:r>
    </w:p>
    <w:p>
      <w:pPr>
        <w:ind w:left="820" w:hanging="274"/>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Compliance with Credicorp’s Code of Ethics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Culture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Risk assessment at Credicorp is conducted by specialized personnel with adequate knowledge of processes to identify, assess, measure, treat and control risks. To consolidate a risk culture that is aligned with best practices in the industry, we employ periodic programs and offer ad-hoc courses for different risk teams and the entire organization.</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the second half of 2022, the remote model of work, which was prevalent during the pandemic, shifted toward a hybrid model. This new work modality implies latent risks for cybersecurity. As such, and as part of our risk culture, we continue to roll out awareness programs as we prepare Credicorp’s employees to recognize through and follow protocols for response.</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67" w:right="31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Appetite for Risk</w:t>
      </w:r>
    </w:p>
    <w:p>
      <w:pPr>
        <w:spacing w:after="0" w:line="191" w:lineRule="exact"/>
        <w:rPr>
          <w:sz w:val="20"/>
          <w:szCs w:val="20"/>
          <w:color w:val="auto"/>
        </w:rPr>
      </w:pPr>
    </w:p>
    <w:p>
      <w:pPr>
        <w:jc w:val="both"/>
        <w:ind w:right="20" w:firstLine="277"/>
        <w:spacing w:after="0" w:line="258" w:lineRule="auto"/>
        <w:rPr>
          <w:sz w:val="20"/>
          <w:szCs w:val="20"/>
          <w:color w:val="auto"/>
        </w:rPr>
      </w:pPr>
      <w:r>
        <w:rPr>
          <w:rFonts w:ascii="Arial" w:cs="Arial" w:eastAsia="Arial" w:hAnsi="Arial"/>
          <w:sz w:val="15"/>
          <w:szCs w:val="15"/>
          <w:color w:val="auto"/>
        </w:rPr>
        <w:t>Appetite for risk refers to the maximum amount of relevant risk that we are willing to assume and can withstand to achieve our business objectives; this entails establishing the maximum deviations that we consider acceptable.</w:t>
      </w:r>
    </w:p>
    <w:p>
      <w:pPr>
        <w:spacing w:after="0" w:line="148" w:lineRule="exact"/>
        <w:rPr>
          <w:sz w:val="20"/>
          <w:szCs w:val="20"/>
          <w:color w:val="auto"/>
        </w:rPr>
      </w:pPr>
    </w:p>
    <w:p>
      <w:pPr>
        <w:jc w:val="both"/>
        <w:ind w:firstLine="277"/>
        <w:spacing w:after="0" w:line="249" w:lineRule="auto"/>
        <w:rPr>
          <w:sz w:val="20"/>
          <w:szCs w:val="20"/>
          <w:color w:val="auto"/>
        </w:rPr>
      </w:pPr>
      <w:r>
        <w:rPr>
          <w:rFonts w:ascii="Arial" w:cs="Arial" w:eastAsia="Arial" w:hAnsi="Arial"/>
          <w:sz w:val="15"/>
          <w:szCs w:val="15"/>
          <w:color w:val="auto"/>
        </w:rPr>
        <w:t>The main objective is to develop a risk profile that reflects the Board’s expectations, which is manifested in six strategic pillars: (i) solvency, (ii) liquidity, (iii) profit and growth, (iv) stability of results, (v) balance sheet structure and (vi) cybersecurity risks. These six pillars are supported by a taxonomy of risk that allows us to monitor our risk profile qualitatively and quantitatively.</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appetite for risk is composed of the following elements:</w:t>
      </w:r>
    </w:p>
    <w:p>
      <w:pPr>
        <w:spacing w:after="0" w:line="155" w:lineRule="exact"/>
        <w:rPr>
          <w:sz w:val="20"/>
          <w:szCs w:val="20"/>
          <w:color w:val="auto"/>
        </w:rPr>
      </w:pPr>
    </w:p>
    <w:p>
      <w:pPr>
        <w:ind w:left="760" w:hanging="284"/>
        <w:spacing w:after="0" w:line="253" w:lineRule="auto"/>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Statement of the risk appetite</w:t>
      </w:r>
      <w:r>
        <w:rPr>
          <w:rFonts w:ascii="Arial" w:cs="Arial" w:eastAsia="Arial" w:hAnsi="Arial"/>
          <w:sz w:val="15"/>
          <w:szCs w:val="15"/>
          <w:color w:val="auto"/>
        </w:rPr>
        <w:t>: define the general principles and qualitative declarations that guide the group’s risk strategy, which also serves as inputs</w:t>
      </w:r>
      <w:r>
        <w:rPr>
          <w:rFonts w:ascii="Arial" w:cs="Arial" w:eastAsia="Arial" w:hAnsi="Arial"/>
          <w:sz w:val="15"/>
          <w:szCs w:val="15"/>
          <w:b w:val="1"/>
          <w:bCs w:val="1"/>
          <w:color w:val="auto"/>
        </w:rPr>
        <w:t xml:space="preserve"> </w:t>
      </w:r>
      <w:r>
        <w:rPr>
          <w:rFonts w:ascii="Arial" w:cs="Arial" w:eastAsia="Arial" w:hAnsi="Arial"/>
          <w:sz w:val="15"/>
          <w:szCs w:val="15"/>
          <w:color w:val="auto"/>
        </w:rPr>
        <w:t>to define the target risk profile.</w:t>
      </w:r>
    </w:p>
    <w:p>
      <w:pPr>
        <w:ind w:left="760" w:hanging="284"/>
        <w:spacing w:after="0"/>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Metric dashboard</w:t>
      </w:r>
      <w:r>
        <w:rPr>
          <w:rFonts w:ascii="Arial" w:cs="Arial" w:eastAsia="Arial" w:hAnsi="Arial"/>
          <w:sz w:val="15"/>
          <w:szCs w:val="15"/>
          <w:color w:val="auto"/>
        </w:rPr>
        <w:t>: define the levels of risk exposure across our six strategic pillars through several metrics.</w:t>
      </w:r>
    </w:p>
    <w:p>
      <w:pPr>
        <w:ind w:left="760" w:hanging="284"/>
        <w:spacing w:after="0"/>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Limits</w:t>
      </w:r>
      <w:r>
        <w:rPr>
          <w:rFonts w:ascii="Arial" w:cs="Arial" w:eastAsia="Arial" w:hAnsi="Arial"/>
          <w:sz w:val="15"/>
          <w:szCs w:val="15"/>
          <w:color w:val="auto"/>
        </w:rPr>
        <w:t>: seek to ensure that risk-taking is within the tolerance level established across business units’ roles and responsibilities.</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appetite for risk is integrated in the processes for strategic and capital guidelines as well as in the process to define the budget. This facilitates strategic decision making throughout the organization.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Corporate governance of risk management</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Credicorp’s Board has the power to make decisions about the overall focus of risk management at Credicorp Ltd., which includes approving its appetite for risk. The board is also informed about the level of compliance with the appetite for risk, levels of risk exposure, and improvements in the comprehensive management of Grupo Crédito S.A. and Credicorp’s other subsidiaries.</w:t>
      </w:r>
    </w:p>
    <w:p>
      <w:pPr>
        <w:spacing w:after="0" w:line="15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Board of Grupo Crédito S.A. has the authority to make decisions applicable to Credicorp’s subsidiaries, including those related to risk management, such as approving the appetite for risk at Credicorp’s subsidiaries.</w:t>
      </w:r>
    </w:p>
    <w:p>
      <w:pPr>
        <w:spacing w:after="0" w:line="14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 same individuals sit on the Board (and the Committees) of Credicorp and Grupo Crédito S.A. and the management structure of both companies has been aligned.</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Credicorp’s Risk Committee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committee represents Credicorp’s Board and proposes levels of appetite for risk for Credicorp Ltd. The committee acknowledge the level of compliance with the appetite for risk and the level of exposure assumed by Grupo Crédito and Credicorp’s subsidiaries and oversees relevant improvements in comprehensive risk management at these entities.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Grupo Crédito Risk Committee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This committee represents Grupo Crédito’s Board in decision-making processes relative to risk management at Grupo Crédito and Credicorp’s subsidiaries. Additionally, the committee presents proposals to the Board of Grupo Crédito to set levels of appetite for risk for the group’s businesses. The Committee defines the strategies that will be used to adequately manage different types of risk; supervise the appetite for risk; and determine the principles, policies, and general limits to which Grupo Credicorp and Credicorp’s subsidiaries will be subject.</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In addition to efficiently managing all types of risk, the Risk Committee of Grupo Crédito is supported by the following committees, which report changes and relevant concerns regarding risk management on a periodic basis:</w:t>
      </w:r>
    </w:p>
    <w:p>
      <w:pPr>
        <w:spacing w:after="0" w:line="148" w:lineRule="exact"/>
        <w:rPr>
          <w:sz w:val="20"/>
          <w:szCs w:val="20"/>
          <w:color w:val="auto"/>
        </w:rPr>
      </w:pPr>
    </w:p>
    <w:p>
      <w:pPr>
        <w:ind w:left="760" w:hanging="272"/>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Credit Committee</w:t>
      </w:r>
    </w:p>
    <w:p>
      <w:pPr>
        <w:ind w:left="760" w:hanging="272"/>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Country Risk Committee</w:t>
      </w:r>
    </w:p>
    <w:p>
      <w:pPr>
        <w:ind w:left="760" w:hanging="272"/>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Corporate Wholesale Risk Committee</w:t>
      </w:r>
    </w:p>
    <w:p>
      <w:pPr>
        <w:ind w:left="760" w:hanging="272"/>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Corporate Retail Risk Committee</w:t>
      </w:r>
    </w:p>
    <w:p>
      <w:pPr>
        <w:ind w:left="760" w:hanging="272"/>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Operating Risk Methodology Committee</w:t>
      </w:r>
    </w:p>
    <w:p>
      <w:pPr>
        <w:ind w:left="760" w:hanging="272"/>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Corporate Risk Model Committee</w:t>
      </w:r>
    </w:p>
    <w:p>
      <w:pPr>
        <w:ind w:left="760" w:hanging="272"/>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Corporate Committee for Market, Structural, Trading and Liquidity Risk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Central Division for Risk Management at Credicorp</w:t>
      </w:r>
    </w:p>
    <w:p>
      <w:pPr>
        <w:spacing w:after="0" w:line="19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 Central Division for Risk Management at Credicorp (led by the Chief Risk Officer at Credicorp) informs the Risk Committee at Credicorp about the level of compliance with the appetite for risk and regarding the level of exposure assumed by Grupo Crédito and Credicorp’s subsidiaries. This division inform the relevant improvements related to the integral risk management of Grupo Crédito and Credicorp’s subsidiaries. It also proposes levels of appetite for risk for Credicorp Ltd.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Central Division for Risk Management at Grupo Crédito</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Central Division for Risk Management at Grupo Crédito (led by the Chief Risk Officer at Grupo Crédito) is responsible for implementing the policies, procedures, methodologies and actions used to identify, measure, monitor, mitigate, report and control the different risks to which the Grupo Crédito and Credicorp’s subsidiaries are exposed. The division is also responsible for participating in efforts to design strategic plans for the business units to ensure that they are aligned with the risk parameters approved by Grupo Crédito’s Board. The division disseminates the importance of adequate risk management and defines the role each of the units must play in identifying risk in a timely manner and in determining actions to be taken.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Policies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Corporate policies for risk management determine the roles and responsibilities for managing our main risks. We have a framework policy that guides this management and also have specific policies for the most relevant risks. It is important to note that each company in the Group possesses particular characteristics (such as size and the complexity of their operations), which are taken into consideration when each policy is developed and implemented.</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Corporate Programs</w:t>
      </w:r>
    </w:p>
    <w:p>
      <w:pPr>
        <w:spacing w:after="0" w:line="191"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In 2022, we continued work to launch the corporate program Credicorp Way 2.0, whose objective is to strengthen corporate governance of risk at all of the Group’s companies. This year, the following achievements were noteworthy:</w:t>
      </w:r>
    </w:p>
    <w:p>
      <w:pPr>
        <w:spacing w:after="0" w:line="148" w:lineRule="exact"/>
        <w:rPr>
          <w:sz w:val="20"/>
          <w:szCs w:val="20"/>
          <w:color w:val="auto"/>
        </w:rPr>
      </w:pPr>
    </w:p>
    <w:p>
      <w:pPr>
        <w:jc w:val="both"/>
        <w:ind w:right="60"/>
        <w:spacing w:after="0" w:line="249" w:lineRule="auto"/>
        <w:rPr>
          <w:sz w:val="20"/>
          <w:szCs w:val="20"/>
          <w:color w:val="auto"/>
        </w:rPr>
      </w:pPr>
      <w:r>
        <w:rPr>
          <w:rFonts w:ascii="Arial" w:cs="Arial" w:eastAsia="Arial" w:hAnsi="Arial"/>
          <w:sz w:val="15"/>
          <w:szCs w:val="15"/>
          <w:color w:val="auto"/>
        </w:rPr>
        <w:t>Risk OKRs were set for the corporation. These OKRs have been launched, managed and updated according to the governance scheme established and approved in the respective instances. This has helped align and focus the corporation’s main priorities and creates a better match between the incentives provided to Credicorp’s management and the corporation’s objectives and appetite for risk.</w:t>
      </w:r>
    </w:p>
    <w:p>
      <w:pPr>
        <w:spacing w:after="0" w:line="155" w:lineRule="exact"/>
        <w:rPr>
          <w:sz w:val="20"/>
          <w:szCs w:val="20"/>
          <w:color w:val="auto"/>
        </w:rPr>
      </w:pPr>
    </w:p>
    <w:p>
      <w:pPr>
        <w:ind w:right="200"/>
        <w:spacing w:after="0" w:line="246" w:lineRule="auto"/>
        <w:rPr>
          <w:sz w:val="20"/>
          <w:szCs w:val="20"/>
          <w:color w:val="auto"/>
        </w:rPr>
      </w:pPr>
      <w:r>
        <w:rPr>
          <w:rFonts w:ascii="Arial" w:cs="Arial" w:eastAsia="Arial" w:hAnsi="Arial"/>
          <w:sz w:val="15"/>
          <w:szCs w:val="15"/>
          <w:color w:val="auto"/>
        </w:rPr>
        <w:t>The corporate governance scheme was strengthened at all of the Group’s companies and at different levels, (a) at the corporate level, corporate committees were complemented with the creation of a Corporate Committee for Market, Structural, Trading and Liquidity Risk (b) at the subsidiary level, each company implemented specialized tactical committees that specialize in credit risk, model risk and technological risk, and (c) at the operating level, monthly follow-up meetings were implemented with each of the Group’s companies to review the situation and plans of action for the different risks managed.</w:t>
      </w:r>
    </w:p>
    <w:p>
      <w:pPr>
        <w:spacing w:after="0" w:line="157"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We complete the corporation’s scheme for risk appetite management with the incorporation of Krealo’s appetite dashboard and a governance scheme approved by Grupo Crédito Risk Committee.</w:t>
      </w:r>
    </w:p>
    <w:p>
      <w:pPr>
        <w:spacing w:after="0" w:line="148"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Over the last two years, a high level of alignment, management and follow-up of the corporation’s main risks has been achieved. Additionally, Credicorp has aligned all of its companies with its standards and developed a fluid exchange of best practices and lessons learned that contribute to improving the Group’s risk management.</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42" w:name="page43"/>
    <w:bookmarkEnd w:id="42"/>
    <w:p>
      <w:pPr>
        <w:ind w:left="8"/>
        <w:spacing w:after="0"/>
        <w:rPr>
          <w:sz w:val="20"/>
          <w:szCs w:val="20"/>
          <w:color w:val="auto"/>
        </w:rPr>
      </w:pPr>
      <w:r>
        <w:rPr>
          <w:rFonts w:ascii="Arial" w:cs="Arial" w:eastAsia="Arial" w:hAnsi="Arial"/>
          <w:sz w:val="22"/>
          <w:szCs w:val="22"/>
          <w:b w:val="1"/>
          <w:bCs w:val="1"/>
          <w:color w:val="595959"/>
        </w:rPr>
        <w:t>II. Financial Risks</w:t>
      </w:r>
    </w:p>
    <w:p>
      <w:pPr>
        <w:spacing w:after="0" w:line="254"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595959"/>
        </w:rPr>
        <w:t>Credit Risk</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Loans, provisions and coverage</w:t>
      </w:r>
    </w:p>
    <w:p>
      <w:pPr>
        <w:spacing w:after="0" w:line="191" w:lineRule="exact"/>
        <w:rPr>
          <w:sz w:val="20"/>
          <w:szCs w:val="20"/>
          <w:color w:val="auto"/>
        </w:rPr>
      </w:pPr>
    </w:p>
    <w:p>
      <w:pPr>
        <w:jc w:val="both"/>
        <w:ind w:left="8"/>
        <w:spacing w:after="0" w:line="258" w:lineRule="auto"/>
        <w:rPr>
          <w:sz w:val="20"/>
          <w:szCs w:val="20"/>
          <w:color w:val="auto"/>
        </w:rPr>
      </w:pPr>
      <w:r>
        <w:rPr>
          <w:rFonts w:ascii="Arial" w:cs="Arial" w:eastAsia="Arial" w:hAnsi="Arial"/>
          <w:sz w:val="15"/>
          <w:szCs w:val="15"/>
          <w:color w:val="auto"/>
        </w:rPr>
        <w:t>Credit risk is the most significant risk for our activities and is defined as the probability of suffering losses due to debt repayment problems relative to borrowers or to counterparties in exposures assumed off and on the balance sheets.</w:t>
      </w:r>
    </w:p>
    <w:p>
      <w:pPr>
        <w:spacing w:after="0" w:line="137" w:lineRule="exact"/>
        <w:rPr>
          <w:sz w:val="20"/>
          <w:szCs w:val="20"/>
          <w:color w:val="auto"/>
        </w:rPr>
      </w:pPr>
    </w:p>
    <w:p>
      <w:pPr>
        <w:jc w:val="both"/>
        <w:ind w:left="8" w:right="20"/>
        <w:spacing w:after="0" w:line="188" w:lineRule="auto"/>
        <w:rPr>
          <w:sz w:val="20"/>
          <w:szCs w:val="20"/>
          <w:color w:val="auto"/>
        </w:rPr>
      </w:pPr>
      <w:r>
        <w:rPr>
          <w:rFonts w:ascii="Arial" w:cs="Arial" w:eastAsia="Arial" w:hAnsi="Arial"/>
          <w:sz w:val="14"/>
          <w:szCs w:val="14"/>
          <w:color w:val="auto"/>
        </w:rPr>
        <w:t>At the end of December 2022, the balance of direct and indirect loans was S/168,118 million</w:t>
      </w:r>
      <w:r>
        <w:rPr>
          <w:rFonts w:ascii="Arial" w:cs="Arial" w:eastAsia="Arial" w:hAnsi="Arial"/>
          <w:sz w:val="23"/>
          <w:szCs w:val="23"/>
          <w:color w:val="auto"/>
          <w:vertAlign w:val="superscript"/>
        </w:rPr>
        <w:t>1</w:t>
      </w:r>
      <w:r>
        <w:rPr>
          <w:rFonts w:ascii="Arial" w:cs="Arial" w:eastAsia="Arial" w:hAnsi="Arial"/>
          <w:sz w:val="14"/>
          <w:szCs w:val="14"/>
          <w:color w:val="auto"/>
        </w:rPr>
        <w:t>, which represented decrease of 0.7% with regard to the level reported in December 2021. Provisions for loan losses</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totaled S/8,531 million. In this context, at the end of December 2022, the coverage ratio</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was situated at 5.07%, versus 5.36 % at the end of December 2021.</w:t>
      </w:r>
    </w:p>
    <w:p>
      <w:pPr>
        <w:spacing w:after="0" w:line="145" w:lineRule="exact"/>
        <w:rPr>
          <w:sz w:val="20"/>
          <w:szCs w:val="20"/>
          <w:color w:val="auto"/>
        </w:rPr>
      </w:pPr>
    </w:p>
    <w:p>
      <w:pPr>
        <w:jc w:val="center"/>
        <w:ind w:right="-307"/>
        <w:spacing w:after="0"/>
        <w:rPr>
          <w:sz w:val="20"/>
          <w:szCs w:val="20"/>
          <w:color w:val="auto"/>
        </w:rPr>
      </w:pPr>
      <w:r>
        <w:rPr>
          <w:rFonts w:ascii="Arial" w:cs="Arial" w:eastAsia="Arial" w:hAnsi="Arial"/>
          <w:sz w:val="15"/>
          <w:szCs w:val="15"/>
          <w:b w:val="1"/>
          <w:bCs w:val="1"/>
          <w:color w:val="auto"/>
        </w:rPr>
        <w:t>Loans, provisions and the Credicorp’s coverage ratio by subsidiary</w:t>
      </w:r>
    </w:p>
    <w:p>
      <w:pPr>
        <w:spacing w:after="0" w:line="172" w:lineRule="exact"/>
        <w:rPr>
          <w:sz w:val="20"/>
          <w:szCs w:val="20"/>
          <w:color w:val="auto"/>
        </w:rPr>
      </w:pPr>
    </w:p>
    <w:tbl>
      <w:tblPr>
        <w:tblLayout w:type="fixed"/>
        <w:tblInd w:w="2278" w:type="dxa"/>
        <w:tblCellMar>
          <w:top w:w="0" w:type="dxa"/>
          <w:left w:w="0" w:type="dxa"/>
          <w:bottom w:w="0" w:type="dxa"/>
          <w:right w:w="0" w:type="dxa"/>
        </w:tblCellMar>
      </w:tblPr>
      <w:tr>
        <w:trPr>
          <w:trHeight w:val="184"/>
        </w:trPr>
        <w:tc>
          <w:tcPr>
            <w:tcW w:w="1780" w:type="dxa"/>
            <w:vAlign w:val="bottom"/>
            <w:tcBorders>
              <w:top w:val="single" w:sz="8" w:color="auto"/>
              <w:left w:val="single" w:sz="8" w:color="auto"/>
              <w:bottom w:val="single" w:sz="8" w:color="auto"/>
              <w:right w:val="single" w:sz="8" w:color="auto"/>
            </w:tcBorders>
            <w:vMerge w:val="restart"/>
            <w:shd w:val="clear" w:color="auto" w:fill="2AD2C9"/>
          </w:tcPr>
          <w:p>
            <w:pPr>
              <w:ind w:left="520"/>
              <w:spacing w:after="0"/>
              <w:rPr>
                <w:sz w:val="20"/>
                <w:szCs w:val="20"/>
                <w:color w:val="auto"/>
              </w:rPr>
            </w:pPr>
            <w:r>
              <w:rPr>
                <w:rFonts w:ascii="Arial" w:cs="Arial" w:eastAsia="Arial" w:hAnsi="Arial"/>
                <w:sz w:val="15"/>
                <w:szCs w:val="15"/>
                <w:b w:val="1"/>
                <w:bCs w:val="1"/>
                <w:color w:val="FFFFFF"/>
              </w:rPr>
              <w:t>Company</w:t>
            </w:r>
          </w:p>
        </w:tc>
        <w:tc>
          <w:tcPr>
            <w:tcW w:w="1960" w:type="dxa"/>
            <w:vAlign w:val="bottom"/>
            <w:tcBorders>
              <w:top w:val="single" w:sz="8" w:color="auto"/>
              <w:bottom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15"/>
                <w:szCs w:val="15"/>
                <w:b w:val="1"/>
                <w:bCs w:val="1"/>
                <w:color w:val="FFFFFF"/>
              </w:rPr>
              <w:t>Direct and Indirect Loans</w:t>
            </w:r>
          </w:p>
        </w:tc>
        <w:tc>
          <w:tcPr>
            <w:tcW w:w="1480" w:type="dxa"/>
            <w:vAlign w:val="bottom"/>
            <w:tcBorders>
              <w:top w:val="single" w:sz="8" w:color="auto"/>
              <w:bottom w:val="single" w:sz="8" w:color="auto"/>
              <w:right w:val="single" w:sz="8" w:color="auto"/>
            </w:tcBorders>
            <w:gridSpan w:val="2"/>
            <w:shd w:val="clear" w:color="auto" w:fill="2AD2C9"/>
          </w:tcPr>
          <w:p>
            <w:pPr>
              <w:ind w:left="320"/>
              <w:spacing w:after="0"/>
              <w:rPr>
                <w:sz w:val="20"/>
                <w:szCs w:val="20"/>
                <w:color w:val="auto"/>
              </w:rPr>
            </w:pPr>
            <w:r>
              <w:rPr>
                <w:rFonts w:ascii="Arial" w:cs="Arial" w:eastAsia="Arial" w:hAnsi="Arial"/>
                <w:sz w:val="15"/>
                <w:szCs w:val="15"/>
                <w:b w:val="1"/>
                <w:bCs w:val="1"/>
                <w:color w:val="FFFFFF"/>
              </w:rPr>
              <w:t>Provisions</w:t>
            </w:r>
          </w:p>
        </w:tc>
        <w:tc>
          <w:tcPr>
            <w:tcW w:w="1540" w:type="dxa"/>
            <w:vAlign w:val="bottom"/>
            <w:tcBorders>
              <w:top w:val="single" w:sz="8" w:color="auto"/>
              <w:bottom w:val="single" w:sz="8" w:color="auto"/>
              <w:right w:val="single" w:sz="8" w:color="auto"/>
            </w:tcBorders>
            <w:gridSpan w:val="2"/>
            <w:shd w:val="clear" w:color="auto" w:fill="2AD2C9"/>
          </w:tcPr>
          <w:p>
            <w:pPr>
              <w:ind w:left="180"/>
              <w:spacing w:after="0"/>
              <w:rPr>
                <w:sz w:val="20"/>
                <w:szCs w:val="20"/>
                <w:color w:val="auto"/>
              </w:rPr>
            </w:pPr>
            <w:r>
              <w:rPr>
                <w:rFonts w:ascii="Arial" w:cs="Arial" w:eastAsia="Arial" w:hAnsi="Arial"/>
                <w:sz w:val="15"/>
                <w:szCs w:val="15"/>
                <w:b w:val="1"/>
                <w:bCs w:val="1"/>
                <w:color w:val="FFFFFF"/>
              </w:rPr>
              <w:t>Coverage Ratio</w:t>
            </w:r>
          </w:p>
        </w:tc>
        <w:tc>
          <w:tcPr>
            <w:tcW w:w="0" w:type="dxa"/>
            <w:vAlign w:val="bottom"/>
          </w:tcPr>
          <w:p>
            <w:pPr>
              <w:spacing w:after="0"/>
              <w:rPr>
                <w:sz w:val="1"/>
                <w:szCs w:val="1"/>
                <w:color w:val="auto"/>
              </w:rPr>
            </w:pPr>
          </w:p>
        </w:tc>
      </w:tr>
      <w:tr>
        <w:trPr>
          <w:trHeight w:val="84"/>
        </w:trPr>
        <w:tc>
          <w:tcPr>
            <w:tcW w:w="178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980" w:type="dxa"/>
            <w:vAlign w:val="bottom"/>
            <w:tcBorders>
              <w:right w:val="single" w:sz="8" w:color="auto"/>
            </w:tcBorders>
            <w:vMerge w:val="restart"/>
            <w:shd w:val="clear" w:color="auto" w:fill="2AD2C9"/>
          </w:tcPr>
          <w:p>
            <w:pPr>
              <w:jc w:val="center"/>
              <w:spacing w:after="0" w:line="164" w:lineRule="exact"/>
              <w:rPr>
                <w:sz w:val="20"/>
                <w:szCs w:val="20"/>
                <w:color w:val="auto"/>
              </w:rPr>
            </w:pPr>
            <w:r>
              <w:rPr>
                <w:rFonts w:ascii="Arial" w:cs="Arial" w:eastAsia="Arial" w:hAnsi="Arial"/>
                <w:sz w:val="15"/>
                <w:szCs w:val="15"/>
                <w:b w:val="1"/>
                <w:bCs w:val="1"/>
                <w:color w:val="FFFFFF"/>
              </w:rPr>
              <w:t>2021</w:t>
            </w:r>
          </w:p>
        </w:tc>
        <w:tc>
          <w:tcPr>
            <w:tcW w:w="980" w:type="dxa"/>
            <w:vAlign w:val="bottom"/>
            <w:tcBorders>
              <w:right w:val="single" w:sz="8" w:color="auto"/>
            </w:tcBorders>
            <w:vMerge w:val="restart"/>
            <w:shd w:val="clear" w:color="auto" w:fill="2AD2C9"/>
          </w:tcPr>
          <w:p>
            <w:pPr>
              <w:jc w:val="center"/>
              <w:spacing w:after="0" w:line="164" w:lineRule="exact"/>
              <w:rPr>
                <w:sz w:val="20"/>
                <w:szCs w:val="20"/>
                <w:color w:val="auto"/>
              </w:rPr>
            </w:pPr>
            <w:r>
              <w:rPr>
                <w:rFonts w:ascii="Arial" w:cs="Arial" w:eastAsia="Arial" w:hAnsi="Arial"/>
                <w:sz w:val="15"/>
                <w:szCs w:val="15"/>
                <w:b w:val="1"/>
                <w:bCs w:val="1"/>
                <w:color w:val="FFFFFF"/>
              </w:rPr>
              <w:t>2022</w:t>
            </w:r>
          </w:p>
        </w:tc>
        <w:tc>
          <w:tcPr>
            <w:tcW w:w="740" w:type="dxa"/>
            <w:vAlign w:val="bottom"/>
            <w:tcBorders>
              <w:right w:val="single" w:sz="8" w:color="auto"/>
            </w:tcBorders>
            <w:vMerge w:val="restart"/>
            <w:shd w:val="clear" w:color="auto" w:fill="2AD2C9"/>
          </w:tcPr>
          <w:p>
            <w:pPr>
              <w:jc w:val="center"/>
              <w:spacing w:after="0" w:line="164" w:lineRule="exact"/>
              <w:rPr>
                <w:sz w:val="20"/>
                <w:szCs w:val="20"/>
                <w:color w:val="auto"/>
              </w:rPr>
            </w:pPr>
            <w:r>
              <w:rPr>
                <w:rFonts w:ascii="Arial" w:cs="Arial" w:eastAsia="Arial" w:hAnsi="Arial"/>
                <w:sz w:val="15"/>
                <w:szCs w:val="15"/>
                <w:b w:val="1"/>
                <w:bCs w:val="1"/>
                <w:color w:val="FFFFFF"/>
              </w:rPr>
              <w:t>2021</w:t>
            </w:r>
          </w:p>
        </w:tc>
        <w:tc>
          <w:tcPr>
            <w:tcW w:w="740" w:type="dxa"/>
            <w:vAlign w:val="bottom"/>
            <w:tcBorders>
              <w:right w:val="single" w:sz="8" w:color="auto"/>
            </w:tcBorders>
            <w:vMerge w:val="restart"/>
            <w:shd w:val="clear" w:color="auto" w:fill="2AD2C9"/>
          </w:tcPr>
          <w:p>
            <w:pPr>
              <w:jc w:val="center"/>
              <w:spacing w:after="0" w:line="164" w:lineRule="exact"/>
              <w:rPr>
                <w:sz w:val="20"/>
                <w:szCs w:val="20"/>
                <w:color w:val="auto"/>
              </w:rPr>
            </w:pPr>
            <w:r>
              <w:rPr>
                <w:rFonts w:ascii="Arial" w:cs="Arial" w:eastAsia="Arial" w:hAnsi="Arial"/>
                <w:sz w:val="15"/>
                <w:szCs w:val="15"/>
                <w:b w:val="1"/>
                <w:bCs w:val="1"/>
                <w:color w:val="FFFFFF"/>
              </w:rPr>
              <w:t>2022</w:t>
            </w:r>
          </w:p>
        </w:tc>
        <w:tc>
          <w:tcPr>
            <w:tcW w:w="760" w:type="dxa"/>
            <w:vAlign w:val="bottom"/>
            <w:tcBorders>
              <w:right w:val="single" w:sz="8" w:color="auto"/>
            </w:tcBorders>
            <w:vMerge w:val="restart"/>
            <w:shd w:val="clear" w:color="auto" w:fill="2AD2C9"/>
          </w:tcPr>
          <w:p>
            <w:pPr>
              <w:jc w:val="center"/>
              <w:spacing w:after="0" w:line="164" w:lineRule="exact"/>
              <w:rPr>
                <w:sz w:val="20"/>
                <w:szCs w:val="20"/>
                <w:color w:val="auto"/>
              </w:rPr>
            </w:pPr>
            <w:r>
              <w:rPr>
                <w:rFonts w:ascii="Arial" w:cs="Arial" w:eastAsia="Arial" w:hAnsi="Arial"/>
                <w:sz w:val="15"/>
                <w:szCs w:val="15"/>
                <w:b w:val="1"/>
                <w:bCs w:val="1"/>
                <w:color w:val="FFFFFF"/>
              </w:rPr>
              <w:t>2021</w:t>
            </w:r>
          </w:p>
        </w:tc>
        <w:tc>
          <w:tcPr>
            <w:tcW w:w="780" w:type="dxa"/>
            <w:vAlign w:val="bottom"/>
            <w:tcBorders>
              <w:right w:val="single" w:sz="8" w:color="auto"/>
            </w:tcBorders>
            <w:vMerge w:val="restart"/>
            <w:shd w:val="clear" w:color="auto" w:fill="2AD2C9"/>
          </w:tcPr>
          <w:p>
            <w:pPr>
              <w:jc w:val="center"/>
              <w:spacing w:after="0" w:line="164" w:lineRule="exact"/>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bottom w:val="single" w:sz="8" w:color="auto"/>
              <w:right w:val="single" w:sz="8" w:color="auto"/>
            </w:tcBorders>
            <w:shd w:val="clear" w:color="auto" w:fill="2AD2C9"/>
          </w:tcPr>
          <w:p>
            <w:pPr>
              <w:spacing w:after="0"/>
              <w:rPr>
                <w:sz w:val="7"/>
                <w:szCs w:val="7"/>
                <w:color w:val="auto"/>
              </w:rPr>
            </w:pPr>
          </w:p>
        </w:tc>
        <w:tc>
          <w:tcPr>
            <w:tcW w:w="98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98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74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74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76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78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BCP and branches</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141,353</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140,215</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7,345</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7,026</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5.20%</w:t>
            </w:r>
          </w:p>
        </w:tc>
        <w:tc>
          <w:tcPr>
            <w:tcW w:w="7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5.01%</w:t>
            </w: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Mibanco</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13,422</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13,966</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1,146</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998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8.54%</w:t>
            </w:r>
          </w:p>
        </w:tc>
        <w:tc>
          <w:tcPr>
            <w:tcW w:w="7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7.15%</w:t>
            </w: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BCP Bolivia</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10,792</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10,274</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477</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433</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4.42%</w:t>
            </w:r>
          </w:p>
        </w:tc>
        <w:tc>
          <w:tcPr>
            <w:tcW w:w="7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4.21%</w:t>
            </w: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ASB</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2,589</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2,362</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0.00%</w:t>
            </w:r>
          </w:p>
        </w:tc>
        <w:tc>
          <w:tcPr>
            <w:tcW w:w="7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0.00%</w:t>
            </w: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Mibanco Colombia</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1,059</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1,205</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91</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66</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8.59%</w:t>
            </w:r>
          </w:p>
        </w:tc>
        <w:tc>
          <w:tcPr>
            <w:tcW w:w="7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5.48%</w:t>
            </w: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Other</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116</w:t>
            </w:r>
          </w:p>
        </w:tc>
        <w:tc>
          <w:tcPr>
            <w:tcW w:w="9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96</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w:t>
            </w: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10.34%</w:t>
            </w:r>
          </w:p>
        </w:tc>
        <w:tc>
          <w:tcPr>
            <w:tcW w:w="7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8.33%</w:t>
            </w: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bottom w:val="single" w:sz="8" w:color="auto"/>
              <w:right w:val="single" w:sz="8" w:color="auto"/>
            </w:tcBorders>
            <w:shd w:val="clear" w:color="auto" w:fill="26D07C"/>
          </w:tcPr>
          <w:p>
            <w:pPr>
              <w:ind w:left="60"/>
              <w:spacing w:after="0" w:line="164" w:lineRule="exact"/>
              <w:rPr>
                <w:sz w:val="20"/>
                <w:szCs w:val="20"/>
                <w:color w:val="auto"/>
              </w:rPr>
            </w:pPr>
            <w:r>
              <w:rPr>
                <w:rFonts w:ascii="Arial" w:cs="Arial" w:eastAsia="Arial" w:hAnsi="Arial"/>
                <w:sz w:val="15"/>
                <w:szCs w:val="15"/>
                <w:b w:val="1"/>
                <w:bCs w:val="1"/>
                <w:color w:val="auto"/>
              </w:rPr>
              <w:t>Total</w:t>
            </w:r>
          </w:p>
        </w:tc>
        <w:tc>
          <w:tcPr>
            <w:tcW w:w="980" w:type="dxa"/>
            <w:vAlign w:val="bottom"/>
            <w:tcBorders>
              <w:bottom w:val="single" w:sz="8" w:color="auto"/>
              <w:right w:val="single" w:sz="8" w:color="auto"/>
            </w:tcBorders>
            <w:shd w:val="clear" w:color="auto" w:fill="26D07C"/>
          </w:tcPr>
          <w:p>
            <w:pPr>
              <w:jc w:val="center"/>
              <w:spacing w:after="0" w:line="164" w:lineRule="exact"/>
              <w:rPr>
                <w:sz w:val="20"/>
                <w:szCs w:val="20"/>
                <w:color w:val="auto"/>
              </w:rPr>
            </w:pPr>
            <w:r>
              <w:rPr>
                <w:rFonts w:ascii="Arial" w:cs="Arial" w:eastAsia="Arial" w:hAnsi="Arial"/>
                <w:sz w:val="15"/>
                <w:szCs w:val="15"/>
                <w:color w:val="auto"/>
              </w:rPr>
              <w:t>169,331</w:t>
            </w:r>
          </w:p>
        </w:tc>
        <w:tc>
          <w:tcPr>
            <w:tcW w:w="980" w:type="dxa"/>
            <w:vAlign w:val="bottom"/>
            <w:tcBorders>
              <w:bottom w:val="single" w:sz="8" w:color="auto"/>
              <w:right w:val="single" w:sz="8" w:color="auto"/>
            </w:tcBorders>
            <w:shd w:val="clear" w:color="auto" w:fill="26D07C"/>
          </w:tcPr>
          <w:p>
            <w:pPr>
              <w:jc w:val="center"/>
              <w:spacing w:after="0" w:line="164" w:lineRule="exact"/>
              <w:rPr>
                <w:sz w:val="20"/>
                <w:szCs w:val="20"/>
                <w:color w:val="auto"/>
              </w:rPr>
            </w:pPr>
            <w:r>
              <w:rPr>
                <w:rFonts w:ascii="Arial" w:cs="Arial" w:eastAsia="Arial" w:hAnsi="Arial"/>
                <w:sz w:val="15"/>
                <w:szCs w:val="15"/>
                <w:color w:val="auto"/>
              </w:rPr>
              <w:t>168,118</w:t>
            </w:r>
          </w:p>
        </w:tc>
        <w:tc>
          <w:tcPr>
            <w:tcW w:w="740" w:type="dxa"/>
            <w:vAlign w:val="bottom"/>
            <w:tcBorders>
              <w:bottom w:val="single" w:sz="8" w:color="auto"/>
              <w:right w:val="single" w:sz="8" w:color="auto"/>
            </w:tcBorders>
            <w:shd w:val="clear" w:color="auto" w:fill="26D07C"/>
          </w:tcPr>
          <w:p>
            <w:pPr>
              <w:jc w:val="center"/>
              <w:spacing w:after="0" w:line="164" w:lineRule="exact"/>
              <w:rPr>
                <w:sz w:val="20"/>
                <w:szCs w:val="20"/>
                <w:color w:val="auto"/>
              </w:rPr>
            </w:pPr>
            <w:r>
              <w:rPr>
                <w:rFonts w:ascii="Arial" w:cs="Arial" w:eastAsia="Arial" w:hAnsi="Arial"/>
                <w:sz w:val="15"/>
                <w:szCs w:val="15"/>
                <w:color w:val="auto"/>
              </w:rPr>
              <w:t>9,071</w:t>
            </w:r>
          </w:p>
        </w:tc>
        <w:tc>
          <w:tcPr>
            <w:tcW w:w="740" w:type="dxa"/>
            <w:vAlign w:val="bottom"/>
            <w:tcBorders>
              <w:bottom w:val="single" w:sz="8" w:color="auto"/>
              <w:right w:val="single" w:sz="8" w:color="auto"/>
            </w:tcBorders>
            <w:shd w:val="clear" w:color="auto" w:fill="26D07C"/>
          </w:tcPr>
          <w:p>
            <w:pPr>
              <w:jc w:val="center"/>
              <w:spacing w:after="0" w:line="164" w:lineRule="exact"/>
              <w:rPr>
                <w:sz w:val="20"/>
                <w:szCs w:val="20"/>
                <w:color w:val="auto"/>
              </w:rPr>
            </w:pPr>
            <w:r>
              <w:rPr>
                <w:rFonts w:ascii="Arial" w:cs="Arial" w:eastAsia="Arial" w:hAnsi="Arial"/>
                <w:sz w:val="15"/>
                <w:szCs w:val="15"/>
                <w:color w:val="auto"/>
              </w:rPr>
              <w:t>8,531</w:t>
            </w:r>
          </w:p>
        </w:tc>
        <w:tc>
          <w:tcPr>
            <w:tcW w:w="760" w:type="dxa"/>
            <w:vAlign w:val="bottom"/>
            <w:tcBorders>
              <w:bottom w:val="single" w:sz="8" w:color="auto"/>
              <w:right w:val="single" w:sz="8" w:color="auto"/>
            </w:tcBorders>
            <w:shd w:val="clear" w:color="auto" w:fill="26D07C"/>
          </w:tcPr>
          <w:p>
            <w:pPr>
              <w:jc w:val="center"/>
              <w:spacing w:after="0" w:line="164" w:lineRule="exact"/>
              <w:rPr>
                <w:sz w:val="20"/>
                <w:szCs w:val="20"/>
                <w:color w:val="auto"/>
              </w:rPr>
            </w:pPr>
            <w:r>
              <w:rPr>
                <w:rFonts w:ascii="Arial" w:cs="Arial" w:eastAsia="Arial" w:hAnsi="Arial"/>
                <w:sz w:val="15"/>
                <w:szCs w:val="15"/>
                <w:color w:val="auto"/>
              </w:rPr>
              <w:t>5.36%</w:t>
            </w:r>
          </w:p>
        </w:tc>
        <w:tc>
          <w:tcPr>
            <w:tcW w:w="780" w:type="dxa"/>
            <w:vAlign w:val="bottom"/>
            <w:tcBorders>
              <w:bottom w:val="single" w:sz="8" w:color="auto"/>
              <w:right w:val="single" w:sz="8" w:color="auto"/>
            </w:tcBorders>
            <w:shd w:val="clear" w:color="auto" w:fill="26D07C"/>
          </w:tcPr>
          <w:p>
            <w:pPr>
              <w:jc w:val="center"/>
              <w:spacing w:after="0" w:line="164" w:lineRule="exact"/>
              <w:rPr>
                <w:sz w:val="20"/>
                <w:szCs w:val="20"/>
                <w:color w:val="auto"/>
              </w:rPr>
            </w:pPr>
            <w:r>
              <w:rPr>
                <w:rFonts w:ascii="Arial" w:cs="Arial" w:eastAsia="Arial" w:hAnsi="Arial"/>
                <w:sz w:val="15"/>
                <w:szCs w:val="15"/>
                <w:color w:val="auto"/>
                <w:w w:val="98"/>
              </w:rPr>
              <w:t>5.07%</w:t>
            </w:r>
          </w:p>
        </w:tc>
        <w:tc>
          <w:tcPr>
            <w:tcW w:w="0" w:type="dxa"/>
            <w:vAlign w:val="bottom"/>
          </w:tcPr>
          <w:p>
            <w:pPr>
              <w:spacing w:after="0"/>
              <w:rPr>
                <w:sz w:val="1"/>
                <w:szCs w:val="1"/>
                <w:color w:val="auto"/>
              </w:rPr>
            </w:pPr>
          </w:p>
        </w:tc>
      </w:tr>
      <w:tr>
        <w:trPr>
          <w:trHeight w:val="164"/>
        </w:trPr>
        <w:tc>
          <w:tcPr>
            <w:tcW w:w="1780" w:type="dxa"/>
            <w:vAlign w:val="bottom"/>
          </w:tcPr>
          <w:p>
            <w:pPr>
              <w:ind w:left="40"/>
              <w:spacing w:after="0" w:line="164" w:lineRule="exact"/>
              <w:rPr>
                <w:sz w:val="20"/>
                <w:szCs w:val="20"/>
                <w:color w:val="auto"/>
              </w:rPr>
            </w:pPr>
            <w:r>
              <w:rPr>
                <w:rFonts w:ascii="Arial" w:cs="Arial" w:eastAsia="Arial" w:hAnsi="Arial"/>
                <w:sz w:val="15"/>
                <w:szCs w:val="15"/>
                <w:color w:val="auto"/>
              </w:rPr>
              <w:t>Figures in S/ millions.</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308"/>
        <w:spacing w:after="0"/>
        <w:rPr>
          <w:sz w:val="20"/>
          <w:szCs w:val="20"/>
          <w:color w:val="auto"/>
        </w:rPr>
      </w:pPr>
      <w:r>
        <w:rPr>
          <w:rFonts w:ascii="Arial" w:cs="Arial" w:eastAsia="Arial" w:hAnsi="Arial"/>
          <w:sz w:val="15"/>
          <w:szCs w:val="15"/>
          <w:color w:val="auto"/>
        </w:rPr>
        <w:t>Source: Corporate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17862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16" w:lineRule="exact"/>
        <w:rPr>
          <w:sz w:val="20"/>
          <w:szCs w:val="20"/>
          <w:color w:val="auto"/>
        </w:rPr>
      </w:pPr>
    </w:p>
    <w:p>
      <w:pPr>
        <w:ind w:left="108" w:hanging="108"/>
        <w:spacing w:after="0"/>
        <w:tabs>
          <w:tab w:leader="none" w:pos="108" w:val="left"/>
        </w:tabs>
        <w:numPr>
          <w:ilvl w:val="0"/>
          <w:numId w:val="31"/>
        </w:numPr>
        <w:rPr>
          <w:rFonts w:ascii="Arial" w:cs="Arial" w:eastAsia="Arial" w:hAnsi="Arial"/>
          <w:sz w:val="26"/>
          <w:szCs w:val="26"/>
          <w:color w:val="auto"/>
          <w:vertAlign w:val="superscript"/>
        </w:rPr>
      </w:pPr>
      <w:r>
        <w:rPr>
          <w:rFonts w:ascii="Arial" w:cs="Arial" w:eastAsia="Arial" w:hAnsi="Arial"/>
          <w:sz w:val="15"/>
          <w:szCs w:val="15"/>
          <w:color w:val="auto"/>
        </w:rPr>
        <w:t>Direct and indirect loans include contingent accounts for guarantees, performance bonds and letters of credit. This does not include accrued interest.</w:t>
      </w:r>
    </w:p>
    <w:p>
      <w:pPr>
        <w:ind w:left="8" w:right="1460"/>
        <w:spacing w:after="0" w:line="2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2</w:t>
      </w:r>
      <w:r>
        <w:rPr>
          <w:rFonts w:ascii="Arial" w:cs="Arial" w:eastAsia="Arial" w:hAnsi="Arial"/>
          <w:sz w:val="15"/>
          <w:szCs w:val="15"/>
          <w:color w:val="auto"/>
        </w:rPr>
        <w:t xml:space="preserve"> Provisions are calculated under IFRS 9 and include provisions for contingent accounts for guarantees, performance bonds and letters of credit. </w:t>
      </w:r>
      <w:r>
        <w:rPr>
          <w:rFonts w:ascii="Arial" w:cs="Arial" w:eastAsia="Arial" w:hAnsi="Arial"/>
          <w:sz w:val="25"/>
          <w:szCs w:val="25"/>
          <w:color w:val="auto"/>
          <w:vertAlign w:val="superscript"/>
        </w:rPr>
        <w:t>3</w:t>
      </w:r>
      <w:r>
        <w:rPr>
          <w:rFonts w:ascii="Arial" w:cs="Arial" w:eastAsia="Arial" w:hAnsi="Arial"/>
          <w:sz w:val="15"/>
          <w:szCs w:val="15"/>
          <w:color w:val="auto"/>
        </w:rPr>
        <w:t xml:space="preserve"> The coverage ratio is equal to the provisions divided by direct and indirect loans.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288" w:right="31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Credit Process</w:t>
      </w:r>
    </w:p>
    <w:p>
      <w:pPr>
        <w:spacing w:after="0" w:line="173" w:lineRule="exact"/>
        <w:rPr>
          <w:sz w:val="20"/>
          <w:szCs w:val="20"/>
          <w:color w:val="auto"/>
        </w:rPr>
      </w:pPr>
    </w:p>
    <w:p>
      <w:pPr>
        <w:ind w:left="540" w:hanging="330"/>
        <w:spacing w:after="0"/>
        <w:tabs>
          <w:tab w:leader="none" w:pos="540" w:val="left"/>
        </w:tabs>
        <w:numPr>
          <w:ilvl w:val="0"/>
          <w:numId w:val="32"/>
        </w:numPr>
        <w:rPr>
          <w:rFonts w:ascii="Arial" w:cs="Arial" w:eastAsia="Arial" w:hAnsi="Arial"/>
          <w:sz w:val="15"/>
          <w:szCs w:val="15"/>
          <w:b w:val="1"/>
          <w:bCs w:val="1"/>
          <w:color w:val="595959"/>
        </w:rPr>
      </w:pPr>
      <w:r>
        <w:rPr>
          <w:rFonts w:ascii="Arial" w:cs="Arial" w:eastAsia="Arial" w:hAnsi="Arial"/>
          <w:sz w:val="15"/>
          <w:szCs w:val="15"/>
          <w:b w:val="1"/>
          <w:bCs w:val="1"/>
          <w:color w:val="595959"/>
        </w:rPr>
        <w:t>Wholesale Banking</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595959"/>
        </w:rPr>
        <w:t>Underwriting:</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Group has policies to approve transactions that are subject to credit risk. These policies are based on conservative criteria, which are applied to common structures in each of the Group’s companies. Analysis focuses primarily on the client’s capacity to generate sufficient resources to reimburse the company, within the time frames stipulated in agreements, for the principal of the loan and its respective interest.</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Risk assessments are conducted periodically at the client or economic group levels. In particular, we analyze the client’s financial situation and payment capacity. Assessments are supported by standardized processes, which are in turn supported by rating models that calculate the probabilities of default to be used to approve credit lines and control portfolio quality.</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Credicorp began a project to renew the technology utilized in its credit process and replaced the tools it had been using for credit assessment and approval. Thanks to the functional improvements generated by this project, the process to assess the financial situation of clients will make the service flow more efficient and improve risk analysis.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 process to build a Dashboard of Guarantees was launched this year, which will provide a series of indicators to improve monitoring of the guarantees that back our loans. This helps ensure that we follow the guidelines that govern risk metrics, process efficiency and client experience.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595959"/>
        </w:rPr>
        <w:t>Follow-up:</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Group has implemented a follow-up process to maintain the portfolio’s quality. Levels of credit deterioration are assigned through this process and specific corrective actions are taken for each case.</w:t>
      </w:r>
    </w:p>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To maintain an adequate level of portfolio risk, we identify client risk in a timely manner by using a system of preventive alerts, which assign levels of deterioration and implement corrective actions on a case-by-case basis.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2022, Credicorp monitored and updated the risk level of economic sectors and clients that are potentially impacted by i) the conflict between Russia and the Ukraine, ii) the economic juncture in Peru and in the other countries in which we operate (complications with the supply chain, delays, less availability of and increases in the prices of imported goods, inflation, others), and iii) rising interest rates. As a complement to the current system of alerts, at the end of 2022, we finalized work to develop the anticipated alert model, whose objective is to anticipate deterioration of clients by 6 to 9 months. This model prioritizes transactional information and will be launched in 2023.</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Monitoring reports on portfolios are conducted every quarter to give management and governance bodies an updated view of the risk of each portfolio.</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4" w:name="page45"/>
    <w:bookmarkEnd w:id="44"/>
    <w:p>
      <w:pPr>
        <w:ind w:left="480"/>
        <w:spacing w:after="0"/>
        <w:rPr>
          <w:sz w:val="20"/>
          <w:szCs w:val="20"/>
          <w:color w:val="auto"/>
        </w:rPr>
      </w:pPr>
      <w:r>
        <w:rPr>
          <w:rFonts w:ascii="Arial" w:cs="Arial" w:eastAsia="Arial" w:hAnsi="Arial"/>
          <w:sz w:val="15"/>
          <w:szCs w:val="15"/>
          <w:b w:val="1"/>
          <w:bCs w:val="1"/>
          <w:color w:val="595959"/>
        </w:rPr>
        <w:t>Recovery:</w:t>
      </w:r>
    </w:p>
    <w:p>
      <w:pPr>
        <w:spacing w:after="0" w:line="191"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main objective of the recovery process is to normalize clients’ situations. If this is not possible, we opt to maximize debt recovery. Along these lines, we have worked on improving processes to provide more personalized services to our clients.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To meet our objective, the companies in the Group restructure the payment conditions for clients that are experiencing economic deterioration. Additionally, legal processes are executed to recover guarantees and processes to recover overdue loans or negotiations to execute the sale of corresponding guarantees or dations in payment. In 2022, we improved our processes to efficiently manage delinquent loans backed by state guarantees under the government programs.</w:t>
      </w:r>
    </w:p>
    <w:p>
      <w:pPr>
        <w:spacing w:after="0" w:line="137" w:lineRule="exact"/>
        <w:rPr>
          <w:sz w:val="20"/>
          <w:szCs w:val="20"/>
          <w:color w:val="auto"/>
        </w:rPr>
      </w:pPr>
    </w:p>
    <w:p>
      <w:pPr>
        <w:ind w:left="480" w:right="9640" w:hanging="270"/>
        <w:spacing w:after="0" w:line="493" w:lineRule="auto"/>
        <w:tabs>
          <w:tab w:leader="none" w:pos="536" w:val="left"/>
        </w:tabs>
        <w:numPr>
          <w:ilvl w:val="0"/>
          <w:numId w:val="33"/>
        </w:numPr>
        <w:rPr>
          <w:rFonts w:ascii="Arial" w:cs="Arial" w:eastAsia="Arial" w:hAnsi="Arial"/>
          <w:sz w:val="15"/>
          <w:szCs w:val="15"/>
          <w:b w:val="1"/>
          <w:bCs w:val="1"/>
          <w:color w:val="595959"/>
        </w:rPr>
      </w:pPr>
      <w:r>
        <w:rPr>
          <w:rFonts w:ascii="Arial" w:cs="Arial" w:eastAsia="Arial" w:hAnsi="Arial"/>
          <w:sz w:val="15"/>
          <w:szCs w:val="15"/>
          <w:b w:val="1"/>
          <w:bCs w:val="1"/>
          <w:color w:val="595959"/>
        </w:rPr>
        <w:t>Retail Banking Underwriting:</w:t>
      </w:r>
    </w:p>
    <w:p>
      <w:pPr>
        <w:spacing w:after="0" w:line="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 processes for acceptance and portfolio management of the main portfolios are conducted with scoring and rating models, whose probabilities of default are used for loan assessment. These acceptance models, coupled with norms for loan issuance, are defined by the risk units in accordance with the guidelines approved by the different risk committees of the Group’s companies.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2022, improvements were made to underwriting scoring models to reflect variations in risk post-pandemic. Through on-going follow-up of payment behavior models, the Group found that the adjustments made to the model at the height of COVID in 2020 were no longer necessary, and as such, were subsequently deactivated. Efforts were made to make our acceptance scores more robust and calibrations relative to the impact of early delinquency were incorporated, which were identified through (i) an increase in the size of the data universe and (ii) incorporation of macroeconomic variables such as inflation.</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595959"/>
        </w:rPr>
        <w:t>Follow-up:</w:t>
      </w:r>
    </w:p>
    <w:p>
      <w:pPr>
        <w:spacing w:after="0" w:line="191"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We continue to use behavioral models in the Group, which allow us to group clients by levels of risk. Based on the risks found, preventive and corrective actions are executed. Additionally, we conduct follow-up on the portfolio through delinquency indicators for the portfolio, origination, profitability and expected loss.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2022, we continue work to make our behavior scores more robust. These tools have allowed the Group to (i) identify early alerts, (ii) understand the profile of vulnerable sub-segments or of those that may begin to show signs of vulnerability and (iii) manage actions for pre-delinquency. Follow-up schemes have facilitated the timely assessment of the performance of our models and provided a basis to make adjustments that reflect behavior in different tranches of delinquency, including early delinquency by key product and segment. Additionally, adjustments were made to models for inflation to prudently address price volatility.</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risk strategy during the final leg of the pandemic has allowed us to manage the portfolio by mitigating delinquency levels through a more extensive, exhaustive and robust vision.</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45" w:name="page46"/>
    <w:bookmarkEnd w:id="45"/>
    <w:p>
      <w:pPr>
        <w:ind w:left="480"/>
        <w:spacing w:after="0"/>
        <w:rPr>
          <w:sz w:val="20"/>
          <w:szCs w:val="20"/>
          <w:color w:val="auto"/>
        </w:rPr>
      </w:pPr>
      <w:r>
        <w:rPr>
          <w:rFonts w:ascii="Arial" w:cs="Arial" w:eastAsia="Arial" w:hAnsi="Arial"/>
          <w:sz w:val="15"/>
          <w:szCs w:val="15"/>
          <w:b w:val="1"/>
          <w:bCs w:val="1"/>
          <w:color w:val="595959"/>
        </w:rPr>
        <w:t>Recovery:</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the Group fine-tuned the alignment between its Risk Management, Retail Banking Risk and Payment Solutions teams. This dynamic has allowed Credicorp to respond quickly and propose comprehensive plans for action: we recognize risk, adjust guidelines and set differentiated strategies into motion for portfolios showing distress.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Credicorp has increased recovery levels thanks to the implementation of best practices in all stages of delinquency while focusing on client and employee experiences.</w:t>
      </w:r>
    </w:p>
    <w:p>
      <w:pPr>
        <w:spacing w:after="0" w:line="34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objective is to engage in pre-delinquency monitoring and preventive intelligence, which helps prioritize clients that are facing more distress and improves efficiency.</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Models and methodologies for credit risk management</w:t>
      </w:r>
    </w:p>
    <w:p>
      <w:pPr>
        <w:spacing w:after="0" w:line="19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Statistical models constitute a fundamental part of our credit risk management strategy. As such, the Models and Methodologies Area for Risk Management (MMGR) at BCP provides support to build, adjust and/or calibrate models to manage our companies’ credit risks. This area is in charge of providing governance guidelines for credit risk models and overseeing their correct application within the group.</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with the results of on -going modeling of models, calibration was conducted with early metrics of payment behavior. In parallel, at the portfolio level, the assumptions introduced during the pandemic were discarded and the Group returned to analytical normality. At year-end an additional dimension was introduced in the models to better capture the impact of macroeconomic deterioration.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Additionally, we continued to use alternative sources of information in risk models in both the SME-Pyme and individuals segments.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D. Market Risk</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We separate market risk into two groups: (i) exposure that arises from a fluctuation in the market value of the positions acquired, which are primarily registered in the fair value through profit and loss investments (</w:t>
      </w:r>
      <w:r>
        <w:rPr>
          <w:rFonts w:ascii="Arial" w:cs="Arial" w:eastAsia="Arial" w:hAnsi="Arial"/>
          <w:sz w:val="15"/>
          <w:szCs w:val="15"/>
          <w:i w:val="1"/>
          <w:iCs w:val="1"/>
          <w:color w:val="auto"/>
        </w:rPr>
        <w:t>Trading Book</w:t>
      </w:r>
      <w:r>
        <w:rPr>
          <w:rFonts w:ascii="Arial" w:cs="Arial" w:eastAsia="Arial" w:hAnsi="Arial"/>
          <w:sz w:val="15"/>
          <w:szCs w:val="15"/>
          <w:color w:val="auto"/>
        </w:rPr>
        <w:t xml:space="preserve">) and ii) exposure that arises due to a fluctuation in the value of asset and liability and the matching of structural positions registered at amortized cost and in the fair value through other comprehensive income portfolio </w:t>
      </w:r>
      <w:r>
        <w:rPr>
          <w:rFonts w:ascii="Arial" w:cs="Arial" w:eastAsia="Arial" w:hAnsi="Arial"/>
          <w:sz w:val="15"/>
          <w:szCs w:val="15"/>
          <w:i w:val="1"/>
          <w:iCs w:val="1"/>
          <w:color w:val="auto"/>
        </w:rPr>
        <w:t>(Banking Book</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Trading Book</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 xml:space="preserve">To manage the </w:t>
      </w:r>
      <w:r>
        <w:rPr>
          <w:rFonts w:ascii="Arial" w:cs="Arial" w:eastAsia="Arial" w:hAnsi="Arial"/>
          <w:sz w:val="15"/>
          <w:szCs w:val="15"/>
          <w:i w:val="1"/>
          <w:iCs w:val="1"/>
          <w:color w:val="auto"/>
        </w:rPr>
        <w:t>trading book</w:t>
      </w:r>
      <w:r>
        <w:rPr>
          <w:rFonts w:ascii="Arial" w:cs="Arial" w:eastAsia="Arial" w:hAnsi="Arial"/>
          <w:sz w:val="15"/>
          <w:szCs w:val="15"/>
          <w:color w:val="auto"/>
        </w:rPr>
        <w:t>, Credicorp applies the VaR (Value at Risk) methodology to its trading portfolio to calculate the market risk of the main positions taken and to determine the maximum loss expected based on a series of assumptions that cover a variety of changes in market conditions. The daily measurement of VaR is a statistical estimate of the potential maximum loss on the current portfolio based on adverse movements in the market and with a confidence level of 99%.</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time horizon to measure the VaR is one day. The one-day VaR is also expanded to 10 days by multiplying the daily level by to square root of 10.</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46" w:name="page47"/>
    <w:bookmarkEnd w:id="46"/>
    <w:p>
      <w:pPr>
        <w:jc w:val="center"/>
        <w:ind w:right="-299"/>
        <w:spacing w:after="0"/>
        <w:rPr>
          <w:sz w:val="20"/>
          <w:szCs w:val="20"/>
          <w:color w:val="auto"/>
        </w:rPr>
      </w:pPr>
      <w:r>
        <w:rPr>
          <w:rFonts w:ascii="Arial" w:cs="Arial" w:eastAsia="Arial" w:hAnsi="Arial"/>
          <w:sz w:val="15"/>
          <w:szCs w:val="15"/>
          <w:b w:val="1"/>
          <w:bCs w:val="1"/>
          <w:color w:val="auto"/>
        </w:rPr>
        <w:t>VaR 10d at Credicorp by risk type</w:t>
      </w:r>
    </w:p>
    <w:p>
      <w:pPr>
        <w:spacing w:after="0" w:line="172" w:lineRule="exact"/>
        <w:rPr>
          <w:sz w:val="20"/>
          <w:szCs w:val="20"/>
          <w:color w:val="auto"/>
        </w:rPr>
      </w:pPr>
    </w:p>
    <w:tbl>
      <w:tblPr>
        <w:tblLayout w:type="fixed"/>
        <w:tblInd w:w="2830" w:type="dxa"/>
        <w:tblCellMar>
          <w:top w:w="0" w:type="dxa"/>
          <w:left w:w="0" w:type="dxa"/>
          <w:bottom w:w="0" w:type="dxa"/>
          <w:right w:w="0" w:type="dxa"/>
        </w:tblCellMar>
      </w:tblPr>
      <w:tr>
        <w:trPr>
          <w:trHeight w:val="184"/>
        </w:trPr>
        <w:tc>
          <w:tcPr>
            <w:tcW w:w="3400" w:type="dxa"/>
            <w:vAlign w:val="bottom"/>
            <w:tcBorders>
              <w:top w:val="single" w:sz="8" w:color="auto"/>
              <w:left w:val="single" w:sz="8" w:color="auto"/>
              <w:bottom w:val="single" w:sz="8" w:color="auto"/>
              <w:right w:val="single" w:sz="8" w:color="auto"/>
            </w:tcBorders>
            <w:shd w:val="clear" w:color="auto" w:fill="2AD2C9"/>
          </w:tcPr>
          <w:p>
            <w:pPr>
              <w:ind w:left="1340"/>
              <w:spacing w:after="0"/>
              <w:rPr>
                <w:sz w:val="20"/>
                <w:szCs w:val="20"/>
                <w:color w:val="auto"/>
              </w:rPr>
            </w:pPr>
            <w:r>
              <w:rPr>
                <w:rFonts w:ascii="Arial" w:cs="Arial" w:eastAsia="Arial" w:hAnsi="Arial"/>
                <w:sz w:val="15"/>
                <w:szCs w:val="15"/>
                <w:b w:val="1"/>
                <w:bCs w:val="1"/>
                <w:color w:val="FFFFFF"/>
              </w:rPr>
              <w:t>Risk type</w:t>
            </w:r>
          </w:p>
        </w:tc>
        <w:tc>
          <w:tcPr>
            <w:tcW w:w="1120" w:type="dxa"/>
            <w:vAlign w:val="bottom"/>
            <w:tcBorders>
              <w:top w:val="single" w:sz="8" w:color="auto"/>
              <w:bottom w:val="single" w:sz="8" w:color="auto"/>
              <w:right w:val="single" w:sz="8" w:color="auto"/>
            </w:tcBorders>
            <w:shd w:val="clear" w:color="auto" w:fill="2AD2C9"/>
          </w:tcPr>
          <w:p>
            <w:pPr>
              <w:jc w:val="right"/>
              <w:ind w:right="343"/>
              <w:spacing w:after="0"/>
              <w:rPr>
                <w:sz w:val="20"/>
                <w:szCs w:val="20"/>
                <w:color w:val="auto"/>
              </w:rPr>
            </w:pPr>
            <w:r>
              <w:rPr>
                <w:rFonts w:ascii="Arial" w:cs="Arial" w:eastAsia="Arial" w:hAnsi="Arial"/>
                <w:sz w:val="15"/>
                <w:szCs w:val="15"/>
                <w:b w:val="1"/>
                <w:bCs w:val="1"/>
                <w:color w:val="FFFFFF"/>
              </w:rPr>
              <w:t>2021</w:t>
            </w:r>
          </w:p>
        </w:tc>
        <w:tc>
          <w:tcPr>
            <w:tcW w:w="1120" w:type="dxa"/>
            <w:vAlign w:val="bottom"/>
            <w:tcBorders>
              <w:top w:val="single" w:sz="8" w:color="auto"/>
              <w:bottom w:val="single" w:sz="8" w:color="auto"/>
              <w:right w:val="single" w:sz="8" w:color="auto"/>
            </w:tcBorders>
            <w:shd w:val="clear" w:color="auto" w:fill="2AD2C9"/>
          </w:tcPr>
          <w:p>
            <w:pPr>
              <w:jc w:val="right"/>
              <w:ind w:right="343"/>
              <w:spacing w:after="0"/>
              <w:rPr>
                <w:sz w:val="20"/>
                <w:szCs w:val="20"/>
                <w:color w:val="auto"/>
              </w:rPr>
            </w:pPr>
            <w:r>
              <w:rPr>
                <w:rFonts w:ascii="Arial" w:cs="Arial" w:eastAsia="Arial" w:hAnsi="Arial"/>
                <w:sz w:val="15"/>
                <w:szCs w:val="15"/>
                <w:b w:val="1"/>
                <w:bCs w:val="1"/>
                <w:color w:val="FFFFFF"/>
              </w:rPr>
              <w:t>2022</w:t>
            </w:r>
          </w:p>
        </w:tc>
      </w:tr>
      <w:tr>
        <w:trPr>
          <w:trHeight w:val="164"/>
        </w:trPr>
        <w:tc>
          <w:tcPr>
            <w:tcW w:w="34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Interest rate risk</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35,721</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74,343</w:t>
            </w:r>
          </w:p>
        </w:tc>
      </w:tr>
      <w:tr>
        <w:trPr>
          <w:trHeight w:val="164"/>
        </w:trPr>
        <w:tc>
          <w:tcPr>
            <w:tcW w:w="34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Price risk</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4,637</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5,219</w:t>
            </w:r>
          </w:p>
        </w:tc>
      </w:tr>
      <w:tr>
        <w:trPr>
          <w:trHeight w:val="164"/>
        </w:trPr>
        <w:tc>
          <w:tcPr>
            <w:tcW w:w="34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Volatility risk</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2,662</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2,032</w:t>
            </w:r>
          </w:p>
        </w:tc>
      </w:tr>
      <w:tr>
        <w:trPr>
          <w:trHeight w:val="164"/>
        </w:trPr>
        <w:tc>
          <w:tcPr>
            <w:tcW w:w="34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Diversification effect</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(4,916)</w:t>
            </w:r>
          </w:p>
        </w:tc>
        <w:tc>
          <w:tcPr>
            <w:tcW w:w="112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(7,347)</w:t>
            </w:r>
          </w:p>
        </w:tc>
      </w:tr>
      <w:tr>
        <w:trPr>
          <w:trHeight w:val="164"/>
        </w:trPr>
        <w:tc>
          <w:tcPr>
            <w:tcW w:w="3400" w:type="dxa"/>
            <w:vAlign w:val="bottom"/>
            <w:tcBorders>
              <w:left w:val="single" w:sz="8" w:color="auto"/>
              <w:bottom w:val="single" w:sz="8" w:color="auto"/>
              <w:right w:val="single" w:sz="8" w:color="auto"/>
            </w:tcBorders>
            <w:shd w:val="clear" w:color="auto" w:fill="26D07C"/>
          </w:tcPr>
          <w:p>
            <w:pPr>
              <w:ind w:left="60"/>
              <w:spacing w:after="0" w:line="164" w:lineRule="exact"/>
              <w:rPr>
                <w:sz w:val="20"/>
                <w:szCs w:val="20"/>
                <w:color w:val="auto"/>
              </w:rPr>
            </w:pPr>
            <w:r>
              <w:rPr>
                <w:rFonts w:ascii="Arial" w:cs="Arial" w:eastAsia="Arial" w:hAnsi="Arial"/>
                <w:sz w:val="15"/>
                <w:szCs w:val="15"/>
                <w:b w:val="1"/>
                <w:bCs w:val="1"/>
                <w:color w:val="FFFFFF"/>
              </w:rPr>
              <w:t>VaR consolidated by risk type</w:t>
            </w:r>
          </w:p>
        </w:tc>
        <w:tc>
          <w:tcPr>
            <w:tcW w:w="1120" w:type="dxa"/>
            <w:vAlign w:val="bottom"/>
            <w:tcBorders>
              <w:bottom w:val="single" w:sz="8" w:color="auto"/>
              <w:right w:val="single" w:sz="8" w:color="auto"/>
            </w:tcBorders>
            <w:shd w:val="clear" w:color="auto" w:fill="26D07C"/>
          </w:tcPr>
          <w:p>
            <w:pPr>
              <w:jc w:val="right"/>
              <w:ind w:right="3"/>
              <w:spacing w:after="0" w:line="164" w:lineRule="exact"/>
              <w:rPr>
                <w:sz w:val="20"/>
                <w:szCs w:val="20"/>
                <w:color w:val="auto"/>
              </w:rPr>
            </w:pPr>
            <w:r>
              <w:rPr>
                <w:rFonts w:ascii="Arial" w:cs="Arial" w:eastAsia="Arial" w:hAnsi="Arial"/>
                <w:sz w:val="15"/>
                <w:szCs w:val="15"/>
                <w:b w:val="1"/>
                <w:bCs w:val="1"/>
                <w:color w:val="FFFFFF"/>
              </w:rPr>
              <w:t>38,104</w:t>
            </w:r>
          </w:p>
        </w:tc>
        <w:tc>
          <w:tcPr>
            <w:tcW w:w="1120" w:type="dxa"/>
            <w:vAlign w:val="bottom"/>
            <w:tcBorders>
              <w:bottom w:val="single" w:sz="8" w:color="auto"/>
              <w:right w:val="single" w:sz="8" w:color="auto"/>
            </w:tcBorders>
            <w:shd w:val="clear" w:color="auto" w:fill="26D07C"/>
          </w:tcPr>
          <w:p>
            <w:pPr>
              <w:jc w:val="right"/>
              <w:ind w:right="3"/>
              <w:spacing w:after="0" w:line="164" w:lineRule="exact"/>
              <w:rPr>
                <w:sz w:val="20"/>
                <w:szCs w:val="20"/>
                <w:color w:val="auto"/>
              </w:rPr>
            </w:pPr>
            <w:r>
              <w:rPr>
                <w:rFonts w:ascii="Arial" w:cs="Arial" w:eastAsia="Arial" w:hAnsi="Arial"/>
                <w:sz w:val="15"/>
                <w:szCs w:val="15"/>
                <w:b w:val="1"/>
                <w:bCs w:val="1"/>
                <w:color w:val="FFFFFF"/>
              </w:rPr>
              <w:t>74,247</w:t>
            </w:r>
          </w:p>
        </w:tc>
      </w:tr>
      <w:tr>
        <w:trPr>
          <w:trHeight w:val="177"/>
        </w:trPr>
        <w:tc>
          <w:tcPr>
            <w:tcW w:w="3400" w:type="dxa"/>
            <w:vAlign w:val="bottom"/>
          </w:tcPr>
          <w:p>
            <w:pPr>
              <w:ind w:left="40"/>
              <w:spacing w:after="0"/>
              <w:rPr>
                <w:sz w:val="20"/>
                <w:szCs w:val="20"/>
                <w:color w:val="auto"/>
              </w:rPr>
            </w:pPr>
            <w:r>
              <w:rPr>
                <w:rFonts w:ascii="Arial" w:cs="Arial" w:eastAsia="Arial" w:hAnsi="Arial"/>
                <w:sz w:val="15"/>
                <w:szCs w:val="15"/>
                <w:color w:val="auto"/>
              </w:rPr>
              <w:t>Figures in S/ thousands.</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VaR calculation does not include the effects of the exchange rate, given that these effects are measured in the sensibility of the net monetary position.</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VaR registered an increase as of December 31, 2022, due to a higher interest rate risk which, in turn, was attributable to our higher exposure of fixed income instruments from the Colombian market. The VaR remained within the limits of the risk appetite set by Risk Department at each subsidiary.</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 xml:space="preserve">The risk management for the </w:t>
      </w:r>
      <w:r>
        <w:rPr>
          <w:rFonts w:ascii="Arial" w:cs="Arial" w:eastAsia="Arial" w:hAnsi="Arial"/>
          <w:sz w:val="15"/>
          <w:szCs w:val="15"/>
          <w:i w:val="1"/>
          <w:iCs w:val="1"/>
          <w:color w:val="auto"/>
        </w:rPr>
        <w:t>Trading Book</w:t>
      </w:r>
      <w:r>
        <w:rPr>
          <w:rFonts w:ascii="Arial" w:cs="Arial" w:eastAsia="Arial" w:hAnsi="Arial"/>
          <w:sz w:val="15"/>
          <w:szCs w:val="15"/>
          <w:color w:val="auto"/>
        </w:rPr>
        <w:t xml:space="preserve"> is accompanied by the use of indicators for stressed VaR and economic capital, which reflect the trading portfolio’s exposure to extreme movements in the risk factors to which it is subject. These indicators have a structure for limits and autonomies for each of the Group’s companies, which depends on the size of the positions and/or volatility of the risk factors contemplated for each financial instrument. The structure is, in turn, calculated based on the appetite for risk. On a regular basis, reports are prepared for Credicorp’s Risk Committee and for management at each of the Group’s companies. There is also a limit for the appetite for risk associated with the </w:t>
      </w:r>
      <w:r>
        <w:rPr>
          <w:rFonts w:ascii="Arial" w:cs="Arial" w:eastAsia="Arial" w:hAnsi="Arial"/>
          <w:sz w:val="15"/>
          <w:szCs w:val="15"/>
          <w:i w:val="1"/>
          <w:iCs w:val="1"/>
          <w:color w:val="auto"/>
        </w:rPr>
        <w:t>Trading Book</w:t>
      </w:r>
      <w:r>
        <w:rPr>
          <w:rFonts w:ascii="Arial" w:cs="Arial" w:eastAsia="Arial" w:hAnsi="Arial"/>
          <w:sz w:val="15"/>
          <w:szCs w:val="15"/>
          <w:color w:val="auto"/>
        </w:rPr>
        <w:t xml:space="preserve"> at Credicorp, which is monitored and subsequently communicated to the Corporate Committee for Market, Structural, Trading and Liquidity Risk</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Exchange rate risk is measured through the sensitivity of each foreign exchange position which affects the consolidated results or other comprehensive income (the calculation considers the foreign exchange position in dollars given that the position in other currencies is not significant). The market risk unit at each subsidiary monitor and controls each foreign exchange position and the exchange rate risk derived from the same.</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In terms of the limits on the foreign exchange position, each of the subsidiaries sets its limits for subsequent approval by their risk committees. The strategies for foreign exchange rate management are contained in the portfolios of the </w:t>
      </w:r>
      <w:r>
        <w:rPr>
          <w:rFonts w:ascii="Arial" w:cs="Arial" w:eastAsia="Arial" w:hAnsi="Arial"/>
          <w:sz w:val="15"/>
          <w:szCs w:val="15"/>
          <w:i w:val="1"/>
          <w:iCs w:val="1"/>
          <w:color w:val="auto"/>
        </w:rPr>
        <w:t>Trading Book</w:t>
      </w:r>
      <w:r>
        <w:rPr>
          <w:rFonts w:ascii="Arial" w:cs="Arial" w:eastAsia="Arial" w:hAnsi="Arial"/>
          <w:sz w:val="15"/>
          <w:szCs w:val="15"/>
          <w:color w:val="auto"/>
        </w:rPr>
        <w:t xml:space="preserve"> and consume the limits defined for each.</w:t>
      </w:r>
    </w:p>
    <w:p>
      <w:pPr>
        <w:spacing w:after="0" w:line="14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There is also a limit for Credicorp’s global exchange position in foreign currency, with is monitored and subsequently communicated to the Credicorp’s Risk Committee.</w:t>
      </w: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In 2022, we continued with our sensitivity analysis and stress tests to anticipate potential losses and generate plans of action for mitigation.</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color w:val="auto"/>
        </w:rPr>
        <w:t>Banking Book</w:t>
      </w:r>
    </w:p>
    <w:p>
      <w:pPr>
        <w:spacing w:after="0" w:line="173"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 xml:space="preserve">Banking book management at Credicorp covers the identification, measurement, evaluation, control and monitoring of </w:t>
      </w:r>
      <w:r>
        <w:rPr>
          <w:rFonts w:ascii="Arial" w:cs="Arial" w:eastAsia="Arial" w:hAnsi="Arial"/>
          <w:sz w:val="15"/>
          <w:szCs w:val="15"/>
          <w:b w:val="1"/>
          <w:bCs w:val="1"/>
          <w:color w:val="auto"/>
        </w:rPr>
        <w:t>Liquidity Risk and Structural Risk relative to</w:t>
      </w:r>
      <w:r>
        <w:rPr>
          <w:rFonts w:ascii="Arial" w:cs="Arial" w:eastAsia="Arial" w:hAnsi="Arial"/>
          <w:sz w:val="15"/>
          <w:szCs w:val="15"/>
          <w:color w:val="auto"/>
        </w:rPr>
        <w:t xml:space="preserve"> </w:t>
      </w:r>
      <w:r>
        <w:rPr>
          <w:rFonts w:ascii="Arial" w:cs="Arial" w:eastAsia="Arial" w:hAnsi="Arial"/>
          <w:sz w:val="15"/>
          <w:szCs w:val="15"/>
          <w:b w:val="1"/>
          <w:bCs w:val="1"/>
          <w:color w:val="auto"/>
        </w:rPr>
        <w:t>the Interest Rate.</w:t>
      </w:r>
    </w:p>
    <w:p>
      <w:pPr>
        <w:spacing w:after="0" w:line="112"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b w:val="1"/>
          <w:bCs w:val="1"/>
          <w:color w:val="auto"/>
        </w:rPr>
        <w:t xml:space="preserve">Liquidity Risk </w:t>
      </w:r>
      <w:r>
        <w:rPr>
          <w:rFonts w:ascii="Arial" w:cs="Arial" w:eastAsia="Arial" w:hAnsi="Arial"/>
          <w:sz w:val="15"/>
          <w:szCs w:val="15"/>
          <w:color w:val="auto"/>
        </w:rPr>
        <w:t>is defined as an inability to pay or refinance obligations that have been previously agreed on to maturity due to situations of mismatching of assets and</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and the inability to liquidate investment positions that are subject to Price Risk, without generating adverse changes in the value of these positions.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Each of Credicorp’s subsidiaries manages liquidity risk according to corporate indicators:</w:t>
      </w:r>
    </w:p>
    <w:p>
      <w:pPr>
        <w:spacing w:after="0" w:line="155" w:lineRule="exact"/>
        <w:rPr>
          <w:sz w:val="20"/>
          <w:szCs w:val="20"/>
          <w:color w:val="auto"/>
        </w:rPr>
      </w:pPr>
    </w:p>
    <w:p>
      <w:pPr>
        <w:ind w:left="540" w:right="20" w:hanging="271"/>
        <w:spacing w:after="0" w:line="283"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 xml:space="preserve">Internal Liquidity Coverage Ratio (LCR), </w:t>
      </w:r>
      <w:r>
        <w:rPr>
          <w:rFonts w:ascii="Arial" w:cs="Arial" w:eastAsia="Arial" w:hAnsi="Arial"/>
          <w:sz w:val="15"/>
          <w:szCs w:val="15"/>
          <w:color w:val="auto"/>
        </w:rPr>
        <w:t>which measures liquidity risk for periods of 15, 30 and 60 days. This ratio is calculated by currency and by</w:t>
      </w:r>
      <w:r>
        <w:rPr>
          <w:rFonts w:ascii="Arial" w:cs="Arial" w:eastAsia="Arial" w:hAnsi="Arial"/>
          <w:sz w:val="15"/>
          <w:szCs w:val="15"/>
          <w:b w:val="1"/>
          <w:bCs w:val="1"/>
          <w:color w:val="auto"/>
        </w:rPr>
        <w:t xml:space="preserve"> </w:t>
      </w:r>
      <w:r>
        <w:rPr>
          <w:rFonts w:ascii="Arial" w:cs="Arial" w:eastAsia="Arial" w:hAnsi="Arial"/>
          <w:sz w:val="15"/>
          <w:szCs w:val="15"/>
          <w:color w:val="auto"/>
        </w:rPr>
        <w:t>scenario (Systemic and Specific).</w:t>
      </w:r>
    </w:p>
    <w:p>
      <w:pPr>
        <w:spacing w:after="0" w:line="112" w:lineRule="exact"/>
        <w:rPr>
          <w:rFonts w:ascii="Arial" w:cs="Arial" w:eastAsia="Arial" w:hAnsi="Arial"/>
          <w:sz w:val="15"/>
          <w:szCs w:val="15"/>
          <w:color w:val="auto"/>
        </w:rPr>
      </w:pPr>
    </w:p>
    <w:p>
      <w:pPr>
        <w:ind w:left="540" w:right="100" w:hanging="271"/>
        <w:spacing w:after="0" w:line="283"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 xml:space="preserve">Internal Net Stable Funding Ratio (NSFR), </w:t>
      </w:r>
      <w:r>
        <w:rPr>
          <w:rFonts w:ascii="Arial" w:cs="Arial" w:eastAsia="Arial" w:hAnsi="Arial"/>
          <w:sz w:val="15"/>
          <w:szCs w:val="15"/>
          <w:color w:val="auto"/>
        </w:rPr>
        <w:t>which measures structural liquidity risk for periods over one year. This indicator ensures that a bank is financed</w:t>
      </w:r>
      <w:r>
        <w:rPr>
          <w:rFonts w:ascii="Arial" w:cs="Arial" w:eastAsia="Arial" w:hAnsi="Arial"/>
          <w:sz w:val="15"/>
          <w:szCs w:val="15"/>
          <w:b w:val="1"/>
          <w:bCs w:val="1"/>
          <w:color w:val="auto"/>
        </w:rPr>
        <w:t xml:space="preserve"> </w:t>
      </w:r>
      <w:r>
        <w:rPr>
          <w:rFonts w:ascii="Arial" w:cs="Arial" w:eastAsia="Arial" w:hAnsi="Arial"/>
          <w:sz w:val="15"/>
          <w:szCs w:val="15"/>
          <w:color w:val="auto"/>
        </w:rPr>
        <w:t>by stable funding.</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Additionally, we follow up on the liquidity gap, which provides a picture of the liquidity status within a specific gap.</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These indicators have structures that contemplate limits and autonomies for each of the subsidiaries, which are subsequently included in the companies’ contingency plans for liquidity. At the Credicorp level, there are limits for risk appetite incorporated in these indicators, which are monitored and communicated to the Risk Committees.</w:t>
      </w:r>
    </w:p>
    <w:p>
      <w:pPr>
        <w:spacing w:after="0" w:line="15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In 2022, after central banks moved to gradually suspend measures to stimulate liquidity, on-going assessments of the sufficiency of liquid assets were conducted to cover or mitigate contingencies that may stress the funding requirements of the Group’s companies.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 xml:space="preserve">Interest Rate Risk Management in the </w:t>
      </w:r>
      <w:r>
        <w:rPr>
          <w:rFonts w:ascii="Arial" w:cs="Arial" w:eastAsia="Arial" w:hAnsi="Arial"/>
          <w:sz w:val="15"/>
          <w:szCs w:val="15"/>
          <w:i w:val="1"/>
          <w:iCs w:val="1"/>
          <w:color w:val="auto"/>
        </w:rPr>
        <w:t>banking book</w:t>
      </w:r>
      <w:r>
        <w:rPr>
          <w:rFonts w:ascii="Arial" w:cs="Arial" w:eastAsia="Arial" w:hAnsi="Arial"/>
          <w:sz w:val="15"/>
          <w:szCs w:val="15"/>
          <w:color w:val="auto"/>
        </w:rPr>
        <w:t xml:space="preserve"> monitors variations in the interest rate that can negatively affect anticipated gains or the market value of assets and liabilities in the balance book. Credicorp follows up on all products that are sensitive to interest rate variations through the Repricing Gap, which is a sensitivity analysis that uses the PaR (Profit at Risk) calculation methodology and NEV (Net Economic Value).</w:t>
      </w:r>
    </w:p>
    <w:p>
      <w:pPr>
        <w:spacing w:after="0" w:line="14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Interest rate risk management is complemented with calculations of Economic Capital for ALM, which contemplates adverse and extreme behavior in the interest rate curves that place stress on the financing and asset structure of each of Credicorp’s subsidiaries.</w:t>
      </w:r>
    </w:p>
    <w:p>
      <w:pPr>
        <w:spacing w:after="0" w:line="14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This year, on-going follow-up was conducted of interest rate simulation models and behavioral models for products in the Banking Book to capture significant changes in the market over the period. Efforts we made to ensure that exposure to interest rate risk, economic value and financial margin was in line with the risk appetite and with the organization’s strategy in the current context.</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595959"/>
        </w:rPr>
        <w:t>ESG Risks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In 2022, and to make the current ESG Risk framework more robust and the financing and investment levels, the following milestones were hit: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Appetite axis</w:t>
      </w:r>
    </w:p>
    <w:p>
      <w:pPr>
        <w:spacing w:after="0" w:line="173" w:lineRule="exact"/>
        <w:rPr>
          <w:sz w:val="20"/>
          <w:szCs w:val="20"/>
          <w:color w:val="auto"/>
        </w:rPr>
      </w:pPr>
    </w:p>
    <w:p>
      <w:pPr>
        <w:ind w:left="540" w:hanging="271"/>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At the Corporate level, the Group updated and approved a list of excluded activities with an ESG focus.</w:t>
      </w:r>
    </w:p>
    <w:p>
      <w:pPr>
        <w:ind w:left="540" w:hanging="271"/>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For financing, an initial qualitative approximation was made to drive loans in sectors with high positive environmental impact.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Environmental taxonomy axis</w:t>
      </w:r>
    </w:p>
    <w:p>
      <w:pPr>
        <w:spacing w:after="0" w:line="173" w:lineRule="exact"/>
        <w:rPr>
          <w:sz w:val="20"/>
          <w:szCs w:val="20"/>
          <w:color w:val="auto"/>
        </w:rPr>
      </w:pPr>
    </w:p>
    <w:p>
      <w:pPr>
        <w:ind w:left="320"/>
        <w:spacing w:after="0" w:line="258" w:lineRule="auto"/>
        <w:tabs>
          <w:tab w:leader="none" w:pos="59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At the financing level, the Environmental Taxonomy was developed and approved. This instrument was developed with international standards to identify operations that can be considered sustainable.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Identification, Assessment and Treatment</w:t>
      </w:r>
    </w:p>
    <w:p>
      <w:pPr>
        <w:spacing w:after="0" w:line="173" w:lineRule="exact"/>
        <w:rPr>
          <w:sz w:val="20"/>
          <w:szCs w:val="20"/>
          <w:color w:val="auto"/>
        </w:rPr>
      </w:pPr>
    </w:p>
    <w:p>
      <w:pPr>
        <w:ind w:left="320"/>
        <w:spacing w:after="0"/>
        <w:tabs>
          <w:tab w:leader="none" w:pos="53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At the financing level, ESG sectorial questionnaires were complemented and developed to identify the level of exposure and manage our clients in the face of these risks.</w:t>
      </w:r>
    </w:p>
    <w:p>
      <w:pPr>
        <w:jc w:val="both"/>
        <w:ind w:left="320" w:right="20"/>
        <w:spacing w:after="0" w:line="249" w:lineRule="auto"/>
        <w:tabs>
          <w:tab w:leader="none" w:pos="541" w:val="left"/>
        </w:tabs>
        <w:numPr>
          <w:ilvl w:val="0"/>
          <w:numId w:val="37"/>
        </w:numPr>
        <w:rPr>
          <w:rFonts w:ascii="Arial" w:cs="Arial" w:eastAsia="Arial" w:hAnsi="Arial"/>
          <w:sz w:val="15"/>
          <w:szCs w:val="15"/>
          <w:color w:val="auto"/>
        </w:rPr>
      </w:pPr>
      <w:r>
        <w:rPr>
          <w:rFonts w:ascii="Arial" w:cs="Arial" w:eastAsia="Arial" w:hAnsi="Arial"/>
          <w:sz w:val="15"/>
          <w:szCs w:val="15"/>
          <w:color w:val="auto"/>
        </w:rPr>
        <w:t>At the investment level, questionnaires on materiality and scoring that include ESG factors in the analysis of issuers were complemented and developed. The Policy for Climate Change, Relations Policy and Policy for Responsible Investment were modified to include ESG aspects in the assessment of investment assets and subsequently published.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For complete details on advances in ESG Risk, review the “Chapter 2. Environmental Management – Our ESG Risk Management” in the Sustainability Report.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Calculation of IFRS 9 provisions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estimate of loan losses under IFRS 9 at Credicorp is the product of the following parameters: (i) probability of default (PD), (ii) loss given default (LGD) and (iii) exposure at the time of default (EAD), discounted at the reporting date using the effective interest rate or an approximation of the same. This also takes into consideration information on current conditions as well as projections of future macroeconomic events and conditions in three scenarios (base, optimistic and pessimistic), which are weighted to obtained expected loss.</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Models and Methodologies Area for Risk Management, Internal Audit and External audit lauch methodological and processes validations to guarantee the adequate calculation of provisions.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estimates were made of anticipated losses on the loan portfolios of all of our companies on a monthly basis. Additionally, we continued to take final steps to launch the strategic tool IFRS 9, which will come into effect in the first few months of 2023. This new platform for calculation allows us to quickly execute and simulate different methodological changes as we work to make our security front more robust and mitigate exposure to non-financial risks.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Additionally, work continues to calibrate internal models for credit risk:</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8" w:right="319" w:bottom="1440" w:gutter="0" w:footer="0" w:header="0"/>
        </w:sectPr>
      </w:pPr>
    </w:p>
    <w:bookmarkStart w:id="49" w:name="page50"/>
    <w:bookmarkEnd w:id="49"/>
    <w:p>
      <w:pPr>
        <w:ind w:left="320" w:right="20"/>
        <w:spacing w:after="0"/>
        <w:tabs>
          <w:tab w:leader="none" w:pos="694" w:val="left"/>
        </w:tabs>
        <w:numPr>
          <w:ilvl w:val="0"/>
          <w:numId w:val="38"/>
        </w:numPr>
        <w:rPr>
          <w:rFonts w:ascii="Arial" w:cs="Arial" w:eastAsia="Arial" w:hAnsi="Arial"/>
          <w:sz w:val="15"/>
          <w:szCs w:val="15"/>
          <w:color w:val="auto"/>
        </w:rPr>
      </w:pPr>
      <w:r>
        <w:rPr>
          <w:rFonts w:ascii="Arial" w:cs="Arial" w:eastAsia="Arial" w:hAnsi="Arial"/>
          <w:sz w:val="15"/>
          <w:szCs w:val="15"/>
          <w:color w:val="auto"/>
        </w:rPr>
        <w:t>PD Models: we continued to conduct follow-up on the performance of PD models and have implemented the calibrations needed to ensure adequate measurement of credit risk across portfolios.</w:t>
      </w:r>
    </w:p>
    <w:p>
      <w:pPr>
        <w:jc w:val="both"/>
        <w:ind w:left="320"/>
        <w:spacing w:after="0" w:line="249" w:lineRule="auto"/>
        <w:tabs>
          <w:tab w:leader="none" w:pos="631" w:val="left"/>
        </w:tabs>
        <w:numPr>
          <w:ilvl w:val="0"/>
          <w:numId w:val="38"/>
        </w:numPr>
        <w:rPr>
          <w:rFonts w:ascii="Arial" w:cs="Arial" w:eastAsia="Arial" w:hAnsi="Arial"/>
          <w:sz w:val="15"/>
          <w:szCs w:val="15"/>
          <w:color w:val="auto"/>
        </w:rPr>
      </w:pPr>
      <w:r>
        <w:rPr>
          <w:rFonts w:ascii="Arial" w:cs="Arial" w:eastAsia="Arial" w:hAnsi="Arial"/>
          <w:sz w:val="15"/>
          <w:szCs w:val="15"/>
          <w:color w:val="auto"/>
        </w:rPr>
        <w:t>LGD models: In 2020, an estimate was made of the pandemic’s impact on the LGD of refinanced loans in Retail Banking. In 2022, we calibrated this parameter with data that includes the behavior observed during the pandemic. Additionally, for retail NLP loans backed by mortgage guarantees, we calibrated the estimate of the recovery rate to reflect the coverage of the guarantee observed in the market.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Insurance Underwriting Risk</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main risk that Credicorp faces in terms of insurance contracts is that the real costs of claims and payments or the advent of the same differ from expectations. This risk is affected by claims frequency, the severity of claims, real compensation and the subsequent development of long-term claims. As such, the group’s objective is to guarantee that enough reserves are in place to cover these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to set aside Underwriting Reserves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Credicorp permanently monitors the sufficiency of its reserves by taking measures when necessary to anticipate potential adverse results. The corporation hires independent and highly prestigious advisory firms that provide actuarial services. These companies are responsible for certifying the existence of adequate underwriting reserves at the companies that are part of Credicorp’s insurance group.</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To protect the interests of our insured, and to comply with regulatory requirements, Credicorp monitors and measures the variables that may compromise the insurance group’s solvency and, as such, affect its capacity to honor its future obligations. As such, we quantify the impact that future strategic decisions may have on these indicators. The methodologies that are used to determine the reserve levels at the group’s insurance companies follow the guidelines set by current regulations.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In 2022, work focused on implementing operativity to adopt the new standard IFRS 17, which will come into effect in 2023.</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Model Risk Management</w:t>
      </w:r>
    </w:p>
    <w:p>
      <w:pPr>
        <w:spacing w:after="0" w:line="198" w:lineRule="exact"/>
        <w:rPr>
          <w:sz w:val="20"/>
          <w:szCs w:val="20"/>
          <w:color w:val="auto"/>
        </w:rPr>
      </w:pPr>
    </w:p>
    <w:p>
      <w:pPr>
        <w:ind w:right="560"/>
        <w:spacing w:after="0" w:line="258" w:lineRule="auto"/>
        <w:rPr>
          <w:sz w:val="20"/>
          <w:szCs w:val="20"/>
          <w:color w:val="auto"/>
        </w:rPr>
      </w:pPr>
      <w:r>
        <w:rPr>
          <w:rFonts w:ascii="Arial" w:cs="Arial" w:eastAsia="Arial" w:hAnsi="Arial"/>
          <w:sz w:val="15"/>
          <w:szCs w:val="15"/>
          <w:color w:val="auto"/>
        </w:rPr>
        <w:t>The mission of the Area of Risk Model Management (ARM) at BCP is to manage the Group’s portfolio of models to minimize potential losses due to defects in construction, maintenance or use of the same.</w:t>
      </w:r>
    </w:p>
    <w:p>
      <w:pPr>
        <w:spacing w:after="0" w:line="148"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In 2022, the level of alignment with the corporate rule for models of 75% to 85% rose, reflecting ongoing progress in improving control of risk models. In the ambit of model validation, standards were met throughout the models’ life cycle and a number of automations were developed to conduct some validations.</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595959"/>
        </w:rPr>
        <w:t>III. Non-financial Risks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Non-financial risk (NFR) is a broad term that is generally defined by exclusion, meaning that any risk that is different from traditional financial risks relate to the market, credit and liquidity. NFR can imply strategic, commercial and economic risk and/or risk of substantial reputational damage. NFR include the seven types of operating risks defined by the Basel Accords as well as other important risks such as technological, cybernetic, conduct, model, compliance, strategic and from third parties.</w:t>
      </w:r>
    </w:p>
    <w:p>
      <w:pPr>
        <w:spacing w:after="0" w:line="33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Non-financial Risk management has become challenging given the complexity added by rapid changes in technology; extensive automation of processes; more dependence on systems rather than people; and transformational processes such as business agility. These changes in the way that financial institutions do business have given way to new risk exposure, whether from attacks that affect the services of the Group’s companies, data theft or on-line fraud.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Operating Risk</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Operating risks encompass losses due to inadequate processes, employee or IT errors, relationships with third parties or external events. These risks can produce financial losses and generate repercussions at the legal and regulatory level but exclude strategic and reputation risks. In this context, operating risks are grouped into internal fraud; external fraud; labor relations and occupational safety; relations with our clients; business products and practices; damage to material assets; business and system interruption; and errors relative to execution, delivery and management of processes.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We focused on operating risk on four fronts by establishing corporate guidelines and sharing methodologies and best practices with all of the Group’s companies:</w:t>
      </w:r>
    </w:p>
    <w:p>
      <w:pPr>
        <w:spacing w:after="0" w:line="155" w:lineRule="exact"/>
        <w:rPr>
          <w:sz w:val="20"/>
          <w:szCs w:val="20"/>
          <w:color w:val="auto"/>
        </w:rPr>
      </w:pPr>
    </w:p>
    <w:p>
      <w:pPr>
        <w:ind w:left="480" w:hanging="280"/>
        <w:spacing w:after="0" w:line="283" w:lineRule="auto"/>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Operating risk management: </w:t>
      </w:r>
      <w:r>
        <w:rPr>
          <w:rFonts w:ascii="Arial" w:cs="Arial" w:eastAsia="Arial" w:hAnsi="Arial"/>
          <w:sz w:val="15"/>
          <w:szCs w:val="15"/>
          <w:color w:val="auto"/>
        </w:rPr>
        <w:t>one of pillars of development is to develop an efficient risk culture. To accomplish this, we have a map of risks and process</w:t>
      </w:r>
      <w:r>
        <w:rPr>
          <w:rFonts w:ascii="Arial" w:cs="Arial" w:eastAsia="Arial" w:hAnsi="Arial"/>
          <w:sz w:val="15"/>
          <w:szCs w:val="15"/>
          <w:b w:val="1"/>
          <w:bCs w:val="1"/>
          <w:color w:val="auto"/>
        </w:rPr>
        <w:t xml:space="preserve"> </w:t>
      </w:r>
      <w:r>
        <w:rPr>
          <w:rFonts w:ascii="Arial" w:cs="Arial" w:eastAsia="Arial" w:hAnsi="Arial"/>
          <w:sz w:val="15"/>
          <w:szCs w:val="15"/>
          <w:color w:val="auto"/>
        </w:rPr>
        <w:t>controls to monitor, prioritize and propose mitigating actions based on a previously established governance scheme.</w:t>
      </w:r>
    </w:p>
    <w:p>
      <w:pPr>
        <w:spacing w:after="0" w:line="112" w:lineRule="exact"/>
        <w:rPr>
          <w:rFonts w:ascii="Arial" w:cs="Arial" w:eastAsia="Arial" w:hAnsi="Arial"/>
          <w:sz w:val="15"/>
          <w:szCs w:val="15"/>
          <w:color w:val="auto"/>
        </w:rPr>
      </w:pPr>
    </w:p>
    <w:p>
      <w:pPr>
        <w:ind w:left="480" w:hanging="280"/>
        <w:spacing w:after="0" w:line="283" w:lineRule="auto"/>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Business continuity management: </w:t>
      </w:r>
      <w:r>
        <w:rPr>
          <w:rFonts w:ascii="Arial" w:cs="Arial" w:eastAsia="Arial" w:hAnsi="Arial"/>
          <w:sz w:val="15"/>
          <w:szCs w:val="15"/>
          <w:color w:val="auto"/>
        </w:rPr>
        <w:t>we have strategies to recover the resources that support the organization’s core products and services, which are based</w:t>
      </w:r>
      <w:r>
        <w:rPr>
          <w:rFonts w:ascii="Arial" w:cs="Arial" w:eastAsia="Arial" w:hAnsi="Arial"/>
          <w:sz w:val="15"/>
          <w:szCs w:val="15"/>
          <w:b w:val="1"/>
          <w:bCs w:val="1"/>
          <w:color w:val="auto"/>
        </w:rPr>
        <w:t xml:space="preserve"> </w:t>
      </w:r>
      <w:r>
        <w:rPr>
          <w:rFonts w:ascii="Arial" w:cs="Arial" w:eastAsia="Arial" w:hAnsi="Arial"/>
          <w:sz w:val="15"/>
          <w:szCs w:val="15"/>
          <w:color w:val="auto"/>
        </w:rPr>
        <w:t>on best practices and regulatory requirements. The effectiveness of these strategies in measured periodically.</w:t>
      </w:r>
    </w:p>
    <w:p>
      <w:pPr>
        <w:spacing w:after="0" w:line="112" w:lineRule="exact"/>
        <w:rPr>
          <w:rFonts w:ascii="Arial" w:cs="Arial" w:eastAsia="Arial" w:hAnsi="Arial"/>
          <w:sz w:val="15"/>
          <w:szCs w:val="15"/>
          <w:color w:val="auto"/>
        </w:rPr>
      </w:pPr>
    </w:p>
    <w:p>
      <w:pPr>
        <w:jc w:val="both"/>
        <w:ind w:left="460" w:hanging="260"/>
        <w:spacing w:after="0" w:line="261"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Information security management: </w:t>
      </w:r>
      <w:r>
        <w:rPr>
          <w:rFonts w:ascii="Arial" w:cs="Arial" w:eastAsia="Arial" w:hAnsi="Arial"/>
          <w:sz w:val="15"/>
          <w:szCs w:val="15"/>
          <w:color w:val="auto"/>
        </w:rPr>
        <w:t>conducted through a systemic process that is documented and known by the entire organization; based on best practices</w:t>
      </w:r>
      <w:r>
        <w:rPr>
          <w:rFonts w:ascii="Arial" w:cs="Arial" w:eastAsia="Arial" w:hAnsi="Arial"/>
          <w:sz w:val="15"/>
          <w:szCs w:val="15"/>
          <w:b w:val="1"/>
          <w:bCs w:val="1"/>
          <w:color w:val="auto"/>
        </w:rPr>
        <w:t xml:space="preserve"> </w:t>
      </w:r>
      <w:r>
        <w:rPr>
          <w:rFonts w:ascii="Arial" w:cs="Arial" w:eastAsia="Arial" w:hAnsi="Arial"/>
          <w:sz w:val="15"/>
          <w:szCs w:val="15"/>
          <w:color w:val="auto"/>
        </w:rPr>
        <w:t>and regulatory requirements. We design and develop corporate guidelines with strategies that contemplate the availability, privacy and integrity of the organization’s information assets.</w:t>
      </w:r>
    </w:p>
    <w:p>
      <w:pPr>
        <w:spacing w:after="0" w:line="128" w:lineRule="exact"/>
        <w:rPr>
          <w:rFonts w:ascii="Arial" w:cs="Arial" w:eastAsia="Arial" w:hAnsi="Arial"/>
          <w:sz w:val="15"/>
          <w:szCs w:val="15"/>
          <w:color w:val="auto"/>
        </w:rPr>
      </w:pPr>
    </w:p>
    <w:p>
      <w:pPr>
        <w:jc w:val="both"/>
        <w:ind w:left="460" w:hanging="260"/>
        <w:spacing w:after="0" w:line="251"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Risk transfer management: </w:t>
      </w:r>
      <w:r>
        <w:rPr>
          <w:rFonts w:ascii="Arial" w:cs="Arial" w:eastAsia="Arial" w:hAnsi="Arial"/>
          <w:sz w:val="15"/>
          <w:szCs w:val="15"/>
          <w:color w:val="auto"/>
        </w:rPr>
        <w:t>We rely on insurance policies to recover losses associated with operating risks that materialize. Our policies are both</w:t>
      </w:r>
      <w:r>
        <w:rPr>
          <w:rFonts w:ascii="Arial" w:cs="Arial" w:eastAsia="Arial" w:hAnsi="Arial"/>
          <w:sz w:val="15"/>
          <w:szCs w:val="15"/>
          <w:b w:val="1"/>
          <w:bCs w:val="1"/>
          <w:color w:val="auto"/>
        </w:rPr>
        <w:t xml:space="preserve"> </w:t>
      </w:r>
      <w:r>
        <w:rPr>
          <w:rFonts w:ascii="Arial" w:cs="Arial" w:eastAsia="Arial" w:hAnsi="Arial"/>
          <w:sz w:val="15"/>
          <w:szCs w:val="15"/>
          <w:color w:val="auto"/>
        </w:rPr>
        <w:t>international and national and contemplate individual or corporate coverage for losses relative to incidents of fraud, third-party and professional liability, cybernetic risks, damages to the bank’s physical assets, among others. Policies are designed to cover the main operating risks at each subsidiary and are reflect the organization’s appetite for risk. The objective over time is to identify efficiencies at number policy cost level by working with Pacífico Seguros y Reaseguros and the largest reinsurance brokers in the international market.</w:t>
      </w:r>
    </w:p>
    <w:p>
      <w:pPr>
        <w:spacing w:after="0" w:line="154" w:lineRule="exact"/>
        <w:rPr>
          <w:sz w:val="20"/>
          <w:szCs w:val="20"/>
          <w:color w:val="auto"/>
        </w:rPr>
      </w:pPr>
    </w:p>
    <w:p>
      <w:pPr>
        <w:ind w:right="140"/>
        <w:spacing w:after="0" w:line="246" w:lineRule="auto"/>
        <w:rPr>
          <w:sz w:val="20"/>
          <w:szCs w:val="20"/>
          <w:color w:val="auto"/>
        </w:rPr>
      </w:pPr>
      <w:r>
        <w:rPr>
          <w:rFonts w:ascii="Arial" w:cs="Arial" w:eastAsia="Arial" w:hAnsi="Arial"/>
          <w:sz w:val="15"/>
          <w:szCs w:val="15"/>
          <w:color w:val="auto"/>
        </w:rPr>
        <w:t>In 2022, as part of the bank’s Crisis Management, protocols for response and strategies were developed, reviewed, updated and launched to handle different scenarios that may become crises and negatively impact the organization. The scenarios for which we are prepared and for which protocols are in place to ensure a timely and efficacious response: Cybersecurity, service interruption in channels and services, earthquake, pandemic, intensive rain, the El Nino Phenomenon, mass fraud, social upheaval and alternative communication in crisis.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8" w:right="31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Fraud and Security Management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Corporate Security &amp; Cybercrime Operations Center is in charge of actions to detect and respond to incidents of fraud and physical security. These tasks are developed by teams that specialize in transactional monitoring, research, cybercrime, physical/electronic security, disaster risk management and activities for strategic intelligence. These capacities are destined to safeguard the security of employees, clients, suppliers and the assets of the organizations. Complementarily, the Center provides support to the Group’s subsidiaries through the CREDICORP Way 2.0 program.</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the first stage of the Lynx project was launched, which entails applying improvements to monitoring with artificial intelligence and real time in channels such as Mobile Banking, E-Commerce and Home Banking. As a result, operating losses for fraud in digital channels fell by 66%. An initiative to automate alert management in the E-commerce channel was also rolled out.</w:t>
      </w:r>
    </w:p>
    <w:p>
      <w:pPr>
        <w:spacing w:after="0" w:line="15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On the physical security front, we continued developing the first phase of the project to adopt cutting-edge video surveillance at our main offices and at 24% of the branches. Additionally, strategic intelligence teams were consolidated to respond to new scenarios of social conflict and risks related to the current juncture.</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Finally, on the research front, Digital Forensics LAB, concluded the Network Forensics project to facilitate automated control of risk scenarios involving internal fraud at the network level.</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595959"/>
        </w:rPr>
        <w:t>Cybersecurity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At Credicorp, we are aware that incidents of cybersecurity in the financial sector have grown exponentially in terms of frequency and damage to the reputation of organizations. Our clients’ trust is fundamental and as such, we prioritize strengthening our cybersecurity development and address this strategic front in all of our lines of business. The Group’s governance framework involves the entire organization, including employees, suppliers, Executive Management and the Board. The cybersecurity program is equipped with a plan of action to mitigate risks related to this front.</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educate our clients about cybernetic risks; constantly train our employees; increase the robustness of our processes; and consistently implement new technologies for phishing, malware, data leaks, distributed denial of service, among others.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Thanks to this cooperative effort, Credicorp experienced no successful cyberattack in 2022. Nevertheless, we remain alert to defend the Group form cyber threats by monitoring our network devices, applications and services and permanently evaluate the effectiveness of our controls. For more information about our Cybersecurity Management, see the chapter “3) Governance – Corporate Systems of Control and Management – Cybersecurity”</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595959"/>
        </w:rPr>
        <w:t>IV. Capital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Solvency Management</w:t>
      </w:r>
    </w:p>
    <w:p>
      <w:pPr>
        <w:spacing w:after="0" w:line="19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Credicorp actively manages the capital base to cover the risks that are inherent to its activities. The Group’s capital adequacy is monitored through, among other measures, the norms and ratios established by the regulator.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The objectives of capital management are:</w:t>
      </w:r>
    </w:p>
    <w:p>
      <w:pPr>
        <w:spacing w:after="0" w:line="173" w:lineRule="exact"/>
        <w:rPr>
          <w:sz w:val="20"/>
          <w:szCs w:val="20"/>
          <w:color w:val="auto"/>
        </w:rPr>
      </w:pPr>
    </w:p>
    <w:p>
      <w:pPr>
        <w:ind w:left="800" w:hanging="554"/>
        <w:spacing w:after="0"/>
        <w:tabs>
          <w:tab w:leader="none" w:pos="8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Fulfill the requirements established for the risk appetite and those set by the regulators of the sectors where the group’s businesses operate.</w:t>
      </w:r>
    </w:p>
    <w:p>
      <w:pPr>
        <w:ind w:left="800" w:hanging="554"/>
        <w:spacing w:after="0"/>
        <w:tabs>
          <w:tab w:leader="none" w:pos="8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Safeguard the capacity to continue operating to generate returns for shareholders.</w:t>
      </w:r>
    </w:p>
    <w:p>
      <w:pPr>
        <w:ind w:left="800" w:hanging="554"/>
        <w:spacing w:after="0"/>
        <w:tabs>
          <w:tab w:leader="none" w:pos="8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Maintain a solid capital base to support the development of its activities.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the end of December of 2022 and 2021, net equity at the companies dedicated to financial activities and insurance totaled approximately S/31,754.6 million and S/29,741.6 million respectively. Under local accounting, the Group’s effective equity exceed the minimum equity required by approximately S/8,157.0 million at the as of December 31, 2022 (approximately S/10,294.3 million as of December 31, 2021).</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banking subsidiaries in Peru conduct regulatory stress tests on an annual basis. These stress tests are a set of procedures and routines that seek to simulate extreme scenarios that affect the institution to identify and assess vulnerabilities relative to the company’s solvency, income level and management in adverse macroeconomic and market scenarios.</w:t>
      </w:r>
    </w:p>
    <w:p>
      <w:pPr>
        <w:spacing w:after="0" w:line="155"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 stress test includes potential crisis scenarios and identifies the areas that are most susceptible to the impact of stress and subsequently subject to risk mitigation actions. This procedure is aligned with the regulatory requirement (SBS N° 3780-2011), which must receive a report that assesses the financial solidness of the institution in both base and stress scenarios.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stress process is multi-disciplinary and involves participants from areas throughout the organization, including Finance, Treasury, Economic Studies and Risks. First, the macroeconomic forecasts provided by the regulator are analyzed. Next, the impacts on the balance and results are estimated for a horizon of no less than three years. Subsequently, the Risk Management Committee and Board are informed of the results for their approval.</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results of this exercise are part of the Internal Capital Adequacy Assessment Process (ICAAP), whose main purpose is to assess if the institution will maintain adequate levels of capital in the event of a situation of stress.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Stress Tests play a fundamental role in measuring and analyzing the capacity of response in terms of solvency and provide feedback for decision making; assessment of business strategies; and evaluations of the framework to manage the appetite for risk.</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8" w:right="31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color w:val="auto"/>
        </w:rPr>
        <w:t>Economic Capital</w:t>
      </w:r>
    </w:p>
    <w:p>
      <w:pPr>
        <w:spacing w:after="0" w:line="19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Economic capital represents the level of backing that a financial entity needs to protect itself from economic insolvency, which can be generated by unexpected shocks that adversely affect the value of assets and liabilities. Since 2011, Credicorp has used an economic capital model to preserve its target solvency levels in a sustained manner to maintain the organization’s international risk rating above scales equivalent to BBB+ and ensure the adequate risk-adjusted profitability.</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Economic capital models work to complement the regulatory capital requirements and align with the industry’s best practices. As such, the main risks that each of the Group’s subsidiaries faces (credit risk, ALM risk, market risk, underwriting risk, business risk and operating risk) are consolidated in a single metric, incorporating the benefits of the diversification of distinct risk factors.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54" w:name="page55"/>
    <w:bookmarkEnd w:id="54"/>
    <w:p>
      <w:pPr>
        <w:spacing w:after="0"/>
        <w:rPr>
          <w:sz w:val="20"/>
          <w:szCs w:val="20"/>
          <w:color w:val="auto"/>
        </w:rPr>
      </w:pPr>
      <w:r>
        <w:rPr>
          <w:rFonts w:ascii="Arial" w:cs="Arial" w:eastAsia="Arial" w:hAnsi="Arial"/>
          <w:sz w:val="37"/>
          <w:szCs w:val="37"/>
          <w:b w:val="1"/>
          <w:bCs w:val="1"/>
          <w:color w:val="auto"/>
        </w:rPr>
        <w:t>Chapter 6</w:t>
      </w:r>
    </w:p>
    <w:p>
      <w:pPr>
        <w:spacing w:after="0" w:line="18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5264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2-4</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600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000" w:type="dxa"/>
            <w:vAlign w:val="bottom"/>
          </w:tcPr>
          <w:p>
            <w:pPr>
              <w:spacing w:after="0"/>
              <w:rPr>
                <w:sz w:val="20"/>
                <w:szCs w:val="20"/>
                <w:color w:val="auto"/>
              </w:rPr>
            </w:pPr>
            <w:r>
              <w:rPr>
                <w:rFonts w:ascii="Arial" w:cs="Arial" w:eastAsia="Arial" w:hAnsi="Arial"/>
                <w:sz w:val="15"/>
                <w:szCs w:val="15"/>
                <w:color w:val="auto"/>
              </w:rPr>
              <w:t>CONSOLIDATED STATEMENT OF FINANCIAL POSITION</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00" w:type="dxa"/>
            <w:vAlign w:val="bottom"/>
          </w:tcPr>
          <w:p>
            <w:pPr>
              <w:spacing w:after="0"/>
              <w:rPr>
                <w:sz w:val="20"/>
                <w:szCs w:val="20"/>
                <w:color w:val="auto"/>
              </w:rPr>
            </w:pPr>
            <w:r>
              <w:rPr>
                <w:rFonts w:ascii="Arial" w:cs="Arial" w:eastAsia="Arial" w:hAnsi="Arial"/>
                <w:sz w:val="15"/>
                <w:szCs w:val="15"/>
                <w:color w:val="auto"/>
              </w:rPr>
              <w:t>AS OF DECEMBER 31, 2022 AND 2021</w:t>
            </w: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6000" w:type="dxa"/>
            <w:vAlign w:val="bottom"/>
          </w:tcPr>
          <w:p>
            <w:pPr>
              <w:spacing w:after="0"/>
              <w:rPr>
                <w:sz w:val="24"/>
                <w:szCs w:val="24"/>
                <w:color w:val="auto"/>
              </w:rPr>
            </w:pPr>
          </w:p>
        </w:tc>
        <w:tc>
          <w:tcPr>
            <w:tcW w:w="2160" w:type="dxa"/>
            <w:vAlign w:val="bottom"/>
          </w:tcPr>
          <w:p>
            <w:pPr>
              <w:jc w:val="center"/>
              <w:ind w:left="623"/>
              <w:spacing w:after="0"/>
              <w:rPr>
                <w:sz w:val="20"/>
                <w:szCs w:val="20"/>
                <w:color w:val="auto"/>
              </w:rPr>
            </w:pPr>
            <w:r>
              <w:rPr>
                <w:rFonts w:ascii="Arial" w:cs="Arial" w:eastAsia="Arial" w:hAnsi="Arial"/>
                <w:sz w:val="15"/>
                <w:szCs w:val="15"/>
                <w:b w:val="1"/>
                <w:bCs w:val="1"/>
                <w:color w:val="auto"/>
              </w:rPr>
              <w:t>Note</w:t>
            </w:r>
          </w:p>
        </w:tc>
        <w:tc>
          <w:tcPr>
            <w:tcW w:w="1640" w:type="dxa"/>
            <w:vAlign w:val="bottom"/>
            <w:gridSpan w:val="2"/>
          </w:tcPr>
          <w:p>
            <w:pPr>
              <w:ind w:left="300"/>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0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00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6000" w:type="dxa"/>
            <w:vAlign w:val="bottom"/>
          </w:tcPr>
          <w:p>
            <w:pPr>
              <w:spacing w:after="0"/>
              <w:rPr>
                <w:sz w:val="20"/>
                <w:szCs w:val="20"/>
                <w:color w:val="auto"/>
              </w:rPr>
            </w:pPr>
            <w:r>
              <w:rPr>
                <w:rFonts w:ascii="Arial" w:cs="Arial" w:eastAsia="Arial" w:hAnsi="Arial"/>
                <w:sz w:val="15"/>
                <w:szCs w:val="15"/>
                <w:color w:val="auto"/>
              </w:rPr>
              <w:t>Cash and due from banks:</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40"/>
              <w:spacing w:after="0"/>
              <w:rPr>
                <w:sz w:val="20"/>
                <w:szCs w:val="20"/>
                <w:color w:val="auto"/>
              </w:rPr>
            </w:pPr>
            <w:r>
              <w:rPr>
                <w:rFonts w:ascii="Arial" w:cs="Arial" w:eastAsia="Arial" w:hAnsi="Arial"/>
                <w:sz w:val="15"/>
                <w:szCs w:val="15"/>
                <w:color w:val="auto"/>
              </w:rPr>
              <w:t>Non-interest-bearing</w:t>
            </w:r>
          </w:p>
        </w:tc>
        <w:tc>
          <w:tcPr>
            <w:tcW w:w="2160" w:type="dxa"/>
            <w:vAlign w:val="bottom"/>
          </w:tcPr>
          <w:p>
            <w:pPr>
              <w:spacing w:after="0"/>
              <w:rPr>
                <w:sz w:val="15"/>
                <w:szCs w:val="15"/>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7,286,624</w:t>
            </w:r>
          </w:p>
        </w:tc>
        <w:tc>
          <w:tcPr>
            <w:tcW w:w="1360" w:type="dxa"/>
            <w:vAlign w:val="bottom"/>
          </w:tcPr>
          <w:p>
            <w:pPr>
              <w:jc w:val="right"/>
              <w:spacing w:after="0"/>
              <w:rPr>
                <w:sz w:val="20"/>
                <w:szCs w:val="20"/>
                <w:color w:val="auto"/>
              </w:rPr>
            </w:pPr>
            <w:r>
              <w:rPr>
                <w:rFonts w:ascii="Arial" w:cs="Arial" w:eastAsia="Arial" w:hAnsi="Arial"/>
                <w:sz w:val="15"/>
                <w:szCs w:val="15"/>
                <w:color w:val="auto"/>
              </w:rPr>
              <w:t>6,925,332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0" w:type="dxa"/>
            <w:vAlign w:val="bottom"/>
          </w:tcPr>
          <w:p>
            <w:pPr>
              <w:ind w:left="140"/>
              <w:spacing w:after="0"/>
              <w:rPr>
                <w:sz w:val="20"/>
                <w:szCs w:val="20"/>
                <w:color w:val="auto"/>
              </w:rPr>
            </w:pPr>
            <w:r>
              <w:rPr>
                <w:rFonts w:ascii="Arial" w:cs="Arial" w:eastAsia="Arial" w:hAnsi="Arial"/>
                <w:sz w:val="15"/>
                <w:szCs w:val="15"/>
                <w:color w:val="auto"/>
              </w:rPr>
              <w:t>Interest-bearing</w:t>
            </w:r>
          </w:p>
        </w:tc>
        <w:tc>
          <w:tcPr>
            <w:tcW w:w="2160" w:type="dxa"/>
            <w:vAlign w:val="bottom"/>
            <w:vMerge w:val="restart"/>
          </w:tcPr>
          <w:p>
            <w:pPr>
              <w:jc w:val="center"/>
              <w:ind w:left="643"/>
              <w:spacing w:after="0"/>
              <w:rPr>
                <w:sz w:val="20"/>
                <w:szCs w:val="20"/>
                <w:color w:val="auto"/>
              </w:rPr>
            </w:pPr>
            <w:r>
              <w:rPr>
                <w:rFonts w:ascii="Arial" w:cs="Arial" w:eastAsia="Arial" w:hAnsi="Arial"/>
                <w:sz w:val="15"/>
                <w:szCs w:val="15"/>
                <w:color w:val="auto"/>
                <w:w w:val="95"/>
              </w:rPr>
              <w:t>4</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26,897,216</w:t>
            </w:r>
          </w:p>
        </w:tc>
        <w:tc>
          <w:tcPr>
            <w:tcW w:w="1360" w:type="dxa"/>
            <w:vAlign w:val="bottom"/>
          </w:tcPr>
          <w:p>
            <w:pPr>
              <w:jc w:val="right"/>
              <w:spacing w:after="0"/>
              <w:rPr>
                <w:sz w:val="20"/>
                <w:szCs w:val="20"/>
                <w:color w:val="auto"/>
              </w:rPr>
            </w:pPr>
            <w:r>
              <w:rPr>
                <w:rFonts w:ascii="Arial" w:cs="Arial" w:eastAsia="Arial" w:hAnsi="Arial"/>
                <w:sz w:val="15"/>
                <w:szCs w:val="15"/>
                <w:color w:val="auto"/>
              </w:rPr>
              <w:t>32,395,408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0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34,183,840</w:t>
            </w:r>
          </w:p>
        </w:tc>
        <w:tc>
          <w:tcPr>
            <w:tcW w:w="100" w:type="dxa"/>
            <w:vAlign w:val="bottom"/>
          </w:tcPr>
          <w:p>
            <w:pPr>
              <w:spacing w:after="0"/>
              <w:rPr>
                <w:sz w:val="14"/>
                <w:szCs w:val="14"/>
                <w:color w:val="auto"/>
              </w:rPr>
            </w:pPr>
          </w:p>
        </w:tc>
        <w:tc>
          <w:tcPr>
            <w:tcW w:w="13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39,320,740</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00" w:type="dxa"/>
            <w:vAlign w:val="bottom"/>
          </w:tcPr>
          <w:p>
            <w:pPr>
              <w:spacing w:after="0"/>
              <w:rPr>
                <w:sz w:val="20"/>
                <w:szCs w:val="20"/>
                <w:color w:val="auto"/>
              </w:rPr>
            </w:pPr>
            <w:r>
              <w:rPr>
                <w:rFonts w:ascii="Arial" w:cs="Arial" w:eastAsia="Arial" w:hAnsi="Arial"/>
                <w:sz w:val="15"/>
                <w:szCs w:val="15"/>
                <w:color w:val="auto"/>
              </w:rPr>
              <w:t>Cash collateral, reverse repurchase agreements and securities borrowing</w:t>
            </w:r>
          </w:p>
        </w:tc>
        <w:tc>
          <w:tcPr>
            <w:tcW w:w="2160" w:type="dxa"/>
            <w:vAlign w:val="bottom"/>
          </w:tcPr>
          <w:p>
            <w:pPr>
              <w:jc w:val="center"/>
              <w:ind w:left="643"/>
              <w:spacing w:after="0"/>
              <w:rPr>
                <w:sz w:val="20"/>
                <w:szCs w:val="20"/>
                <w:color w:val="auto"/>
              </w:rPr>
            </w:pPr>
            <w:r>
              <w:rPr>
                <w:rFonts w:ascii="Arial" w:cs="Arial" w:eastAsia="Arial" w:hAnsi="Arial"/>
                <w:sz w:val="15"/>
                <w:szCs w:val="15"/>
                <w:color w:val="auto"/>
              </w:rPr>
              <w:t>5(a)</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1,101,856</w:t>
            </w:r>
          </w:p>
        </w:tc>
        <w:tc>
          <w:tcPr>
            <w:tcW w:w="1360" w:type="dxa"/>
            <w:vAlign w:val="bottom"/>
          </w:tcPr>
          <w:p>
            <w:pPr>
              <w:jc w:val="right"/>
              <w:spacing w:after="0"/>
              <w:rPr>
                <w:sz w:val="20"/>
                <w:szCs w:val="20"/>
                <w:color w:val="auto"/>
              </w:rPr>
            </w:pPr>
            <w:r>
              <w:rPr>
                <w:rFonts w:ascii="Arial" w:cs="Arial" w:eastAsia="Arial" w:hAnsi="Arial"/>
                <w:sz w:val="15"/>
                <w:szCs w:val="15"/>
                <w:color w:val="auto"/>
              </w:rPr>
              <w:t>1,766,948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6000" w:type="dxa"/>
            <w:vAlign w:val="bottom"/>
          </w:tcPr>
          <w:p>
            <w:pPr>
              <w:spacing w:after="0"/>
              <w:rPr>
                <w:sz w:val="20"/>
                <w:szCs w:val="20"/>
                <w:color w:val="auto"/>
              </w:rPr>
            </w:pPr>
            <w:r>
              <w:rPr>
                <w:rFonts w:ascii="Arial" w:cs="Arial" w:eastAsia="Arial" w:hAnsi="Arial"/>
                <w:sz w:val="15"/>
                <w:szCs w:val="15"/>
                <w:color w:val="auto"/>
              </w:rPr>
              <w:t>Investments:</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00" w:type="dxa"/>
            <w:vAlign w:val="bottom"/>
          </w:tcPr>
          <w:p>
            <w:pPr>
              <w:ind w:left="140"/>
              <w:spacing w:after="0"/>
              <w:rPr>
                <w:sz w:val="20"/>
                <w:szCs w:val="20"/>
                <w:color w:val="auto"/>
              </w:rPr>
            </w:pPr>
            <w:r>
              <w:rPr>
                <w:rFonts w:ascii="Arial" w:cs="Arial" w:eastAsia="Arial" w:hAnsi="Arial"/>
                <w:sz w:val="15"/>
                <w:szCs w:val="15"/>
                <w:color w:val="auto"/>
              </w:rPr>
              <w:t>At fair value through profit or loss</w:t>
            </w:r>
          </w:p>
        </w:tc>
        <w:tc>
          <w:tcPr>
            <w:tcW w:w="2160" w:type="dxa"/>
            <w:vAlign w:val="bottom"/>
          </w:tcPr>
          <w:p>
            <w:pPr>
              <w:jc w:val="center"/>
              <w:ind w:left="643"/>
              <w:spacing w:after="0"/>
              <w:rPr>
                <w:sz w:val="20"/>
                <w:szCs w:val="20"/>
                <w:color w:val="auto"/>
              </w:rPr>
            </w:pPr>
            <w:r>
              <w:rPr>
                <w:rFonts w:ascii="Arial" w:cs="Arial" w:eastAsia="Arial" w:hAnsi="Arial"/>
                <w:sz w:val="15"/>
                <w:szCs w:val="15"/>
                <w:color w:val="auto"/>
              </w:rPr>
              <w:t>6(a)</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4,199,334</w:t>
            </w:r>
          </w:p>
        </w:tc>
        <w:tc>
          <w:tcPr>
            <w:tcW w:w="1360" w:type="dxa"/>
            <w:vAlign w:val="bottom"/>
          </w:tcPr>
          <w:p>
            <w:pPr>
              <w:jc w:val="right"/>
              <w:spacing w:after="0"/>
              <w:rPr>
                <w:sz w:val="20"/>
                <w:szCs w:val="20"/>
                <w:color w:val="auto"/>
              </w:rPr>
            </w:pPr>
            <w:r>
              <w:rPr>
                <w:rFonts w:ascii="Arial" w:cs="Arial" w:eastAsia="Arial" w:hAnsi="Arial"/>
                <w:sz w:val="15"/>
                <w:szCs w:val="15"/>
                <w:color w:val="auto"/>
              </w:rPr>
              <w:t>5,928,538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6000" w:type="dxa"/>
            <w:vAlign w:val="bottom"/>
          </w:tcPr>
          <w:p>
            <w:pPr>
              <w:ind w:left="140"/>
              <w:spacing w:after="0"/>
              <w:rPr>
                <w:sz w:val="20"/>
                <w:szCs w:val="20"/>
                <w:color w:val="auto"/>
              </w:rPr>
            </w:pPr>
            <w:r>
              <w:rPr>
                <w:rFonts w:ascii="Arial" w:cs="Arial" w:eastAsia="Arial" w:hAnsi="Arial"/>
                <w:sz w:val="15"/>
                <w:szCs w:val="15"/>
                <w:color w:val="auto"/>
              </w:rPr>
              <w:t>At fair value through other comprehensive income</w:t>
            </w:r>
          </w:p>
        </w:tc>
        <w:tc>
          <w:tcPr>
            <w:tcW w:w="2160" w:type="dxa"/>
            <w:vAlign w:val="bottom"/>
          </w:tcPr>
          <w:p>
            <w:pPr>
              <w:spacing w:after="0"/>
              <w:rPr>
                <w:sz w:val="24"/>
                <w:szCs w:val="24"/>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29,678,061</w:t>
            </w:r>
          </w:p>
        </w:tc>
        <w:tc>
          <w:tcPr>
            <w:tcW w:w="1360" w:type="dxa"/>
            <w:vAlign w:val="bottom"/>
          </w:tcPr>
          <w:p>
            <w:pPr>
              <w:jc w:val="right"/>
              <w:spacing w:after="0"/>
              <w:rPr>
                <w:sz w:val="20"/>
                <w:szCs w:val="20"/>
                <w:color w:val="auto"/>
              </w:rPr>
            </w:pPr>
            <w:r>
              <w:rPr>
                <w:rFonts w:ascii="Arial" w:cs="Arial" w:eastAsia="Arial" w:hAnsi="Arial"/>
                <w:sz w:val="15"/>
                <w:szCs w:val="15"/>
                <w:color w:val="auto"/>
              </w:rPr>
              <w:t>34,440,091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00" w:type="dxa"/>
            <w:vAlign w:val="bottom"/>
          </w:tcPr>
          <w:p>
            <w:pPr>
              <w:ind w:left="140"/>
              <w:spacing w:after="0"/>
              <w:rPr>
                <w:sz w:val="20"/>
                <w:szCs w:val="20"/>
                <w:color w:val="auto"/>
              </w:rPr>
            </w:pPr>
            <w:r>
              <w:rPr>
                <w:rFonts w:ascii="Arial" w:cs="Arial" w:eastAsia="Arial" w:hAnsi="Arial"/>
                <w:sz w:val="15"/>
                <w:szCs w:val="15"/>
                <w:color w:val="auto"/>
              </w:rPr>
              <w:t>At fair value through other comprehensive income pledged as collateral</w:t>
            </w:r>
          </w:p>
        </w:tc>
        <w:tc>
          <w:tcPr>
            <w:tcW w:w="2160" w:type="dxa"/>
            <w:vAlign w:val="bottom"/>
            <w:vMerge w:val="restart"/>
          </w:tcPr>
          <w:p>
            <w:pPr>
              <w:jc w:val="center"/>
              <w:ind w:left="643"/>
              <w:spacing w:after="0"/>
              <w:rPr>
                <w:sz w:val="20"/>
                <w:szCs w:val="20"/>
                <w:color w:val="auto"/>
              </w:rPr>
            </w:pPr>
            <w:r>
              <w:rPr>
                <w:rFonts w:ascii="Arial" w:cs="Arial" w:eastAsia="Arial" w:hAnsi="Arial"/>
                <w:sz w:val="15"/>
                <w:szCs w:val="15"/>
                <w:color w:val="auto"/>
              </w:rPr>
              <w:t>6(b)</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1,108,100</w:t>
            </w:r>
          </w:p>
        </w:tc>
        <w:tc>
          <w:tcPr>
            <w:tcW w:w="1360" w:type="dxa"/>
            <w:vAlign w:val="bottom"/>
          </w:tcPr>
          <w:p>
            <w:pPr>
              <w:jc w:val="right"/>
              <w:spacing w:after="0"/>
              <w:rPr>
                <w:sz w:val="20"/>
                <w:szCs w:val="20"/>
                <w:color w:val="auto"/>
              </w:rPr>
            </w:pPr>
            <w:r>
              <w:rPr>
                <w:rFonts w:ascii="Arial" w:cs="Arial" w:eastAsia="Arial" w:hAnsi="Arial"/>
                <w:sz w:val="15"/>
                <w:szCs w:val="15"/>
                <w:color w:val="auto"/>
              </w:rPr>
              <w:t>318,352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00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30,786,161</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34,758,443</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6000" w:type="dxa"/>
            <w:vAlign w:val="bottom"/>
          </w:tcPr>
          <w:p>
            <w:pPr>
              <w:ind w:left="140"/>
              <w:spacing w:after="0"/>
              <w:rPr>
                <w:sz w:val="20"/>
                <w:szCs w:val="20"/>
                <w:color w:val="auto"/>
              </w:rPr>
            </w:pPr>
            <w:r>
              <w:rPr>
                <w:rFonts w:ascii="Arial" w:cs="Arial" w:eastAsia="Arial" w:hAnsi="Arial"/>
                <w:sz w:val="15"/>
                <w:szCs w:val="15"/>
                <w:color w:val="auto"/>
              </w:rPr>
              <w:t>Amortized cost</w:t>
            </w:r>
          </w:p>
        </w:tc>
        <w:tc>
          <w:tcPr>
            <w:tcW w:w="2160" w:type="dxa"/>
            <w:vAlign w:val="bottom"/>
          </w:tcPr>
          <w:p>
            <w:pPr>
              <w:spacing w:after="0"/>
              <w:rPr>
                <w:sz w:val="24"/>
                <w:szCs w:val="24"/>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6,905,201</w:t>
            </w:r>
          </w:p>
        </w:tc>
        <w:tc>
          <w:tcPr>
            <w:tcW w:w="1360" w:type="dxa"/>
            <w:vAlign w:val="bottom"/>
          </w:tcPr>
          <w:p>
            <w:pPr>
              <w:jc w:val="right"/>
              <w:spacing w:after="0"/>
              <w:rPr>
                <w:sz w:val="20"/>
                <w:szCs w:val="20"/>
                <w:color w:val="auto"/>
              </w:rPr>
            </w:pPr>
            <w:r>
              <w:rPr>
                <w:rFonts w:ascii="Arial" w:cs="Arial" w:eastAsia="Arial" w:hAnsi="Arial"/>
                <w:sz w:val="15"/>
                <w:szCs w:val="15"/>
                <w:color w:val="auto"/>
              </w:rPr>
              <w:t>4,411,592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00" w:type="dxa"/>
            <w:vAlign w:val="bottom"/>
          </w:tcPr>
          <w:p>
            <w:pPr>
              <w:ind w:left="140"/>
              <w:spacing w:after="0"/>
              <w:rPr>
                <w:sz w:val="20"/>
                <w:szCs w:val="20"/>
                <w:color w:val="auto"/>
              </w:rPr>
            </w:pPr>
            <w:r>
              <w:rPr>
                <w:rFonts w:ascii="Arial" w:cs="Arial" w:eastAsia="Arial" w:hAnsi="Arial"/>
                <w:sz w:val="15"/>
                <w:szCs w:val="15"/>
                <w:color w:val="auto"/>
              </w:rPr>
              <w:t>Amortized cost pledged as collateral</w:t>
            </w:r>
          </w:p>
        </w:tc>
        <w:tc>
          <w:tcPr>
            <w:tcW w:w="2160" w:type="dxa"/>
            <w:vAlign w:val="bottom"/>
            <w:vMerge w:val="restart"/>
          </w:tcPr>
          <w:p>
            <w:pPr>
              <w:jc w:val="center"/>
              <w:ind w:left="623"/>
              <w:spacing w:after="0"/>
              <w:rPr>
                <w:sz w:val="20"/>
                <w:szCs w:val="20"/>
                <w:color w:val="auto"/>
              </w:rPr>
            </w:pPr>
            <w:r>
              <w:rPr>
                <w:rFonts w:ascii="Arial" w:cs="Arial" w:eastAsia="Arial" w:hAnsi="Arial"/>
                <w:sz w:val="15"/>
                <w:szCs w:val="15"/>
                <w:color w:val="auto"/>
              </w:rPr>
              <w:t>6(c)</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3,540,528</w:t>
            </w:r>
          </w:p>
        </w:tc>
        <w:tc>
          <w:tcPr>
            <w:tcW w:w="1360" w:type="dxa"/>
            <w:vAlign w:val="bottom"/>
          </w:tcPr>
          <w:p>
            <w:pPr>
              <w:jc w:val="right"/>
              <w:spacing w:after="0"/>
              <w:rPr>
                <w:sz w:val="20"/>
                <w:szCs w:val="20"/>
                <w:color w:val="auto"/>
              </w:rPr>
            </w:pPr>
            <w:r>
              <w:rPr>
                <w:rFonts w:ascii="Arial" w:cs="Arial" w:eastAsia="Arial" w:hAnsi="Arial"/>
                <w:sz w:val="15"/>
                <w:szCs w:val="15"/>
                <w:color w:val="auto"/>
              </w:rPr>
              <w:t>3,853,967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00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10,445,729</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8,265,559</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6000" w:type="dxa"/>
            <w:vAlign w:val="bottom"/>
          </w:tcPr>
          <w:p>
            <w:pPr>
              <w:spacing w:after="0"/>
              <w:rPr>
                <w:sz w:val="20"/>
                <w:szCs w:val="20"/>
                <w:color w:val="auto"/>
              </w:rPr>
            </w:pPr>
            <w:r>
              <w:rPr>
                <w:rFonts w:ascii="Arial" w:cs="Arial" w:eastAsia="Arial" w:hAnsi="Arial"/>
                <w:sz w:val="15"/>
                <w:szCs w:val="15"/>
                <w:color w:val="auto"/>
              </w:rPr>
              <w:t>Loans, net:</w:t>
            </w:r>
          </w:p>
        </w:tc>
        <w:tc>
          <w:tcPr>
            <w:tcW w:w="2160" w:type="dxa"/>
            <w:vAlign w:val="bottom"/>
          </w:tcPr>
          <w:p>
            <w:pPr>
              <w:jc w:val="center"/>
              <w:ind w:left="643"/>
              <w:spacing w:after="0"/>
              <w:rPr>
                <w:sz w:val="20"/>
                <w:szCs w:val="20"/>
                <w:color w:val="auto"/>
              </w:rPr>
            </w:pPr>
            <w:r>
              <w:rPr>
                <w:rFonts w:ascii="Arial" w:cs="Arial" w:eastAsia="Arial" w:hAnsi="Arial"/>
                <w:sz w:val="15"/>
                <w:szCs w:val="15"/>
                <w:color w:val="auto"/>
                <w:w w:val="95"/>
              </w:rPr>
              <w:t>7</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40"/>
              <w:spacing w:after="0"/>
              <w:rPr>
                <w:sz w:val="20"/>
                <w:szCs w:val="20"/>
                <w:color w:val="auto"/>
              </w:rPr>
            </w:pPr>
            <w:r>
              <w:rPr>
                <w:rFonts w:ascii="Arial" w:cs="Arial" w:eastAsia="Arial" w:hAnsi="Arial"/>
                <w:sz w:val="15"/>
                <w:szCs w:val="15"/>
                <w:color w:val="auto"/>
              </w:rPr>
              <w:t>Loans, net of unearned income</w:t>
            </w:r>
          </w:p>
        </w:tc>
        <w:tc>
          <w:tcPr>
            <w:tcW w:w="2160" w:type="dxa"/>
            <w:vAlign w:val="bottom"/>
          </w:tcPr>
          <w:p>
            <w:pPr>
              <w:spacing w:after="0"/>
              <w:rPr>
                <w:sz w:val="15"/>
                <w:szCs w:val="15"/>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148,626,374</w:t>
            </w:r>
          </w:p>
        </w:tc>
        <w:tc>
          <w:tcPr>
            <w:tcW w:w="1360" w:type="dxa"/>
            <w:vAlign w:val="bottom"/>
          </w:tcPr>
          <w:p>
            <w:pPr>
              <w:jc w:val="right"/>
              <w:spacing w:after="0"/>
              <w:rPr>
                <w:sz w:val="20"/>
                <w:szCs w:val="20"/>
                <w:color w:val="auto"/>
              </w:rPr>
            </w:pPr>
            <w:r>
              <w:rPr>
                <w:rFonts w:ascii="Arial" w:cs="Arial" w:eastAsia="Arial" w:hAnsi="Arial"/>
                <w:sz w:val="15"/>
                <w:szCs w:val="15"/>
                <w:color w:val="auto"/>
              </w:rPr>
              <w:t>147,597,412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0" w:type="dxa"/>
            <w:vAlign w:val="bottom"/>
          </w:tcPr>
          <w:p>
            <w:pPr>
              <w:ind w:left="140"/>
              <w:spacing w:after="0"/>
              <w:rPr>
                <w:sz w:val="20"/>
                <w:szCs w:val="20"/>
                <w:color w:val="auto"/>
              </w:rPr>
            </w:pPr>
            <w:r>
              <w:rPr>
                <w:rFonts w:ascii="Arial" w:cs="Arial" w:eastAsia="Arial" w:hAnsi="Arial"/>
                <w:sz w:val="15"/>
                <w:szCs w:val="15"/>
                <w:color w:val="auto"/>
              </w:rPr>
              <w:t>Provision for credit losses</w:t>
            </w:r>
          </w:p>
        </w:tc>
        <w:tc>
          <w:tcPr>
            <w:tcW w:w="2160" w:type="dxa"/>
            <w:vAlign w:val="bottom"/>
          </w:tcPr>
          <w:p>
            <w:pPr>
              <w:spacing w:after="0"/>
              <w:rPr>
                <w:sz w:val="16"/>
                <w:szCs w:val="16"/>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(7,872,402)</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(8,477,308)</w:t>
            </w:r>
          </w:p>
        </w:tc>
        <w:tc>
          <w:tcPr>
            <w:tcW w:w="0" w:type="dxa"/>
            <w:vAlign w:val="bottom"/>
          </w:tcPr>
          <w:p>
            <w:pPr>
              <w:spacing w:after="0"/>
              <w:rPr>
                <w:sz w:val="1"/>
                <w:szCs w:val="1"/>
                <w:color w:val="auto"/>
              </w:rPr>
            </w:pPr>
          </w:p>
        </w:tc>
      </w:tr>
      <w:tr>
        <w:trPr>
          <w:trHeight w:val="177"/>
        </w:trPr>
        <w:tc>
          <w:tcPr>
            <w:tcW w:w="60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140,753,972</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139,120,104</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6000" w:type="dxa"/>
            <w:vAlign w:val="bottom"/>
          </w:tcPr>
          <w:p>
            <w:pPr>
              <w:spacing w:after="0"/>
              <w:rPr>
                <w:sz w:val="20"/>
                <w:szCs w:val="20"/>
                <w:color w:val="auto"/>
              </w:rPr>
            </w:pPr>
            <w:r>
              <w:rPr>
                <w:rFonts w:ascii="Arial" w:cs="Arial" w:eastAsia="Arial" w:hAnsi="Arial"/>
                <w:sz w:val="15"/>
                <w:szCs w:val="15"/>
                <w:color w:val="auto"/>
              </w:rPr>
              <w:t>Financial assets designated at fair value through profit or loss</w:t>
            </w:r>
          </w:p>
        </w:tc>
        <w:tc>
          <w:tcPr>
            <w:tcW w:w="2160" w:type="dxa"/>
            <w:vAlign w:val="bottom"/>
          </w:tcPr>
          <w:p>
            <w:pPr>
              <w:jc w:val="center"/>
              <w:ind w:left="643"/>
              <w:spacing w:after="0"/>
              <w:rPr>
                <w:sz w:val="20"/>
                <w:szCs w:val="20"/>
                <w:color w:val="auto"/>
              </w:rPr>
            </w:pPr>
            <w:r>
              <w:rPr>
                <w:rFonts w:ascii="Arial" w:cs="Arial" w:eastAsia="Arial" w:hAnsi="Arial"/>
                <w:sz w:val="15"/>
                <w:szCs w:val="15"/>
                <w:color w:val="auto"/>
                <w:w w:val="95"/>
              </w:rPr>
              <w:t>8</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768,801</w:t>
            </w:r>
          </w:p>
        </w:tc>
        <w:tc>
          <w:tcPr>
            <w:tcW w:w="1360" w:type="dxa"/>
            <w:vAlign w:val="bottom"/>
          </w:tcPr>
          <w:p>
            <w:pPr>
              <w:jc w:val="right"/>
              <w:spacing w:after="0"/>
              <w:rPr>
                <w:sz w:val="20"/>
                <w:szCs w:val="20"/>
                <w:color w:val="auto"/>
              </w:rPr>
            </w:pPr>
            <w:r>
              <w:rPr>
                <w:rFonts w:ascii="Arial" w:cs="Arial" w:eastAsia="Arial" w:hAnsi="Arial"/>
                <w:sz w:val="15"/>
                <w:szCs w:val="15"/>
                <w:color w:val="auto"/>
              </w:rPr>
              <w:t>987,082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Arial" w:cs="Arial" w:eastAsia="Arial" w:hAnsi="Arial"/>
                <w:sz w:val="15"/>
                <w:szCs w:val="15"/>
                <w:color w:val="auto"/>
              </w:rPr>
              <w:t>Premiums and other policies receivable</w:t>
            </w:r>
          </w:p>
        </w:tc>
        <w:tc>
          <w:tcPr>
            <w:tcW w:w="2160" w:type="dxa"/>
            <w:vAlign w:val="bottom"/>
          </w:tcPr>
          <w:p>
            <w:pPr>
              <w:jc w:val="center"/>
              <w:ind w:left="643"/>
              <w:spacing w:after="0"/>
              <w:rPr>
                <w:sz w:val="20"/>
                <w:szCs w:val="20"/>
                <w:color w:val="auto"/>
              </w:rPr>
            </w:pPr>
            <w:r>
              <w:rPr>
                <w:rFonts w:ascii="Arial" w:cs="Arial" w:eastAsia="Arial" w:hAnsi="Arial"/>
                <w:sz w:val="15"/>
                <w:szCs w:val="15"/>
                <w:color w:val="auto"/>
              </w:rPr>
              <w:t>9(a)</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913,124</w:t>
            </w:r>
          </w:p>
        </w:tc>
        <w:tc>
          <w:tcPr>
            <w:tcW w:w="1360" w:type="dxa"/>
            <w:vAlign w:val="bottom"/>
          </w:tcPr>
          <w:p>
            <w:pPr>
              <w:jc w:val="right"/>
              <w:spacing w:after="0"/>
              <w:rPr>
                <w:sz w:val="20"/>
                <w:szCs w:val="20"/>
                <w:color w:val="auto"/>
              </w:rPr>
            </w:pPr>
            <w:r>
              <w:rPr>
                <w:rFonts w:ascii="Arial" w:cs="Arial" w:eastAsia="Arial" w:hAnsi="Arial"/>
                <w:sz w:val="15"/>
                <w:szCs w:val="15"/>
                <w:color w:val="auto"/>
              </w:rPr>
              <w:t>921.103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Arial" w:cs="Arial" w:eastAsia="Arial" w:hAnsi="Arial"/>
                <w:sz w:val="15"/>
                <w:szCs w:val="15"/>
                <w:color w:val="auto"/>
              </w:rPr>
              <w:t>Accounts receivable from reinsurers and coinsurers</w:t>
            </w:r>
          </w:p>
        </w:tc>
        <w:tc>
          <w:tcPr>
            <w:tcW w:w="2160" w:type="dxa"/>
            <w:vAlign w:val="bottom"/>
          </w:tcPr>
          <w:p>
            <w:pPr>
              <w:jc w:val="center"/>
              <w:ind w:left="643"/>
              <w:spacing w:after="0"/>
              <w:rPr>
                <w:sz w:val="20"/>
                <w:szCs w:val="20"/>
                <w:color w:val="auto"/>
              </w:rPr>
            </w:pPr>
            <w:r>
              <w:rPr>
                <w:rFonts w:ascii="Arial" w:cs="Arial" w:eastAsia="Arial" w:hAnsi="Arial"/>
                <w:sz w:val="15"/>
                <w:szCs w:val="15"/>
                <w:color w:val="auto"/>
              </w:rPr>
              <w:t>9(b)</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1,106,674</w:t>
            </w:r>
          </w:p>
        </w:tc>
        <w:tc>
          <w:tcPr>
            <w:tcW w:w="1360" w:type="dxa"/>
            <w:vAlign w:val="bottom"/>
          </w:tcPr>
          <w:p>
            <w:pPr>
              <w:jc w:val="right"/>
              <w:spacing w:after="0"/>
              <w:rPr>
                <w:sz w:val="20"/>
                <w:szCs w:val="20"/>
                <w:color w:val="auto"/>
              </w:rPr>
            </w:pPr>
            <w:r>
              <w:rPr>
                <w:rFonts w:ascii="Arial" w:cs="Arial" w:eastAsia="Arial" w:hAnsi="Arial"/>
                <w:sz w:val="15"/>
                <w:szCs w:val="15"/>
                <w:color w:val="auto"/>
              </w:rPr>
              <w:t>1,198,379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Arial" w:cs="Arial" w:eastAsia="Arial" w:hAnsi="Arial"/>
                <w:sz w:val="15"/>
                <w:szCs w:val="15"/>
                <w:color w:val="auto"/>
              </w:rPr>
              <w:t>Property, furniture and equipment, net</w:t>
            </w:r>
          </w:p>
        </w:tc>
        <w:tc>
          <w:tcPr>
            <w:tcW w:w="2160" w:type="dxa"/>
            <w:vAlign w:val="bottom"/>
          </w:tcPr>
          <w:p>
            <w:pPr>
              <w:jc w:val="center"/>
              <w:ind w:left="623"/>
              <w:spacing w:after="0"/>
              <w:rPr>
                <w:sz w:val="20"/>
                <w:szCs w:val="20"/>
                <w:color w:val="auto"/>
              </w:rPr>
            </w:pPr>
            <w:r>
              <w:rPr>
                <w:rFonts w:ascii="Arial" w:cs="Arial" w:eastAsia="Arial" w:hAnsi="Arial"/>
                <w:sz w:val="15"/>
                <w:szCs w:val="15"/>
                <w:color w:val="auto"/>
              </w:rPr>
              <w:t>10</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1,281,098</w:t>
            </w:r>
          </w:p>
        </w:tc>
        <w:tc>
          <w:tcPr>
            <w:tcW w:w="1360" w:type="dxa"/>
            <w:vAlign w:val="bottom"/>
          </w:tcPr>
          <w:p>
            <w:pPr>
              <w:jc w:val="right"/>
              <w:spacing w:after="0"/>
              <w:rPr>
                <w:sz w:val="20"/>
                <w:szCs w:val="20"/>
                <w:color w:val="auto"/>
              </w:rPr>
            </w:pPr>
            <w:r>
              <w:rPr>
                <w:rFonts w:ascii="Arial" w:cs="Arial" w:eastAsia="Arial" w:hAnsi="Arial"/>
                <w:sz w:val="15"/>
                <w:szCs w:val="15"/>
                <w:color w:val="auto"/>
              </w:rPr>
              <w:t>1,308,779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Arial" w:cs="Arial" w:eastAsia="Arial" w:hAnsi="Arial"/>
                <w:sz w:val="15"/>
                <w:szCs w:val="15"/>
                <w:color w:val="auto"/>
              </w:rPr>
              <w:t>Due from customers on banker’s acceptances</w:t>
            </w:r>
          </w:p>
        </w:tc>
        <w:tc>
          <w:tcPr>
            <w:tcW w:w="2160" w:type="dxa"/>
            <w:vAlign w:val="bottom"/>
          </w:tcPr>
          <w:p>
            <w:pPr>
              <w:jc w:val="center"/>
              <w:ind w:left="623"/>
              <w:spacing w:after="0"/>
              <w:rPr>
                <w:sz w:val="20"/>
                <w:szCs w:val="20"/>
                <w:color w:val="auto"/>
              </w:rPr>
            </w:pPr>
            <w:r>
              <w:rPr>
                <w:rFonts w:ascii="Arial" w:cs="Arial" w:eastAsia="Arial" w:hAnsi="Arial"/>
                <w:sz w:val="15"/>
                <w:szCs w:val="15"/>
                <w:color w:val="auto"/>
              </w:rPr>
              <w:t>3(r) and 7(b)</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699,678</w:t>
            </w:r>
          </w:p>
        </w:tc>
        <w:tc>
          <w:tcPr>
            <w:tcW w:w="1360" w:type="dxa"/>
            <w:vAlign w:val="bottom"/>
          </w:tcPr>
          <w:p>
            <w:pPr>
              <w:jc w:val="right"/>
              <w:spacing w:after="0"/>
              <w:rPr>
                <w:sz w:val="20"/>
                <w:szCs w:val="20"/>
                <w:color w:val="auto"/>
              </w:rPr>
            </w:pPr>
            <w:r>
              <w:rPr>
                <w:rFonts w:ascii="Arial" w:cs="Arial" w:eastAsia="Arial" w:hAnsi="Arial"/>
                <w:sz w:val="15"/>
                <w:szCs w:val="15"/>
                <w:color w:val="auto"/>
              </w:rPr>
              <w:t>532,404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Arial" w:cs="Arial" w:eastAsia="Arial" w:hAnsi="Arial"/>
                <w:sz w:val="15"/>
                <w:szCs w:val="15"/>
                <w:color w:val="auto"/>
              </w:rPr>
              <w:t>Intangible assets and goodwill, net</w:t>
            </w:r>
          </w:p>
        </w:tc>
        <w:tc>
          <w:tcPr>
            <w:tcW w:w="2160" w:type="dxa"/>
            <w:vAlign w:val="bottom"/>
          </w:tcPr>
          <w:p>
            <w:pPr>
              <w:jc w:val="center"/>
              <w:ind w:left="623"/>
              <w:spacing w:after="0"/>
              <w:rPr>
                <w:sz w:val="20"/>
                <w:szCs w:val="20"/>
                <w:color w:val="auto"/>
              </w:rPr>
            </w:pPr>
            <w:r>
              <w:rPr>
                <w:rFonts w:ascii="Arial" w:cs="Arial" w:eastAsia="Arial" w:hAnsi="Arial"/>
                <w:sz w:val="15"/>
                <w:szCs w:val="15"/>
                <w:color w:val="auto"/>
              </w:rPr>
              <w:t>11</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2,899,429</w:t>
            </w:r>
          </w:p>
        </w:tc>
        <w:tc>
          <w:tcPr>
            <w:tcW w:w="1360" w:type="dxa"/>
            <w:vAlign w:val="bottom"/>
          </w:tcPr>
          <w:p>
            <w:pPr>
              <w:jc w:val="right"/>
              <w:spacing w:after="0"/>
              <w:rPr>
                <w:sz w:val="20"/>
                <w:szCs w:val="20"/>
                <w:color w:val="auto"/>
              </w:rPr>
            </w:pPr>
            <w:r>
              <w:rPr>
                <w:rFonts w:ascii="Arial" w:cs="Arial" w:eastAsia="Arial" w:hAnsi="Arial"/>
                <w:sz w:val="15"/>
                <w:szCs w:val="15"/>
                <w:color w:val="auto"/>
              </w:rPr>
              <w:t>2,710,080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Arial" w:cs="Arial" w:eastAsia="Arial" w:hAnsi="Arial"/>
                <w:sz w:val="15"/>
                <w:szCs w:val="15"/>
                <w:color w:val="auto"/>
              </w:rPr>
              <w:t>Right-of-use assets, net</w:t>
            </w:r>
          </w:p>
        </w:tc>
        <w:tc>
          <w:tcPr>
            <w:tcW w:w="2160" w:type="dxa"/>
            <w:vAlign w:val="bottom"/>
          </w:tcPr>
          <w:p>
            <w:pPr>
              <w:jc w:val="center"/>
              <w:ind w:left="643"/>
              <w:spacing w:after="0"/>
              <w:rPr>
                <w:sz w:val="20"/>
                <w:szCs w:val="20"/>
                <w:color w:val="auto"/>
              </w:rPr>
            </w:pPr>
            <w:r>
              <w:rPr>
                <w:rFonts w:ascii="Arial" w:cs="Arial" w:eastAsia="Arial" w:hAnsi="Arial"/>
                <w:sz w:val="15"/>
                <w:szCs w:val="15"/>
                <w:color w:val="auto"/>
              </w:rPr>
              <w:t>12(a)</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543,833</w:t>
            </w:r>
          </w:p>
        </w:tc>
        <w:tc>
          <w:tcPr>
            <w:tcW w:w="1360" w:type="dxa"/>
            <w:vAlign w:val="bottom"/>
          </w:tcPr>
          <w:p>
            <w:pPr>
              <w:jc w:val="right"/>
              <w:spacing w:after="0"/>
              <w:rPr>
                <w:sz w:val="20"/>
                <w:szCs w:val="20"/>
                <w:color w:val="auto"/>
              </w:rPr>
            </w:pPr>
            <w:r>
              <w:rPr>
                <w:rFonts w:ascii="Arial" w:cs="Arial" w:eastAsia="Arial" w:hAnsi="Arial"/>
                <w:sz w:val="15"/>
                <w:szCs w:val="15"/>
                <w:color w:val="auto"/>
              </w:rPr>
              <w:t>586,417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Arial" w:cs="Arial" w:eastAsia="Arial" w:hAnsi="Arial"/>
                <w:sz w:val="15"/>
                <w:szCs w:val="15"/>
                <w:color w:val="auto"/>
              </w:rPr>
              <w:t>Deferred tax assets, net</w:t>
            </w:r>
          </w:p>
        </w:tc>
        <w:tc>
          <w:tcPr>
            <w:tcW w:w="2160" w:type="dxa"/>
            <w:vAlign w:val="bottom"/>
          </w:tcPr>
          <w:p>
            <w:pPr>
              <w:jc w:val="center"/>
              <w:ind w:left="623"/>
              <w:spacing w:after="0"/>
              <w:rPr>
                <w:sz w:val="20"/>
                <w:szCs w:val="20"/>
                <w:color w:val="auto"/>
              </w:rPr>
            </w:pPr>
            <w:r>
              <w:rPr>
                <w:rFonts w:ascii="Arial" w:cs="Arial" w:eastAsia="Arial" w:hAnsi="Arial"/>
                <w:sz w:val="15"/>
                <w:szCs w:val="15"/>
                <w:color w:val="auto"/>
                <w:w w:val="99"/>
              </w:rPr>
              <w:t>19(c)</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1,131,565</w:t>
            </w:r>
          </w:p>
        </w:tc>
        <w:tc>
          <w:tcPr>
            <w:tcW w:w="1360" w:type="dxa"/>
            <w:vAlign w:val="bottom"/>
          </w:tcPr>
          <w:p>
            <w:pPr>
              <w:jc w:val="right"/>
              <w:spacing w:after="0"/>
              <w:rPr>
                <w:sz w:val="20"/>
                <w:szCs w:val="20"/>
                <w:color w:val="auto"/>
              </w:rPr>
            </w:pPr>
            <w:r>
              <w:rPr>
                <w:rFonts w:ascii="Arial" w:cs="Arial" w:eastAsia="Arial" w:hAnsi="Arial"/>
                <w:sz w:val="15"/>
                <w:szCs w:val="15"/>
                <w:color w:val="auto"/>
              </w:rPr>
              <w:t>1,177,359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000" w:type="dxa"/>
            <w:vAlign w:val="bottom"/>
          </w:tcPr>
          <w:p>
            <w:pPr>
              <w:spacing w:after="0" w:line="167" w:lineRule="exact"/>
              <w:rPr>
                <w:sz w:val="20"/>
                <w:szCs w:val="20"/>
                <w:color w:val="auto"/>
              </w:rPr>
            </w:pPr>
            <w:r>
              <w:rPr>
                <w:rFonts w:ascii="Arial" w:cs="Arial" w:eastAsia="Arial" w:hAnsi="Arial"/>
                <w:sz w:val="15"/>
                <w:szCs w:val="15"/>
                <w:color w:val="auto"/>
              </w:rPr>
              <w:t>Other assets</w:t>
            </w:r>
          </w:p>
        </w:tc>
        <w:tc>
          <w:tcPr>
            <w:tcW w:w="2160" w:type="dxa"/>
            <w:vAlign w:val="bottom"/>
          </w:tcPr>
          <w:p>
            <w:pPr>
              <w:jc w:val="center"/>
              <w:ind w:left="623"/>
              <w:spacing w:after="0" w:line="167" w:lineRule="exact"/>
              <w:rPr>
                <w:sz w:val="20"/>
                <w:szCs w:val="20"/>
                <w:color w:val="auto"/>
              </w:rPr>
            </w:pPr>
            <w:r>
              <w:rPr>
                <w:rFonts w:ascii="Arial" w:cs="Arial" w:eastAsia="Arial" w:hAnsi="Arial"/>
                <w:sz w:val="15"/>
                <w:szCs w:val="15"/>
                <w:color w:val="auto"/>
              </w:rPr>
              <w:t>13</w:t>
            </w:r>
          </w:p>
        </w:tc>
        <w:tc>
          <w:tcPr>
            <w:tcW w:w="300" w:type="dxa"/>
            <w:vAlign w:val="bottom"/>
          </w:tcPr>
          <w:p>
            <w:pPr>
              <w:spacing w:after="0"/>
              <w:rPr>
                <w:sz w:val="14"/>
                <w:szCs w:val="14"/>
                <w:color w:val="auto"/>
              </w:rPr>
            </w:pPr>
          </w:p>
        </w:tc>
        <w:tc>
          <w:tcPr>
            <w:tcW w:w="144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5.938,515</w:t>
            </w:r>
          </w:p>
        </w:tc>
        <w:tc>
          <w:tcPr>
            <w:tcW w:w="1360" w:type="dxa"/>
            <w:vAlign w:val="bottom"/>
          </w:tcPr>
          <w:p>
            <w:pPr>
              <w:jc w:val="right"/>
              <w:spacing w:after="0" w:line="167" w:lineRule="exact"/>
              <w:rPr>
                <w:sz w:val="20"/>
                <w:szCs w:val="20"/>
                <w:color w:val="auto"/>
              </w:rPr>
            </w:pPr>
            <w:r>
              <w:rPr>
                <w:rFonts w:ascii="Arial" w:cs="Arial" w:eastAsia="Arial" w:hAnsi="Arial"/>
                <w:sz w:val="15"/>
                <w:szCs w:val="15"/>
                <w:color w:val="auto"/>
              </w:rPr>
              <w:t>6,264,805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000" w:type="dxa"/>
            <w:vAlign w:val="bottom"/>
            <w:vMerge w:val="restart"/>
          </w:tcPr>
          <w:p>
            <w:pPr>
              <w:spacing w:after="0"/>
              <w:rPr>
                <w:sz w:val="20"/>
                <w:szCs w:val="20"/>
                <w:color w:val="auto"/>
              </w:rPr>
            </w:pPr>
            <w:r>
              <w:rPr>
                <w:rFonts w:ascii="Arial" w:cs="Arial" w:eastAsia="Arial" w:hAnsi="Arial"/>
                <w:sz w:val="15"/>
                <w:szCs w:val="15"/>
                <w:b w:val="1"/>
                <w:bCs w:val="1"/>
                <w:color w:val="auto"/>
              </w:rPr>
              <w:t>Total assets</w:t>
            </w:r>
          </w:p>
        </w:tc>
        <w:tc>
          <w:tcPr>
            <w:tcW w:w="2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0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236,753,609</w:t>
            </w:r>
          </w:p>
        </w:tc>
        <w:tc>
          <w:tcPr>
            <w:tcW w:w="1360" w:type="dxa"/>
            <w:vAlign w:val="bottom"/>
          </w:tcPr>
          <w:p>
            <w:pPr>
              <w:jc w:val="right"/>
              <w:spacing w:after="0"/>
              <w:rPr>
                <w:sz w:val="20"/>
                <w:szCs w:val="20"/>
                <w:color w:val="auto"/>
              </w:rPr>
            </w:pPr>
            <w:r>
              <w:rPr>
                <w:rFonts w:ascii="Arial" w:cs="Arial" w:eastAsia="Arial" w:hAnsi="Arial"/>
                <w:sz w:val="15"/>
                <w:szCs w:val="15"/>
                <w:color w:val="auto"/>
              </w:rPr>
              <w:t>244,846,740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6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38"/>
        </w:trPr>
        <w:tc>
          <w:tcPr>
            <w:tcW w:w="60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4" w:right="31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580" w:type="dxa"/>
            <w:vAlign w:val="bottom"/>
          </w:tcPr>
          <w:p>
            <w:pPr>
              <w:jc w:val="center"/>
              <w:ind w:left="1043"/>
              <w:spacing w:after="0"/>
              <w:rPr>
                <w:sz w:val="20"/>
                <w:szCs w:val="20"/>
                <w:color w:val="auto"/>
              </w:rPr>
            </w:pPr>
            <w:r>
              <w:rPr>
                <w:rFonts w:ascii="Arial" w:cs="Arial" w:eastAsia="Arial" w:hAnsi="Arial"/>
                <w:sz w:val="15"/>
                <w:szCs w:val="15"/>
                <w:b w:val="1"/>
                <w:bCs w:val="1"/>
                <w:color w:val="auto"/>
              </w:rPr>
              <w:t>Note</w:t>
            </w:r>
          </w:p>
        </w:tc>
        <w:tc>
          <w:tcPr>
            <w:tcW w:w="1640" w:type="dxa"/>
            <w:vAlign w:val="bottom"/>
            <w:gridSpan w:val="2"/>
          </w:tcPr>
          <w:p>
            <w:pPr>
              <w:ind w:left="300"/>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580" w:type="dxa"/>
            <w:vAlign w:val="bottom"/>
            <w:vMerge w:val="continue"/>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5580" w:type="dxa"/>
            <w:vAlign w:val="bottom"/>
          </w:tcPr>
          <w:p>
            <w:pPr>
              <w:spacing w:after="0"/>
              <w:rPr>
                <w:sz w:val="20"/>
                <w:szCs w:val="20"/>
                <w:color w:val="auto"/>
              </w:rPr>
            </w:pPr>
            <w:r>
              <w:rPr>
                <w:rFonts w:ascii="Arial" w:cs="Arial" w:eastAsia="Arial" w:hAnsi="Arial"/>
                <w:sz w:val="15"/>
                <w:szCs w:val="15"/>
                <w:color w:val="auto"/>
              </w:rPr>
              <w:t>Deposits and obligations:</w:t>
            </w: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140"/>
              <w:spacing w:after="0"/>
              <w:rPr>
                <w:sz w:val="20"/>
                <w:szCs w:val="20"/>
                <w:color w:val="auto"/>
              </w:rPr>
            </w:pPr>
            <w:r>
              <w:rPr>
                <w:rFonts w:ascii="Arial" w:cs="Arial" w:eastAsia="Arial" w:hAnsi="Arial"/>
                <w:sz w:val="15"/>
                <w:szCs w:val="15"/>
                <w:color w:val="auto"/>
              </w:rPr>
              <w:t>Non-interest-bearing</w:t>
            </w:r>
          </w:p>
        </w:tc>
        <w:tc>
          <w:tcPr>
            <w:tcW w:w="2580" w:type="dxa"/>
            <w:vAlign w:val="bottom"/>
          </w:tcPr>
          <w:p>
            <w:pPr>
              <w:spacing w:after="0"/>
              <w:rPr>
                <w:sz w:val="15"/>
                <w:szCs w:val="15"/>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43,346,151</w:t>
            </w:r>
          </w:p>
        </w:tc>
        <w:tc>
          <w:tcPr>
            <w:tcW w:w="1360" w:type="dxa"/>
            <w:vAlign w:val="bottom"/>
          </w:tcPr>
          <w:p>
            <w:pPr>
              <w:jc w:val="right"/>
              <w:spacing w:after="0"/>
              <w:rPr>
                <w:sz w:val="20"/>
                <w:szCs w:val="20"/>
                <w:color w:val="auto"/>
              </w:rPr>
            </w:pPr>
            <w:r>
              <w:rPr>
                <w:rFonts w:ascii="Arial" w:cs="Arial" w:eastAsia="Arial" w:hAnsi="Arial"/>
                <w:sz w:val="15"/>
                <w:szCs w:val="15"/>
                <w:color w:val="auto"/>
              </w:rPr>
              <w:t>51,851,206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80" w:type="dxa"/>
            <w:vAlign w:val="bottom"/>
          </w:tcPr>
          <w:p>
            <w:pPr>
              <w:ind w:left="140"/>
              <w:spacing w:after="0"/>
              <w:rPr>
                <w:sz w:val="20"/>
                <w:szCs w:val="20"/>
                <w:color w:val="auto"/>
              </w:rPr>
            </w:pPr>
            <w:r>
              <w:rPr>
                <w:rFonts w:ascii="Arial" w:cs="Arial" w:eastAsia="Arial" w:hAnsi="Arial"/>
                <w:sz w:val="15"/>
                <w:szCs w:val="15"/>
                <w:color w:val="auto"/>
              </w:rPr>
              <w:t>Interest-bearing</w:t>
            </w:r>
          </w:p>
        </w:tc>
        <w:tc>
          <w:tcPr>
            <w:tcW w:w="2580" w:type="dxa"/>
            <w:vAlign w:val="bottom"/>
            <w:vMerge w:val="restart"/>
          </w:tcPr>
          <w:p>
            <w:pPr>
              <w:jc w:val="center"/>
              <w:ind w:left="1063"/>
              <w:spacing w:after="0"/>
              <w:rPr>
                <w:sz w:val="20"/>
                <w:szCs w:val="20"/>
                <w:color w:val="auto"/>
              </w:rPr>
            </w:pPr>
            <w:r>
              <w:rPr>
                <w:rFonts w:ascii="Arial" w:cs="Arial" w:eastAsia="Arial" w:hAnsi="Arial"/>
                <w:sz w:val="15"/>
                <w:szCs w:val="15"/>
                <w:color w:val="auto"/>
              </w:rPr>
              <w:t>14(a)</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103,674,636</w:t>
            </w:r>
          </w:p>
        </w:tc>
        <w:tc>
          <w:tcPr>
            <w:tcW w:w="1360" w:type="dxa"/>
            <w:vAlign w:val="bottom"/>
          </w:tcPr>
          <w:p>
            <w:pPr>
              <w:jc w:val="right"/>
              <w:spacing w:after="0"/>
              <w:rPr>
                <w:sz w:val="20"/>
                <w:szCs w:val="20"/>
                <w:color w:val="auto"/>
              </w:rPr>
            </w:pPr>
            <w:r>
              <w:rPr>
                <w:rFonts w:ascii="Arial" w:cs="Arial" w:eastAsia="Arial" w:hAnsi="Arial"/>
                <w:sz w:val="15"/>
                <w:szCs w:val="15"/>
                <w:color w:val="auto"/>
              </w:rPr>
              <w:t>97,745,339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58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147,020,787</w:t>
            </w:r>
          </w:p>
        </w:tc>
        <w:tc>
          <w:tcPr>
            <w:tcW w:w="100" w:type="dxa"/>
            <w:vAlign w:val="bottom"/>
          </w:tcPr>
          <w:p>
            <w:pPr>
              <w:spacing w:after="0"/>
              <w:rPr>
                <w:sz w:val="14"/>
                <w:szCs w:val="14"/>
                <w:color w:val="auto"/>
              </w:rPr>
            </w:pPr>
          </w:p>
        </w:tc>
        <w:tc>
          <w:tcPr>
            <w:tcW w:w="13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149,596,545</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Payables from repurchase agreements and securities lending</w:t>
            </w:r>
          </w:p>
        </w:tc>
        <w:tc>
          <w:tcPr>
            <w:tcW w:w="2580" w:type="dxa"/>
            <w:vAlign w:val="bottom"/>
          </w:tcPr>
          <w:p>
            <w:pPr>
              <w:jc w:val="center"/>
              <w:ind w:left="1063"/>
              <w:spacing w:after="0"/>
              <w:rPr>
                <w:sz w:val="20"/>
                <w:szCs w:val="20"/>
                <w:color w:val="auto"/>
              </w:rPr>
            </w:pPr>
            <w:r>
              <w:rPr>
                <w:rFonts w:ascii="Arial" w:cs="Arial" w:eastAsia="Arial" w:hAnsi="Arial"/>
                <w:sz w:val="15"/>
                <w:szCs w:val="15"/>
                <w:color w:val="auto"/>
              </w:rPr>
              <w:t>5(b)</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12,966,725</w:t>
            </w:r>
          </w:p>
        </w:tc>
        <w:tc>
          <w:tcPr>
            <w:tcW w:w="1360" w:type="dxa"/>
            <w:vAlign w:val="bottom"/>
          </w:tcPr>
          <w:p>
            <w:pPr>
              <w:jc w:val="right"/>
              <w:spacing w:after="0"/>
              <w:rPr>
                <w:sz w:val="20"/>
                <w:szCs w:val="20"/>
                <w:color w:val="auto"/>
              </w:rPr>
            </w:pPr>
            <w:r>
              <w:rPr>
                <w:rFonts w:ascii="Arial" w:cs="Arial" w:eastAsia="Arial" w:hAnsi="Arial"/>
                <w:sz w:val="15"/>
                <w:szCs w:val="15"/>
                <w:color w:val="auto"/>
              </w:rPr>
              <w:t>22,013,866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Due to banks and correspondents</w:t>
            </w:r>
          </w:p>
        </w:tc>
        <w:tc>
          <w:tcPr>
            <w:tcW w:w="2580" w:type="dxa"/>
            <w:vAlign w:val="bottom"/>
          </w:tcPr>
          <w:p>
            <w:pPr>
              <w:jc w:val="center"/>
              <w:ind w:left="1063"/>
              <w:spacing w:after="0"/>
              <w:rPr>
                <w:sz w:val="20"/>
                <w:szCs w:val="20"/>
                <w:color w:val="auto"/>
              </w:rPr>
            </w:pPr>
            <w:r>
              <w:rPr>
                <w:rFonts w:ascii="Arial" w:cs="Arial" w:eastAsia="Arial" w:hAnsi="Arial"/>
                <w:sz w:val="15"/>
                <w:szCs w:val="15"/>
                <w:color w:val="auto"/>
              </w:rPr>
              <w:t>15(a)</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8,937,411</w:t>
            </w:r>
          </w:p>
        </w:tc>
        <w:tc>
          <w:tcPr>
            <w:tcW w:w="1360" w:type="dxa"/>
            <w:vAlign w:val="bottom"/>
          </w:tcPr>
          <w:p>
            <w:pPr>
              <w:jc w:val="right"/>
              <w:spacing w:after="0"/>
              <w:rPr>
                <w:sz w:val="20"/>
                <w:szCs w:val="20"/>
                <w:color w:val="auto"/>
              </w:rPr>
            </w:pPr>
            <w:r>
              <w:rPr>
                <w:rFonts w:ascii="Arial" w:cs="Arial" w:eastAsia="Arial" w:hAnsi="Arial"/>
                <w:sz w:val="15"/>
                <w:szCs w:val="15"/>
                <w:color w:val="auto"/>
              </w:rPr>
              <w:t>7,212,946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Due from customers on banker's acceptances</w:t>
            </w:r>
          </w:p>
        </w:tc>
        <w:tc>
          <w:tcPr>
            <w:tcW w:w="2580" w:type="dxa"/>
            <w:vAlign w:val="bottom"/>
          </w:tcPr>
          <w:p>
            <w:pPr>
              <w:jc w:val="center"/>
              <w:ind w:left="1043"/>
              <w:spacing w:after="0"/>
              <w:rPr>
                <w:sz w:val="20"/>
                <w:szCs w:val="20"/>
                <w:color w:val="auto"/>
              </w:rPr>
            </w:pPr>
            <w:r>
              <w:rPr>
                <w:rFonts w:ascii="Arial" w:cs="Arial" w:eastAsia="Arial" w:hAnsi="Arial"/>
                <w:sz w:val="15"/>
                <w:szCs w:val="15"/>
                <w:color w:val="auto"/>
              </w:rPr>
              <w:t>3(r) and 7(b)</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699,678</w:t>
            </w:r>
          </w:p>
        </w:tc>
        <w:tc>
          <w:tcPr>
            <w:tcW w:w="1360" w:type="dxa"/>
            <w:vAlign w:val="bottom"/>
          </w:tcPr>
          <w:p>
            <w:pPr>
              <w:jc w:val="right"/>
              <w:spacing w:after="0"/>
              <w:rPr>
                <w:sz w:val="20"/>
                <w:szCs w:val="20"/>
                <w:color w:val="auto"/>
              </w:rPr>
            </w:pPr>
            <w:r>
              <w:rPr>
                <w:rFonts w:ascii="Arial" w:cs="Arial" w:eastAsia="Arial" w:hAnsi="Arial"/>
                <w:sz w:val="15"/>
                <w:szCs w:val="15"/>
                <w:color w:val="auto"/>
              </w:rPr>
              <w:t>532,404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Accounts payable to reinsurers</w:t>
            </w:r>
          </w:p>
        </w:tc>
        <w:tc>
          <w:tcPr>
            <w:tcW w:w="2580" w:type="dxa"/>
            <w:vAlign w:val="bottom"/>
          </w:tcPr>
          <w:p>
            <w:pPr>
              <w:jc w:val="center"/>
              <w:ind w:left="1063"/>
              <w:spacing w:after="0"/>
              <w:rPr>
                <w:sz w:val="20"/>
                <w:szCs w:val="20"/>
                <w:color w:val="auto"/>
              </w:rPr>
            </w:pPr>
            <w:r>
              <w:rPr>
                <w:rFonts w:ascii="Arial" w:cs="Arial" w:eastAsia="Arial" w:hAnsi="Arial"/>
                <w:sz w:val="15"/>
                <w:szCs w:val="15"/>
                <w:color w:val="auto"/>
              </w:rPr>
              <w:t>9(b)</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420,094</w:t>
            </w:r>
          </w:p>
        </w:tc>
        <w:tc>
          <w:tcPr>
            <w:tcW w:w="1360" w:type="dxa"/>
            <w:vAlign w:val="bottom"/>
          </w:tcPr>
          <w:p>
            <w:pPr>
              <w:jc w:val="right"/>
              <w:spacing w:after="0"/>
              <w:rPr>
                <w:sz w:val="20"/>
                <w:szCs w:val="20"/>
                <w:color w:val="auto"/>
              </w:rPr>
            </w:pPr>
            <w:r>
              <w:rPr>
                <w:rFonts w:ascii="Arial" w:cs="Arial" w:eastAsia="Arial" w:hAnsi="Arial"/>
                <w:sz w:val="15"/>
                <w:szCs w:val="15"/>
                <w:color w:val="auto"/>
              </w:rPr>
              <w:t>463,825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Lease liabilities</w:t>
            </w:r>
          </w:p>
        </w:tc>
        <w:tc>
          <w:tcPr>
            <w:tcW w:w="2580" w:type="dxa"/>
            <w:vAlign w:val="bottom"/>
          </w:tcPr>
          <w:p>
            <w:pPr>
              <w:jc w:val="center"/>
              <w:ind w:left="1063"/>
              <w:spacing w:after="0"/>
              <w:rPr>
                <w:sz w:val="20"/>
                <w:szCs w:val="20"/>
                <w:color w:val="auto"/>
              </w:rPr>
            </w:pPr>
            <w:r>
              <w:rPr>
                <w:rFonts w:ascii="Arial" w:cs="Arial" w:eastAsia="Arial" w:hAnsi="Arial"/>
                <w:sz w:val="15"/>
                <w:szCs w:val="15"/>
                <w:color w:val="auto"/>
              </w:rPr>
              <w:t>12(b)</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578,074</w:t>
            </w:r>
          </w:p>
        </w:tc>
        <w:tc>
          <w:tcPr>
            <w:tcW w:w="1360" w:type="dxa"/>
            <w:vAlign w:val="bottom"/>
          </w:tcPr>
          <w:p>
            <w:pPr>
              <w:jc w:val="right"/>
              <w:spacing w:after="0"/>
              <w:rPr>
                <w:sz w:val="20"/>
                <w:szCs w:val="20"/>
                <w:color w:val="auto"/>
              </w:rPr>
            </w:pPr>
            <w:r>
              <w:rPr>
                <w:rFonts w:ascii="Arial" w:cs="Arial" w:eastAsia="Arial" w:hAnsi="Arial"/>
                <w:sz w:val="15"/>
                <w:szCs w:val="15"/>
                <w:color w:val="auto"/>
              </w:rPr>
              <w:t>655,294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Financial liabilities at fair value through profit or loss</w:t>
            </w:r>
          </w:p>
        </w:tc>
        <w:tc>
          <w:tcPr>
            <w:tcW w:w="2580" w:type="dxa"/>
            <w:vAlign w:val="bottom"/>
          </w:tcPr>
          <w:p>
            <w:pPr>
              <w:jc w:val="center"/>
              <w:ind w:left="1063"/>
              <w:spacing w:after="0"/>
              <w:rPr>
                <w:sz w:val="20"/>
                <w:szCs w:val="20"/>
                <w:color w:val="auto"/>
              </w:rPr>
            </w:pPr>
            <w:r>
              <w:rPr>
                <w:rFonts w:ascii="Arial" w:cs="Arial" w:eastAsia="Arial" w:hAnsi="Arial"/>
                <w:sz w:val="15"/>
                <w:szCs w:val="15"/>
                <w:color w:val="auto"/>
              </w:rPr>
              <w:t>3(ad)</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191,010</w:t>
            </w:r>
          </w:p>
        </w:tc>
        <w:tc>
          <w:tcPr>
            <w:tcW w:w="1360" w:type="dxa"/>
            <w:vAlign w:val="bottom"/>
          </w:tcPr>
          <w:p>
            <w:pPr>
              <w:jc w:val="right"/>
              <w:spacing w:after="0"/>
              <w:rPr>
                <w:sz w:val="20"/>
                <w:szCs w:val="20"/>
                <w:color w:val="auto"/>
              </w:rPr>
            </w:pPr>
            <w:r>
              <w:rPr>
                <w:rFonts w:ascii="Arial" w:cs="Arial" w:eastAsia="Arial" w:hAnsi="Arial"/>
                <w:sz w:val="15"/>
                <w:szCs w:val="15"/>
                <w:color w:val="auto"/>
              </w:rPr>
              <w:t>337,909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Technical reserves for insurance claims and premiums</w:t>
            </w:r>
          </w:p>
        </w:tc>
        <w:tc>
          <w:tcPr>
            <w:tcW w:w="2580" w:type="dxa"/>
            <w:vAlign w:val="bottom"/>
          </w:tcPr>
          <w:p>
            <w:pPr>
              <w:jc w:val="center"/>
              <w:ind w:left="1043"/>
              <w:spacing w:after="0"/>
              <w:rPr>
                <w:sz w:val="20"/>
                <w:szCs w:val="20"/>
                <w:color w:val="auto"/>
              </w:rPr>
            </w:pPr>
            <w:r>
              <w:rPr>
                <w:rFonts w:ascii="Arial" w:cs="Arial" w:eastAsia="Arial" w:hAnsi="Arial"/>
                <w:sz w:val="15"/>
                <w:szCs w:val="15"/>
                <w:color w:val="auto"/>
              </w:rPr>
              <w:t>16</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11,990,959</w:t>
            </w:r>
          </w:p>
        </w:tc>
        <w:tc>
          <w:tcPr>
            <w:tcW w:w="1360" w:type="dxa"/>
            <w:vAlign w:val="bottom"/>
          </w:tcPr>
          <w:p>
            <w:pPr>
              <w:jc w:val="right"/>
              <w:spacing w:after="0"/>
              <w:rPr>
                <w:sz w:val="20"/>
                <w:szCs w:val="20"/>
                <w:color w:val="auto"/>
              </w:rPr>
            </w:pPr>
            <w:r>
              <w:rPr>
                <w:rFonts w:ascii="Arial" w:cs="Arial" w:eastAsia="Arial" w:hAnsi="Arial"/>
                <w:sz w:val="15"/>
                <w:szCs w:val="15"/>
                <w:color w:val="auto"/>
              </w:rPr>
              <w:t>12,534,511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Bonds and notes issued</w:t>
            </w:r>
          </w:p>
        </w:tc>
        <w:tc>
          <w:tcPr>
            <w:tcW w:w="2580" w:type="dxa"/>
            <w:vAlign w:val="bottom"/>
          </w:tcPr>
          <w:p>
            <w:pPr>
              <w:jc w:val="center"/>
              <w:ind w:left="1043"/>
              <w:spacing w:after="0"/>
              <w:rPr>
                <w:sz w:val="20"/>
                <w:szCs w:val="20"/>
                <w:color w:val="auto"/>
              </w:rPr>
            </w:pPr>
            <w:r>
              <w:rPr>
                <w:rFonts w:ascii="Arial" w:cs="Arial" w:eastAsia="Arial" w:hAnsi="Arial"/>
                <w:sz w:val="15"/>
                <w:szCs w:val="15"/>
                <w:color w:val="auto"/>
              </w:rPr>
              <w:t>17</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17,007,194</w:t>
            </w:r>
          </w:p>
        </w:tc>
        <w:tc>
          <w:tcPr>
            <w:tcW w:w="1360" w:type="dxa"/>
            <w:vAlign w:val="bottom"/>
          </w:tcPr>
          <w:p>
            <w:pPr>
              <w:jc w:val="right"/>
              <w:spacing w:after="0"/>
              <w:rPr>
                <w:sz w:val="20"/>
                <w:szCs w:val="20"/>
                <w:color w:val="auto"/>
              </w:rPr>
            </w:pPr>
            <w:r>
              <w:rPr>
                <w:rFonts w:ascii="Arial" w:cs="Arial" w:eastAsia="Arial" w:hAnsi="Arial"/>
                <w:sz w:val="15"/>
                <w:szCs w:val="15"/>
                <w:color w:val="auto"/>
              </w:rPr>
              <w:t>17,823,146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color w:val="auto"/>
              </w:rPr>
              <w:t>Deferred tax liabilities, net</w:t>
            </w:r>
          </w:p>
        </w:tc>
        <w:tc>
          <w:tcPr>
            <w:tcW w:w="2580" w:type="dxa"/>
            <w:vAlign w:val="bottom"/>
          </w:tcPr>
          <w:p>
            <w:pPr>
              <w:jc w:val="center"/>
              <w:ind w:left="1043"/>
              <w:spacing w:after="0"/>
              <w:rPr>
                <w:sz w:val="20"/>
                <w:szCs w:val="20"/>
                <w:color w:val="auto"/>
              </w:rPr>
            </w:pPr>
            <w:r>
              <w:rPr>
                <w:rFonts w:ascii="Arial" w:cs="Arial" w:eastAsia="Arial" w:hAnsi="Arial"/>
                <w:sz w:val="15"/>
                <w:szCs w:val="15"/>
                <w:color w:val="auto"/>
                <w:w w:val="99"/>
              </w:rPr>
              <w:t>19(c)</w:t>
            </w: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71,823</w:t>
            </w:r>
          </w:p>
        </w:tc>
        <w:tc>
          <w:tcPr>
            <w:tcW w:w="1360" w:type="dxa"/>
            <w:vAlign w:val="bottom"/>
          </w:tcPr>
          <w:p>
            <w:pPr>
              <w:jc w:val="right"/>
              <w:spacing w:after="0"/>
              <w:rPr>
                <w:sz w:val="20"/>
                <w:szCs w:val="20"/>
                <w:color w:val="auto"/>
              </w:rPr>
            </w:pPr>
            <w:r>
              <w:rPr>
                <w:rFonts w:ascii="Arial" w:cs="Arial" w:eastAsia="Arial" w:hAnsi="Arial"/>
                <w:sz w:val="15"/>
                <w:szCs w:val="15"/>
                <w:color w:val="auto"/>
              </w:rPr>
              <w:t>105,058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Pr>
          <w:p>
            <w:pPr>
              <w:spacing w:after="0" w:line="167" w:lineRule="exact"/>
              <w:rPr>
                <w:sz w:val="20"/>
                <w:szCs w:val="20"/>
                <w:color w:val="auto"/>
              </w:rPr>
            </w:pPr>
            <w:r>
              <w:rPr>
                <w:rFonts w:ascii="Arial" w:cs="Arial" w:eastAsia="Arial" w:hAnsi="Arial"/>
                <w:sz w:val="15"/>
                <w:szCs w:val="15"/>
                <w:color w:val="auto"/>
              </w:rPr>
              <w:t>Other liabilities</w:t>
            </w:r>
          </w:p>
        </w:tc>
        <w:tc>
          <w:tcPr>
            <w:tcW w:w="2580" w:type="dxa"/>
            <w:vAlign w:val="bottom"/>
          </w:tcPr>
          <w:p>
            <w:pPr>
              <w:jc w:val="center"/>
              <w:ind w:left="1043"/>
              <w:spacing w:after="0" w:line="167" w:lineRule="exact"/>
              <w:rPr>
                <w:sz w:val="20"/>
                <w:szCs w:val="20"/>
                <w:color w:val="auto"/>
              </w:rPr>
            </w:pPr>
            <w:r>
              <w:rPr>
                <w:rFonts w:ascii="Arial" w:cs="Arial" w:eastAsia="Arial" w:hAnsi="Arial"/>
                <w:sz w:val="15"/>
                <w:szCs w:val="15"/>
                <w:color w:val="auto"/>
              </w:rPr>
              <w:t>13</w:t>
            </w:r>
          </w:p>
        </w:tc>
        <w:tc>
          <w:tcPr>
            <w:tcW w:w="1740" w:type="dxa"/>
            <w:vAlign w:val="bottom"/>
            <w:gridSpan w:val="3"/>
          </w:tcPr>
          <w:p>
            <w:pPr>
              <w:jc w:val="right"/>
              <w:ind w:right="100"/>
              <w:spacing w:after="0" w:line="167" w:lineRule="exact"/>
              <w:rPr>
                <w:sz w:val="20"/>
                <w:szCs w:val="20"/>
                <w:color w:val="auto"/>
              </w:rPr>
            </w:pPr>
            <w:r>
              <w:rPr>
                <w:rFonts w:ascii="Arial" w:cs="Arial" w:eastAsia="Arial" w:hAnsi="Arial"/>
                <w:sz w:val="15"/>
                <w:szCs w:val="15"/>
                <w:color w:val="auto"/>
              </w:rPr>
              <w:t>7,290,145</w:t>
            </w:r>
          </w:p>
        </w:tc>
        <w:tc>
          <w:tcPr>
            <w:tcW w:w="1360" w:type="dxa"/>
            <w:vAlign w:val="bottom"/>
          </w:tcPr>
          <w:p>
            <w:pPr>
              <w:jc w:val="right"/>
              <w:spacing w:after="0" w:line="167" w:lineRule="exact"/>
              <w:rPr>
                <w:sz w:val="20"/>
                <w:szCs w:val="20"/>
                <w:color w:val="auto"/>
              </w:rPr>
            </w:pPr>
            <w:r>
              <w:rPr>
                <w:rFonts w:ascii="Arial" w:cs="Arial" w:eastAsia="Arial" w:hAnsi="Arial"/>
                <w:sz w:val="15"/>
                <w:szCs w:val="15"/>
                <w:color w:val="auto"/>
              </w:rPr>
              <w:t>6,533,797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207,173,900</w:t>
            </w:r>
          </w:p>
        </w:tc>
        <w:tc>
          <w:tcPr>
            <w:tcW w:w="10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217,809,301</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5580" w:type="dxa"/>
            <w:vAlign w:val="bottom"/>
          </w:tcPr>
          <w:p>
            <w:pPr>
              <w:spacing w:after="0"/>
              <w:rPr>
                <w:sz w:val="20"/>
                <w:szCs w:val="20"/>
                <w:color w:val="auto"/>
              </w:rPr>
            </w:pPr>
            <w:r>
              <w:rPr>
                <w:rFonts w:ascii="Arial" w:cs="Arial" w:eastAsia="Arial" w:hAnsi="Arial"/>
                <w:sz w:val="15"/>
                <w:szCs w:val="15"/>
                <w:b w:val="1"/>
                <w:bCs w:val="1"/>
                <w:color w:val="auto"/>
              </w:rPr>
              <w:t>Equity, net</w:t>
            </w:r>
          </w:p>
        </w:tc>
        <w:tc>
          <w:tcPr>
            <w:tcW w:w="2580" w:type="dxa"/>
            <w:vAlign w:val="bottom"/>
          </w:tcPr>
          <w:p>
            <w:pPr>
              <w:jc w:val="center"/>
              <w:ind w:left="1043"/>
              <w:spacing w:after="0"/>
              <w:rPr>
                <w:sz w:val="20"/>
                <w:szCs w:val="20"/>
                <w:color w:val="auto"/>
              </w:rPr>
            </w:pPr>
            <w:r>
              <w:rPr>
                <w:rFonts w:ascii="Arial" w:cs="Arial" w:eastAsia="Arial" w:hAnsi="Arial"/>
                <w:sz w:val="15"/>
                <w:szCs w:val="15"/>
                <w:color w:val="auto"/>
              </w:rPr>
              <w:t>18</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580" w:type="dxa"/>
            <w:vAlign w:val="bottom"/>
          </w:tcPr>
          <w:p>
            <w:pPr>
              <w:spacing w:after="0"/>
              <w:rPr>
                <w:sz w:val="20"/>
                <w:szCs w:val="20"/>
                <w:color w:val="auto"/>
              </w:rPr>
            </w:pPr>
            <w:r>
              <w:rPr>
                <w:rFonts w:ascii="Arial" w:cs="Arial" w:eastAsia="Arial" w:hAnsi="Arial"/>
                <w:sz w:val="15"/>
                <w:szCs w:val="15"/>
                <w:color w:val="auto"/>
              </w:rPr>
              <w:t>Equity attributable to Credicorp's equity holders:</w:t>
            </w: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580" w:type="dxa"/>
            <w:vAlign w:val="bottom"/>
          </w:tcPr>
          <w:p>
            <w:pPr>
              <w:ind w:left="140"/>
              <w:spacing w:after="0"/>
              <w:rPr>
                <w:sz w:val="20"/>
                <w:szCs w:val="20"/>
                <w:color w:val="auto"/>
              </w:rPr>
            </w:pPr>
            <w:r>
              <w:rPr>
                <w:rFonts w:ascii="Arial" w:cs="Arial" w:eastAsia="Arial" w:hAnsi="Arial"/>
                <w:sz w:val="15"/>
                <w:szCs w:val="15"/>
                <w:color w:val="auto"/>
              </w:rPr>
              <w:t>Capital stock</w:t>
            </w:r>
          </w:p>
        </w:tc>
        <w:tc>
          <w:tcPr>
            <w:tcW w:w="2580" w:type="dxa"/>
            <w:vAlign w:val="bottom"/>
          </w:tcPr>
          <w:p>
            <w:pPr>
              <w:spacing w:after="0"/>
              <w:rPr>
                <w:sz w:val="24"/>
                <w:szCs w:val="24"/>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1,318,993</w:t>
            </w:r>
          </w:p>
        </w:tc>
        <w:tc>
          <w:tcPr>
            <w:tcW w:w="1360" w:type="dxa"/>
            <w:vAlign w:val="bottom"/>
          </w:tcPr>
          <w:p>
            <w:pPr>
              <w:jc w:val="right"/>
              <w:spacing w:after="0"/>
              <w:rPr>
                <w:sz w:val="20"/>
                <w:szCs w:val="20"/>
                <w:color w:val="auto"/>
              </w:rPr>
            </w:pPr>
            <w:r>
              <w:rPr>
                <w:rFonts w:ascii="Arial" w:cs="Arial" w:eastAsia="Arial" w:hAnsi="Arial"/>
                <w:sz w:val="15"/>
                <w:szCs w:val="15"/>
                <w:color w:val="auto"/>
              </w:rPr>
              <w:t>1,318,993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140"/>
              <w:spacing w:after="0"/>
              <w:rPr>
                <w:sz w:val="20"/>
                <w:szCs w:val="20"/>
                <w:color w:val="auto"/>
              </w:rPr>
            </w:pPr>
            <w:r>
              <w:rPr>
                <w:rFonts w:ascii="Arial" w:cs="Arial" w:eastAsia="Arial" w:hAnsi="Arial"/>
                <w:sz w:val="15"/>
                <w:szCs w:val="15"/>
                <w:color w:val="auto"/>
              </w:rPr>
              <w:t>Treasury stock</w:t>
            </w:r>
          </w:p>
        </w:tc>
        <w:tc>
          <w:tcPr>
            <w:tcW w:w="2580" w:type="dxa"/>
            <w:vAlign w:val="bottom"/>
          </w:tcPr>
          <w:p>
            <w:pPr>
              <w:spacing w:after="0"/>
              <w:rPr>
                <w:sz w:val="15"/>
                <w:szCs w:val="15"/>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(207,518)</w:t>
            </w:r>
          </w:p>
        </w:tc>
        <w:tc>
          <w:tcPr>
            <w:tcW w:w="1360" w:type="dxa"/>
            <w:vAlign w:val="bottom"/>
          </w:tcPr>
          <w:p>
            <w:pPr>
              <w:jc w:val="right"/>
              <w:spacing w:after="0"/>
              <w:rPr>
                <w:sz w:val="20"/>
                <w:szCs w:val="20"/>
                <w:color w:val="auto"/>
              </w:rPr>
            </w:pPr>
            <w:r>
              <w:rPr>
                <w:rFonts w:ascii="Arial" w:cs="Arial" w:eastAsia="Arial" w:hAnsi="Arial"/>
                <w:sz w:val="15"/>
                <w:szCs w:val="15"/>
                <w:color w:val="auto"/>
              </w:rPr>
              <w:t>(207,534)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140"/>
              <w:spacing w:after="0"/>
              <w:rPr>
                <w:sz w:val="20"/>
                <w:szCs w:val="20"/>
                <w:color w:val="auto"/>
              </w:rPr>
            </w:pPr>
            <w:r>
              <w:rPr>
                <w:rFonts w:ascii="Arial" w:cs="Arial" w:eastAsia="Arial" w:hAnsi="Arial"/>
                <w:sz w:val="15"/>
                <w:szCs w:val="15"/>
                <w:color w:val="auto"/>
              </w:rPr>
              <w:t>Capital surplus</w:t>
            </w:r>
          </w:p>
        </w:tc>
        <w:tc>
          <w:tcPr>
            <w:tcW w:w="2580" w:type="dxa"/>
            <w:vAlign w:val="bottom"/>
          </w:tcPr>
          <w:p>
            <w:pPr>
              <w:spacing w:after="0"/>
              <w:rPr>
                <w:sz w:val="15"/>
                <w:szCs w:val="15"/>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231,556</w:t>
            </w:r>
          </w:p>
        </w:tc>
        <w:tc>
          <w:tcPr>
            <w:tcW w:w="1360" w:type="dxa"/>
            <w:vAlign w:val="bottom"/>
          </w:tcPr>
          <w:p>
            <w:pPr>
              <w:jc w:val="right"/>
              <w:spacing w:after="0"/>
              <w:rPr>
                <w:sz w:val="20"/>
                <w:szCs w:val="20"/>
                <w:color w:val="auto"/>
              </w:rPr>
            </w:pPr>
            <w:r>
              <w:rPr>
                <w:rFonts w:ascii="Arial" w:cs="Arial" w:eastAsia="Arial" w:hAnsi="Arial"/>
                <w:sz w:val="15"/>
                <w:szCs w:val="15"/>
                <w:color w:val="auto"/>
              </w:rPr>
              <w:t>228,853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140"/>
              <w:spacing w:after="0"/>
              <w:rPr>
                <w:sz w:val="20"/>
                <w:szCs w:val="20"/>
                <w:color w:val="auto"/>
              </w:rPr>
            </w:pPr>
            <w:r>
              <w:rPr>
                <w:rFonts w:ascii="Arial" w:cs="Arial" w:eastAsia="Arial" w:hAnsi="Arial"/>
                <w:sz w:val="15"/>
                <w:szCs w:val="15"/>
                <w:color w:val="auto"/>
              </w:rPr>
              <w:t>Reserves</w:t>
            </w:r>
          </w:p>
        </w:tc>
        <w:tc>
          <w:tcPr>
            <w:tcW w:w="2580" w:type="dxa"/>
            <w:vAlign w:val="bottom"/>
          </w:tcPr>
          <w:p>
            <w:pPr>
              <w:spacing w:after="0"/>
              <w:rPr>
                <w:sz w:val="15"/>
                <w:szCs w:val="15"/>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23,659,626</w:t>
            </w:r>
          </w:p>
        </w:tc>
        <w:tc>
          <w:tcPr>
            <w:tcW w:w="1360" w:type="dxa"/>
            <w:vAlign w:val="bottom"/>
          </w:tcPr>
          <w:p>
            <w:pPr>
              <w:jc w:val="right"/>
              <w:spacing w:after="0"/>
              <w:rPr>
                <w:sz w:val="20"/>
                <w:szCs w:val="20"/>
                <w:color w:val="auto"/>
              </w:rPr>
            </w:pPr>
            <w:r>
              <w:rPr>
                <w:rFonts w:ascii="Arial" w:cs="Arial" w:eastAsia="Arial" w:hAnsi="Arial"/>
                <w:sz w:val="15"/>
                <w:szCs w:val="15"/>
                <w:color w:val="auto"/>
              </w:rPr>
              <w:t>21,364,272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140"/>
              <w:spacing w:after="0"/>
              <w:rPr>
                <w:sz w:val="20"/>
                <w:szCs w:val="20"/>
                <w:color w:val="auto"/>
              </w:rPr>
            </w:pPr>
            <w:r>
              <w:rPr>
                <w:rFonts w:ascii="Arial" w:cs="Arial" w:eastAsia="Arial" w:hAnsi="Arial"/>
                <w:sz w:val="15"/>
                <w:szCs w:val="15"/>
                <w:color w:val="auto"/>
              </w:rPr>
              <w:t>Other reserves</w:t>
            </w:r>
          </w:p>
        </w:tc>
        <w:tc>
          <w:tcPr>
            <w:tcW w:w="2580" w:type="dxa"/>
            <w:vAlign w:val="bottom"/>
          </w:tcPr>
          <w:p>
            <w:pPr>
              <w:spacing w:after="0"/>
              <w:rPr>
                <w:sz w:val="15"/>
                <w:szCs w:val="15"/>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(650,116)</w:t>
            </w:r>
          </w:p>
        </w:tc>
        <w:tc>
          <w:tcPr>
            <w:tcW w:w="1360" w:type="dxa"/>
            <w:vAlign w:val="bottom"/>
          </w:tcPr>
          <w:p>
            <w:pPr>
              <w:jc w:val="right"/>
              <w:spacing w:after="0"/>
              <w:rPr>
                <w:sz w:val="20"/>
                <w:szCs w:val="20"/>
                <w:color w:val="auto"/>
              </w:rPr>
            </w:pPr>
            <w:r>
              <w:rPr>
                <w:rFonts w:ascii="Arial" w:cs="Arial" w:eastAsia="Arial" w:hAnsi="Arial"/>
                <w:sz w:val="15"/>
                <w:szCs w:val="15"/>
                <w:color w:val="auto"/>
              </w:rPr>
              <w:t>235,902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80" w:type="dxa"/>
            <w:vAlign w:val="bottom"/>
          </w:tcPr>
          <w:p>
            <w:pPr>
              <w:ind w:left="140"/>
              <w:spacing w:after="0"/>
              <w:rPr>
                <w:sz w:val="20"/>
                <w:szCs w:val="20"/>
                <w:color w:val="auto"/>
              </w:rPr>
            </w:pPr>
            <w:r>
              <w:rPr>
                <w:rFonts w:ascii="Arial" w:cs="Arial" w:eastAsia="Arial" w:hAnsi="Arial"/>
                <w:sz w:val="15"/>
                <w:szCs w:val="15"/>
                <w:color w:val="auto"/>
              </w:rPr>
              <w:t>Retained earnings</w:t>
            </w:r>
          </w:p>
        </w:tc>
        <w:tc>
          <w:tcPr>
            <w:tcW w:w="2580" w:type="dxa"/>
            <w:vAlign w:val="bottom"/>
          </w:tcPr>
          <w:p>
            <w:pPr>
              <w:spacing w:after="0"/>
              <w:rPr>
                <w:sz w:val="16"/>
                <w:szCs w:val="16"/>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4,635,599</w:t>
            </w:r>
          </w:p>
        </w:tc>
        <w:tc>
          <w:tcPr>
            <w:tcW w:w="1360" w:type="dxa"/>
            <w:vAlign w:val="bottom"/>
          </w:tcPr>
          <w:p>
            <w:pPr>
              <w:jc w:val="right"/>
              <w:spacing w:after="0"/>
              <w:rPr>
                <w:sz w:val="20"/>
                <w:szCs w:val="20"/>
                <w:color w:val="auto"/>
              </w:rPr>
            </w:pPr>
            <w:r>
              <w:rPr>
                <w:rFonts w:ascii="Arial" w:cs="Arial" w:eastAsia="Arial" w:hAnsi="Arial"/>
                <w:sz w:val="15"/>
                <w:szCs w:val="15"/>
                <w:color w:val="auto"/>
              </w:rPr>
              <w:t>3,556,281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28,988,140</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26,496,767</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5580" w:type="dxa"/>
            <w:vAlign w:val="bottom"/>
          </w:tcPr>
          <w:p>
            <w:pPr>
              <w:spacing w:after="0"/>
              <w:rPr>
                <w:sz w:val="20"/>
                <w:szCs w:val="20"/>
                <w:color w:val="auto"/>
              </w:rPr>
            </w:pPr>
            <w:r>
              <w:rPr>
                <w:rFonts w:ascii="Arial" w:cs="Arial" w:eastAsia="Arial" w:hAnsi="Arial"/>
                <w:sz w:val="15"/>
                <w:szCs w:val="15"/>
                <w:color w:val="auto"/>
              </w:rPr>
              <w:t>Non-controlling interest</w:t>
            </w:r>
          </w:p>
        </w:tc>
        <w:tc>
          <w:tcPr>
            <w:tcW w:w="2580" w:type="dxa"/>
            <w:vAlign w:val="bottom"/>
          </w:tcPr>
          <w:p>
            <w:pPr>
              <w:spacing w:after="0"/>
              <w:rPr>
                <w:sz w:val="24"/>
                <w:szCs w:val="24"/>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5"/>
                <w:szCs w:val="15"/>
                <w:color w:val="auto"/>
              </w:rPr>
              <w:t>591,569</w:t>
            </w:r>
          </w:p>
        </w:tc>
        <w:tc>
          <w:tcPr>
            <w:tcW w:w="1360" w:type="dxa"/>
            <w:vAlign w:val="bottom"/>
          </w:tcPr>
          <w:p>
            <w:pPr>
              <w:jc w:val="right"/>
              <w:spacing w:after="0"/>
              <w:rPr>
                <w:sz w:val="20"/>
                <w:szCs w:val="20"/>
                <w:color w:val="auto"/>
              </w:rPr>
            </w:pPr>
            <w:r>
              <w:rPr>
                <w:rFonts w:ascii="Arial" w:cs="Arial" w:eastAsia="Arial" w:hAnsi="Arial"/>
                <w:sz w:val="15"/>
                <w:szCs w:val="15"/>
                <w:color w:val="auto"/>
              </w:rPr>
              <w:t>540,672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20"/>
                <w:szCs w:val="20"/>
                <w:color w:val="auto"/>
              </w:rPr>
            </w:pPr>
            <w:r>
              <w:rPr>
                <w:rFonts w:ascii="Arial" w:cs="Arial" w:eastAsia="Arial" w:hAnsi="Arial"/>
                <w:sz w:val="15"/>
                <w:szCs w:val="15"/>
                <w:b w:val="1"/>
                <w:bCs w:val="1"/>
                <w:color w:val="auto"/>
              </w:rPr>
              <w:t>Total equity, net</w:t>
            </w: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29,579,709</w:t>
            </w:r>
          </w:p>
        </w:tc>
        <w:tc>
          <w:tcPr>
            <w:tcW w:w="10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27,037,439</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580" w:type="dxa"/>
            <w:vAlign w:val="bottom"/>
            <w:vMerge w:val="restart"/>
          </w:tcPr>
          <w:p>
            <w:pPr>
              <w:spacing w:after="0"/>
              <w:rPr>
                <w:sz w:val="20"/>
                <w:szCs w:val="20"/>
                <w:color w:val="auto"/>
              </w:rPr>
            </w:pPr>
            <w:r>
              <w:rPr>
                <w:rFonts w:ascii="Arial" w:cs="Arial" w:eastAsia="Arial" w:hAnsi="Arial"/>
                <w:sz w:val="15"/>
                <w:szCs w:val="15"/>
                <w:b w:val="1"/>
                <w:bCs w:val="1"/>
                <w:color w:val="auto"/>
              </w:rPr>
              <w:t>Total liabilities and net equity</w:t>
            </w: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236,753,609</w:t>
            </w:r>
          </w:p>
        </w:tc>
        <w:tc>
          <w:tcPr>
            <w:tcW w:w="1360" w:type="dxa"/>
            <w:vAlign w:val="bottom"/>
          </w:tcPr>
          <w:p>
            <w:pPr>
              <w:jc w:val="right"/>
              <w:spacing w:after="0"/>
              <w:rPr>
                <w:sz w:val="20"/>
                <w:szCs w:val="20"/>
                <w:color w:val="auto"/>
              </w:rPr>
            </w:pPr>
            <w:r>
              <w:rPr>
                <w:rFonts w:ascii="Arial" w:cs="Arial" w:eastAsia="Arial" w:hAnsi="Arial"/>
                <w:sz w:val="15"/>
                <w:szCs w:val="15"/>
                <w:color w:val="auto"/>
              </w:rPr>
              <w:t>244,846,740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460" w:type="dxa"/>
            <w:vAlign w:val="bottom"/>
            <w:gridSpan w:val="3"/>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7"/>
        </w:trPr>
        <w:tc>
          <w:tcPr>
            <w:tcW w:w="9900" w:type="dxa"/>
            <w:vAlign w:val="bottom"/>
            <w:gridSpan w:val="5"/>
          </w:tcPr>
          <w:p>
            <w:pPr>
              <w:ind w:left="2660"/>
              <w:spacing w:after="0"/>
              <w:rPr>
                <w:sz w:val="20"/>
                <w:szCs w:val="20"/>
                <w:color w:val="auto"/>
              </w:rPr>
            </w:pPr>
            <w:r>
              <w:rPr>
                <w:rFonts w:ascii="Arial" w:cs="Arial" w:eastAsia="Arial" w:hAnsi="Arial"/>
                <w:sz w:val="15"/>
                <w:szCs w:val="15"/>
                <w:color w:val="auto"/>
              </w:rPr>
              <w:t>The accompanying notes are an integral part of these consolidated financial statement.</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38"/>
        </w:trPr>
        <w:tc>
          <w:tcPr>
            <w:tcW w:w="55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40" w:right="31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4"/>
        </w:trPr>
        <w:tc>
          <w:tcPr>
            <w:tcW w:w="5340" w:type="dxa"/>
            <w:vAlign w:val="bottom"/>
          </w:tcPr>
          <w:p>
            <w:pPr>
              <w:spacing w:after="0"/>
              <w:rPr>
                <w:sz w:val="20"/>
                <w:szCs w:val="20"/>
                <w:color w:val="auto"/>
              </w:rPr>
            </w:pPr>
            <w:r>
              <w:rPr>
                <w:rFonts w:ascii="Arial" w:cs="Arial" w:eastAsia="Arial" w:hAnsi="Arial"/>
                <w:sz w:val="15"/>
                <w:szCs w:val="15"/>
                <w:color w:val="auto"/>
              </w:rPr>
              <w:t>CONSOLIDATED STATEMENT OF INCOME</w:t>
            </w: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5340" w:type="dxa"/>
            <w:vAlign w:val="bottom"/>
          </w:tcPr>
          <w:p>
            <w:pPr>
              <w:spacing w:after="0"/>
              <w:rPr>
                <w:sz w:val="20"/>
                <w:szCs w:val="20"/>
                <w:color w:val="auto"/>
              </w:rPr>
            </w:pPr>
            <w:r>
              <w:rPr>
                <w:rFonts w:ascii="Arial" w:cs="Arial" w:eastAsia="Arial" w:hAnsi="Arial"/>
                <w:sz w:val="15"/>
                <w:szCs w:val="15"/>
                <w:color w:val="auto"/>
              </w:rPr>
              <w:t>FOR THE YEARS ENDED DECEMBER 31, 2022, 2021 AND 2020</w:t>
            </w: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6"/>
        </w:trPr>
        <w:tc>
          <w:tcPr>
            <w:tcW w:w="53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Note</w:t>
            </w:r>
          </w:p>
        </w:tc>
        <w:tc>
          <w:tcPr>
            <w:tcW w:w="520" w:type="dxa"/>
            <w:vAlign w:val="bottom"/>
          </w:tcPr>
          <w:p>
            <w:pPr>
              <w:spacing w:after="0"/>
              <w:rPr>
                <w:sz w:val="20"/>
                <w:szCs w:val="20"/>
                <w:color w:val="auto"/>
              </w:rPr>
            </w:pPr>
            <w:r>
              <w:rPr>
                <w:rFonts w:ascii="Arial" w:cs="Arial" w:eastAsia="Arial" w:hAnsi="Arial"/>
                <w:sz w:val="15"/>
                <w:szCs w:val="15"/>
                <w:b w:val="1"/>
                <w:bCs w:val="1"/>
                <w:color w:val="auto"/>
              </w:rPr>
              <w:t>2022</w:t>
            </w:r>
          </w:p>
        </w:tc>
        <w:tc>
          <w:tcPr>
            <w:tcW w:w="1460" w:type="dxa"/>
            <w:vAlign w:val="bottom"/>
            <w:gridSpan w:val="3"/>
          </w:tcPr>
          <w:p>
            <w:pPr>
              <w:ind w:left="940"/>
              <w:spacing w:after="0"/>
              <w:rPr>
                <w:sz w:val="20"/>
                <w:szCs w:val="20"/>
                <w:color w:val="auto"/>
              </w:rPr>
            </w:pPr>
            <w:r>
              <w:rPr>
                <w:rFonts w:ascii="Arial" w:cs="Arial" w:eastAsia="Arial" w:hAnsi="Arial"/>
                <w:sz w:val="15"/>
                <w:szCs w:val="15"/>
                <w:b w:val="1"/>
                <w:bCs w:val="1"/>
                <w:color w:val="auto"/>
              </w:rPr>
              <w:t>2021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40" w:type="dxa"/>
            <w:vAlign w:val="bottom"/>
            <w:gridSpan w:val="2"/>
          </w:tcPr>
          <w:p>
            <w:pPr>
              <w:spacing w:after="0"/>
              <w:rPr>
                <w:sz w:val="16"/>
                <w:szCs w:val="16"/>
                <w:color w:val="auto"/>
              </w:rPr>
            </w:pPr>
          </w:p>
        </w:tc>
      </w:tr>
      <w:tr>
        <w:trPr>
          <w:trHeight w:val="315"/>
        </w:trPr>
        <w:tc>
          <w:tcPr>
            <w:tcW w:w="5340" w:type="dxa"/>
            <w:vAlign w:val="bottom"/>
          </w:tcPr>
          <w:p>
            <w:pPr>
              <w:spacing w:after="0"/>
              <w:rPr>
                <w:sz w:val="20"/>
                <w:szCs w:val="20"/>
                <w:color w:val="auto"/>
              </w:rPr>
            </w:pPr>
            <w:r>
              <w:rPr>
                <w:rFonts w:ascii="Arial" w:cs="Arial" w:eastAsia="Arial" w:hAnsi="Arial"/>
                <w:sz w:val="15"/>
                <w:szCs w:val="15"/>
                <w:color w:val="auto"/>
              </w:rPr>
              <w:t>Interest and similar income</w:t>
            </w:r>
          </w:p>
        </w:tc>
        <w:tc>
          <w:tcPr>
            <w:tcW w:w="1660" w:type="dxa"/>
            <w:vAlign w:val="bottom"/>
          </w:tcPr>
          <w:p>
            <w:pPr>
              <w:jc w:val="center"/>
              <w:spacing w:after="0"/>
              <w:rPr>
                <w:sz w:val="20"/>
                <w:szCs w:val="20"/>
                <w:color w:val="auto"/>
              </w:rPr>
            </w:pPr>
            <w:r>
              <w:rPr>
                <w:rFonts w:ascii="Arial" w:cs="Arial" w:eastAsia="Arial" w:hAnsi="Arial"/>
                <w:sz w:val="15"/>
                <w:szCs w:val="15"/>
                <w:color w:val="auto"/>
              </w:rPr>
              <w:t>22</w:t>
            </w:r>
          </w:p>
        </w:tc>
        <w:tc>
          <w:tcPr>
            <w:tcW w:w="5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15,011,282</w:t>
            </w:r>
          </w:p>
        </w:tc>
        <w:tc>
          <w:tcPr>
            <w:tcW w:w="5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11,850,406</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11,547,648</w:t>
            </w:r>
          </w:p>
        </w:tc>
        <w:tc>
          <w:tcPr>
            <w:tcW w:w="20" w:type="dxa"/>
            <w:vAlign w:val="bottom"/>
          </w:tcPr>
          <w:p>
            <w:pPr>
              <w:spacing w:after="0"/>
              <w:rPr>
                <w:sz w:val="24"/>
                <w:szCs w:val="24"/>
                <w:color w:val="auto"/>
              </w:rPr>
            </w:pPr>
          </w:p>
        </w:tc>
      </w:tr>
      <w:tr>
        <w:trPr>
          <w:trHeight w:val="185"/>
        </w:trPr>
        <w:tc>
          <w:tcPr>
            <w:tcW w:w="5340" w:type="dxa"/>
            <w:vAlign w:val="bottom"/>
          </w:tcPr>
          <w:p>
            <w:pPr>
              <w:spacing w:after="0"/>
              <w:rPr>
                <w:sz w:val="20"/>
                <w:szCs w:val="20"/>
                <w:color w:val="auto"/>
              </w:rPr>
            </w:pPr>
            <w:r>
              <w:rPr>
                <w:rFonts w:ascii="Arial" w:cs="Arial" w:eastAsia="Arial" w:hAnsi="Arial"/>
                <w:sz w:val="15"/>
                <w:szCs w:val="15"/>
                <w:color w:val="auto"/>
              </w:rPr>
              <w:t>Interest and similar expenses</w:t>
            </w:r>
          </w:p>
        </w:tc>
        <w:tc>
          <w:tcPr>
            <w:tcW w:w="1660" w:type="dxa"/>
            <w:vAlign w:val="bottom"/>
          </w:tcPr>
          <w:p>
            <w:pPr>
              <w:jc w:val="center"/>
              <w:spacing w:after="0"/>
              <w:rPr>
                <w:sz w:val="20"/>
                <w:szCs w:val="20"/>
                <w:color w:val="auto"/>
              </w:rPr>
            </w:pPr>
            <w:r>
              <w:rPr>
                <w:rFonts w:ascii="Arial" w:cs="Arial" w:eastAsia="Arial" w:hAnsi="Arial"/>
                <w:sz w:val="15"/>
                <w:szCs w:val="15"/>
                <w:color w:val="auto"/>
              </w:rPr>
              <w:t>22</w:t>
            </w:r>
          </w:p>
        </w:tc>
        <w:tc>
          <w:tcPr>
            <w:tcW w:w="5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(3,493,187)</w:t>
            </w:r>
          </w:p>
        </w:tc>
        <w:tc>
          <w:tcPr>
            <w:tcW w:w="5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(2,490,802)</w:t>
            </w:r>
          </w:p>
        </w:tc>
        <w:tc>
          <w:tcPr>
            <w:tcW w:w="1400" w:type="dxa"/>
            <w:vAlign w:val="bottom"/>
            <w:gridSpan w:val="3"/>
          </w:tcPr>
          <w:p>
            <w:pPr>
              <w:jc w:val="right"/>
              <w:ind w:right="40"/>
              <w:spacing w:after="0"/>
              <w:rPr>
                <w:sz w:val="20"/>
                <w:szCs w:val="20"/>
                <w:color w:val="auto"/>
              </w:rPr>
            </w:pPr>
            <w:r>
              <w:rPr>
                <w:rFonts w:ascii="Arial" w:cs="Arial" w:eastAsia="Arial" w:hAnsi="Arial"/>
                <w:sz w:val="15"/>
                <w:szCs w:val="15"/>
                <w:color w:val="auto"/>
              </w:rPr>
              <w:t>(2,978,696)</w:t>
            </w:r>
          </w:p>
        </w:tc>
      </w:tr>
      <w:tr>
        <w:trPr>
          <w:trHeight w:val="183"/>
        </w:trPr>
        <w:tc>
          <w:tcPr>
            <w:tcW w:w="5340" w:type="dxa"/>
            <w:vAlign w:val="bottom"/>
          </w:tcPr>
          <w:p>
            <w:pPr>
              <w:spacing w:after="0"/>
              <w:rPr>
                <w:sz w:val="20"/>
                <w:szCs w:val="20"/>
                <w:color w:val="auto"/>
              </w:rPr>
            </w:pPr>
            <w:r>
              <w:rPr>
                <w:rFonts w:ascii="Arial" w:cs="Arial" w:eastAsia="Arial" w:hAnsi="Arial"/>
                <w:sz w:val="15"/>
                <w:szCs w:val="15"/>
                <w:b w:val="1"/>
                <w:bCs w:val="1"/>
                <w:color w:val="auto"/>
              </w:rPr>
              <w:t>Net interest, similar income and expenses</w:t>
            </w:r>
          </w:p>
        </w:tc>
        <w:tc>
          <w:tcPr>
            <w:tcW w:w="16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11,518,095</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9,359,604</w:t>
            </w:r>
          </w:p>
        </w:tc>
        <w:tc>
          <w:tcPr>
            <w:tcW w:w="100" w:type="dxa"/>
            <w:vAlign w:val="bottom"/>
          </w:tcPr>
          <w:p>
            <w:pPr>
              <w:spacing w:after="0"/>
              <w:rPr>
                <w:sz w:val="15"/>
                <w:szCs w:val="15"/>
                <w:color w:val="auto"/>
              </w:rPr>
            </w:pP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8,568,952</w:t>
            </w:r>
          </w:p>
        </w:tc>
        <w:tc>
          <w:tcPr>
            <w:tcW w:w="20" w:type="dxa"/>
            <w:vAlign w:val="bottom"/>
          </w:tcPr>
          <w:p>
            <w:pPr>
              <w:spacing w:after="0"/>
              <w:rPr>
                <w:sz w:val="15"/>
                <w:szCs w:val="15"/>
                <w:color w:val="auto"/>
              </w:rPr>
            </w:pPr>
          </w:p>
        </w:tc>
      </w:tr>
      <w:tr>
        <w:trPr>
          <w:trHeight w:val="499"/>
        </w:trPr>
        <w:tc>
          <w:tcPr>
            <w:tcW w:w="5340" w:type="dxa"/>
            <w:vAlign w:val="bottom"/>
          </w:tcPr>
          <w:p>
            <w:pPr>
              <w:spacing w:after="0"/>
              <w:rPr>
                <w:sz w:val="20"/>
                <w:szCs w:val="20"/>
                <w:color w:val="auto"/>
              </w:rPr>
            </w:pPr>
            <w:r>
              <w:rPr>
                <w:rFonts w:ascii="Arial" w:cs="Arial" w:eastAsia="Arial" w:hAnsi="Arial"/>
                <w:sz w:val="15"/>
                <w:szCs w:val="15"/>
                <w:color w:val="auto"/>
              </w:rPr>
              <w:t>Provision for credit losses on loan portfolio</w:t>
            </w:r>
          </w:p>
        </w:tc>
        <w:tc>
          <w:tcPr>
            <w:tcW w:w="1660" w:type="dxa"/>
            <w:vAlign w:val="bottom"/>
          </w:tcPr>
          <w:p>
            <w:pPr>
              <w:jc w:val="center"/>
              <w:spacing w:after="0"/>
              <w:rPr>
                <w:sz w:val="20"/>
                <w:szCs w:val="20"/>
                <w:color w:val="auto"/>
              </w:rPr>
            </w:pPr>
            <w:r>
              <w:rPr>
                <w:rFonts w:ascii="Arial" w:cs="Arial" w:eastAsia="Arial" w:hAnsi="Arial"/>
                <w:sz w:val="15"/>
                <w:szCs w:val="15"/>
                <w:color w:val="auto"/>
              </w:rPr>
              <w:t>7(c)</w:t>
            </w:r>
          </w:p>
        </w:tc>
        <w:tc>
          <w:tcPr>
            <w:tcW w:w="5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(2,158,555)</w:t>
            </w:r>
          </w:p>
        </w:tc>
        <w:tc>
          <w:tcPr>
            <w:tcW w:w="5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(1,558,951)</w:t>
            </w:r>
          </w:p>
        </w:tc>
        <w:tc>
          <w:tcPr>
            <w:tcW w:w="1400" w:type="dxa"/>
            <w:vAlign w:val="bottom"/>
            <w:gridSpan w:val="3"/>
          </w:tcPr>
          <w:p>
            <w:pPr>
              <w:jc w:val="right"/>
              <w:ind w:right="40"/>
              <w:spacing w:after="0"/>
              <w:rPr>
                <w:sz w:val="20"/>
                <w:szCs w:val="20"/>
                <w:color w:val="auto"/>
              </w:rPr>
            </w:pPr>
            <w:r>
              <w:rPr>
                <w:rFonts w:ascii="Arial" w:cs="Arial" w:eastAsia="Arial" w:hAnsi="Arial"/>
                <w:sz w:val="15"/>
                <w:szCs w:val="15"/>
                <w:color w:val="auto"/>
              </w:rPr>
              <w:t>(6,080,289)</w:t>
            </w:r>
          </w:p>
        </w:tc>
      </w:tr>
      <w:tr>
        <w:trPr>
          <w:trHeight w:val="177"/>
        </w:trPr>
        <w:tc>
          <w:tcPr>
            <w:tcW w:w="5340" w:type="dxa"/>
            <w:vAlign w:val="bottom"/>
          </w:tcPr>
          <w:p>
            <w:pPr>
              <w:spacing w:after="0" w:line="167" w:lineRule="exact"/>
              <w:rPr>
                <w:sz w:val="20"/>
                <w:szCs w:val="20"/>
                <w:color w:val="auto"/>
              </w:rPr>
            </w:pPr>
            <w:r>
              <w:rPr>
                <w:rFonts w:ascii="Arial" w:cs="Arial" w:eastAsia="Arial" w:hAnsi="Arial"/>
                <w:sz w:val="15"/>
                <w:szCs w:val="15"/>
                <w:color w:val="auto"/>
              </w:rPr>
              <w:t>Recoveries of written-off loans</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347,017</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346,728</w:t>
            </w:r>
          </w:p>
        </w:tc>
        <w:tc>
          <w:tcPr>
            <w:tcW w:w="1380" w:type="dxa"/>
            <w:vAlign w:val="bottom"/>
            <w:gridSpan w:val="2"/>
          </w:tcPr>
          <w:p>
            <w:pPr>
              <w:jc w:val="right"/>
              <w:ind w:right="20"/>
              <w:spacing w:after="0" w:line="167" w:lineRule="exact"/>
              <w:rPr>
                <w:sz w:val="20"/>
                <w:szCs w:val="20"/>
                <w:color w:val="auto"/>
              </w:rPr>
            </w:pPr>
            <w:r>
              <w:rPr>
                <w:rFonts w:ascii="Arial" w:cs="Arial" w:eastAsia="Arial" w:hAnsi="Arial"/>
                <w:sz w:val="15"/>
                <w:szCs w:val="15"/>
                <w:color w:val="auto"/>
              </w:rPr>
              <w:t>159,781</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b w:val="1"/>
                <w:bCs w:val="1"/>
                <w:color w:val="auto"/>
              </w:rPr>
              <w:t>Provision for credit losses on loan portfolio, net of recoveries</w:t>
            </w:r>
          </w:p>
        </w:tc>
        <w:tc>
          <w:tcPr>
            <w:tcW w:w="16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(1,811,538)</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(1,212,223)</w:t>
            </w:r>
          </w:p>
        </w:tc>
        <w:tc>
          <w:tcPr>
            <w:tcW w:w="100" w:type="dxa"/>
            <w:vAlign w:val="bottom"/>
          </w:tcPr>
          <w:p>
            <w:pPr>
              <w:spacing w:after="0"/>
              <w:rPr>
                <w:sz w:val="15"/>
                <w:szCs w:val="15"/>
                <w:color w:val="auto"/>
              </w:rPr>
            </w:pP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(5,920,508)</w:t>
            </w:r>
          </w:p>
        </w:tc>
        <w:tc>
          <w:tcPr>
            <w:tcW w:w="20" w:type="dxa"/>
            <w:vAlign w:val="bottom"/>
          </w:tcPr>
          <w:p>
            <w:pPr>
              <w:spacing w:after="0"/>
              <w:rPr>
                <w:sz w:val="15"/>
                <w:szCs w:val="15"/>
                <w:color w:val="auto"/>
              </w:rPr>
            </w:pPr>
          </w:p>
        </w:tc>
      </w:tr>
      <w:tr>
        <w:trPr>
          <w:trHeight w:val="319"/>
        </w:trPr>
        <w:tc>
          <w:tcPr>
            <w:tcW w:w="5340" w:type="dxa"/>
            <w:vAlign w:val="bottom"/>
          </w:tcPr>
          <w:p>
            <w:pPr>
              <w:spacing w:after="0"/>
              <w:rPr>
                <w:sz w:val="20"/>
                <w:szCs w:val="20"/>
                <w:color w:val="auto"/>
              </w:rPr>
            </w:pPr>
            <w:r>
              <w:rPr>
                <w:rFonts w:ascii="Arial" w:cs="Arial" w:eastAsia="Arial" w:hAnsi="Arial"/>
                <w:sz w:val="15"/>
                <w:szCs w:val="15"/>
                <w:b w:val="1"/>
                <w:bCs w:val="1"/>
                <w:color w:val="auto"/>
              </w:rPr>
              <w:t>Net interest, similar income and expenses, after provision for credit</w:t>
            </w:r>
          </w:p>
        </w:tc>
        <w:tc>
          <w:tcPr>
            <w:tcW w:w="16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340" w:type="dxa"/>
            <w:vAlign w:val="bottom"/>
          </w:tcPr>
          <w:p>
            <w:pPr>
              <w:ind w:left="140"/>
              <w:spacing w:after="0"/>
              <w:rPr>
                <w:sz w:val="20"/>
                <w:szCs w:val="20"/>
                <w:color w:val="auto"/>
              </w:rPr>
            </w:pPr>
            <w:r>
              <w:rPr>
                <w:rFonts w:ascii="Arial" w:cs="Arial" w:eastAsia="Arial" w:hAnsi="Arial"/>
                <w:sz w:val="15"/>
                <w:szCs w:val="15"/>
                <w:b w:val="1"/>
                <w:bCs w:val="1"/>
                <w:color w:val="auto"/>
              </w:rPr>
              <w:t>losses on loan portfolio</w:t>
            </w: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9,706,557</w:t>
            </w:r>
          </w:p>
        </w:tc>
        <w:tc>
          <w:tcPr>
            <w:tcW w:w="5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8,147,381</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2,648,444</w:t>
            </w:r>
          </w:p>
        </w:tc>
        <w:tc>
          <w:tcPr>
            <w:tcW w:w="20" w:type="dxa"/>
            <w:vAlign w:val="bottom"/>
          </w:tcPr>
          <w:p>
            <w:pPr>
              <w:spacing w:after="0"/>
              <w:rPr>
                <w:sz w:val="17"/>
                <w:szCs w:val="17"/>
                <w:color w:val="auto"/>
              </w:rPr>
            </w:pPr>
          </w:p>
        </w:tc>
      </w:tr>
      <w:tr>
        <w:trPr>
          <w:trHeight w:val="337"/>
        </w:trPr>
        <w:tc>
          <w:tcPr>
            <w:tcW w:w="5340" w:type="dxa"/>
            <w:vAlign w:val="bottom"/>
          </w:tcPr>
          <w:p>
            <w:pPr>
              <w:spacing w:after="0"/>
              <w:rPr>
                <w:sz w:val="20"/>
                <w:szCs w:val="20"/>
                <w:color w:val="auto"/>
              </w:rPr>
            </w:pPr>
            <w:r>
              <w:rPr>
                <w:rFonts w:ascii="Arial" w:cs="Arial" w:eastAsia="Arial" w:hAnsi="Arial"/>
                <w:sz w:val="15"/>
                <w:szCs w:val="15"/>
                <w:b w:val="1"/>
                <w:bCs w:val="1"/>
                <w:color w:val="auto"/>
              </w:rPr>
              <w:t>Other income</w:t>
            </w:r>
          </w:p>
        </w:tc>
        <w:tc>
          <w:tcPr>
            <w:tcW w:w="16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Commissions and fees</w:t>
            </w:r>
          </w:p>
        </w:tc>
        <w:tc>
          <w:tcPr>
            <w:tcW w:w="1660" w:type="dxa"/>
            <w:vAlign w:val="bottom"/>
          </w:tcPr>
          <w:p>
            <w:pPr>
              <w:jc w:val="center"/>
              <w:spacing w:after="0"/>
              <w:rPr>
                <w:sz w:val="20"/>
                <w:szCs w:val="20"/>
                <w:color w:val="auto"/>
              </w:rPr>
            </w:pPr>
            <w:r>
              <w:rPr>
                <w:rFonts w:ascii="Arial" w:cs="Arial" w:eastAsia="Arial" w:hAnsi="Arial"/>
                <w:sz w:val="15"/>
                <w:szCs w:val="15"/>
                <w:color w:val="auto"/>
              </w:rPr>
              <w:t>23</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3,640,319</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3,493,734</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2,912,778</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Net gain on foreign exchange transactions</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1,084,151</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922,917</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676,973</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Net gain on securities</w:t>
            </w:r>
          </w:p>
        </w:tc>
        <w:tc>
          <w:tcPr>
            <w:tcW w:w="1660" w:type="dxa"/>
            <w:vAlign w:val="bottom"/>
          </w:tcPr>
          <w:p>
            <w:pPr>
              <w:jc w:val="center"/>
              <w:spacing w:after="0"/>
              <w:rPr>
                <w:sz w:val="20"/>
                <w:szCs w:val="20"/>
                <w:color w:val="auto"/>
              </w:rPr>
            </w:pPr>
            <w:r>
              <w:rPr>
                <w:rFonts w:ascii="Arial" w:cs="Arial" w:eastAsia="Arial" w:hAnsi="Arial"/>
                <w:sz w:val="15"/>
                <w:szCs w:val="15"/>
                <w:color w:val="auto"/>
              </w:rPr>
              <w:t>24</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5,468</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28,650</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523,082</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Net gain on derivatives held for trading</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65,187</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221,064</w:t>
            </w:r>
          </w:p>
        </w:tc>
        <w:tc>
          <w:tcPr>
            <w:tcW w:w="1400" w:type="dxa"/>
            <w:vAlign w:val="bottom"/>
            <w:gridSpan w:val="3"/>
          </w:tcPr>
          <w:p>
            <w:pPr>
              <w:jc w:val="right"/>
              <w:ind w:right="40"/>
              <w:spacing w:after="0"/>
              <w:rPr>
                <w:sz w:val="20"/>
                <w:szCs w:val="20"/>
                <w:color w:val="auto"/>
              </w:rPr>
            </w:pPr>
            <w:r>
              <w:rPr>
                <w:rFonts w:ascii="Arial" w:cs="Arial" w:eastAsia="Arial" w:hAnsi="Arial"/>
                <w:sz w:val="15"/>
                <w:szCs w:val="15"/>
                <w:color w:val="auto"/>
              </w:rPr>
              <w:t>56,244</w:t>
            </w: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Net loss from exchange differences</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(16,158)</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(3,215)</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(18,932)</w:t>
            </w:r>
          </w:p>
        </w:tc>
        <w:tc>
          <w:tcPr>
            <w:tcW w:w="20" w:type="dxa"/>
            <w:vAlign w:val="bottom"/>
          </w:tcPr>
          <w:p>
            <w:pPr>
              <w:spacing w:after="0"/>
              <w:rPr>
                <w:sz w:val="15"/>
                <w:szCs w:val="15"/>
                <w:color w:val="auto"/>
              </w:rPr>
            </w:pPr>
          </w:p>
        </w:tc>
      </w:tr>
      <w:tr>
        <w:trPr>
          <w:trHeight w:val="177"/>
        </w:trPr>
        <w:tc>
          <w:tcPr>
            <w:tcW w:w="5340" w:type="dxa"/>
            <w:vAlign w:val="bottom"/>
          </w:tcPr>
          <w:p>
            <w:pPr>
              <w:spacing w:after="0" w:line="167" w:lineRule="exact"/>
              <w:rPr>
                <w:sz w:val="20"/>
                <w:szCs w:val="20"/>
                <w:color w:val="auto"/>
              </w:rPr>
            </w:pPr>
            <w:r>
              <w:rPr>
                <w:rFonts w:ascii="Arial" w:cs="Arial" w:eastAsia="Arial" w:hAnsi="Arial"/>
                <w:sz w:val="15"/>
                <w:szCs w:val="15"/>
                <w:color w:val="auto"/>
              </w:rPr>
              <w:t>Others</w:t>
            </w:r>
          </w:p>
        </w:tc>
        <w:tc>
          <w:tcPr>
            <w:tcW w:w="1660" w:type="dxa"/>
            <w:vAlign w:val="bottom"/>
          </w:tcPr>
          <w:p>
            <w:pPr>
              <w:jc w:val="center"/>
              <w:spacing w:after="0" w:line="167" w:lineRule="exact"/>
              <w:rPr>
                <w:sz w:val="20"/>
                <w:szCs w:val="20"/>
                <w:color w:val="auto"/>
              </w:rPr>
            </w:pPr>
            <w:r>
              <w:rPr>
                <w:rFonts w:ascii="Arial" w:cs="Arial" w:eastAsia="Arial" w:hAnsi="Arial"/>
                <w:sz w:val="15"/>
                <w:szCs w:val="15"/>
                <w:color w:val="auto"/>
              </w:rPr>
              <w:t>29</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329,382</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266,567</w:t>
            </w:r>
          </w:p>
        </w:tc>
        <w:tc>
          <w:tcPr>
            <w:tcW w:w="1380" w:type="dxa"/>
            <w:vAlign w:val="bottom"/>
            <w:gridSpan w:val="2"/>
          </w:tcPr>
          <w:p>
            <w:pPr>
              <w:jc w:val="right"/>
              <w:ind w:right="20"/>
              <w:spacing w:after="0" w:line="167" w:lineRule="exact"/>
              <w:rPr>
                <w:sz w:val="20"/>
                <w:szCs w:val="20"/>
                <w:color w:val="auto"/>
              </w:rPr>
            </w:pPr>
            <w:r>
              <w:rPr>
                <w:rFonts w:ascii="Arial" w:cs="Arial" w:eastAsia="Arial" w:hAnsi="Arial"/>
                <w:sz w:val="15"/>
                <w:szCs w:val="15"/>
                <w:color w:val="auto"/>
              </w:rPr>
              <w:t>289,037</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b w:val="1"/>
                <w:bCs w:val="1"/>
                <w:color w:val="auto"/>
              </w:rPr>
              <w:t>Total other income</w:t>
            </w:r>
          </w:p>
        </w:tc>
        <w:tc>
          <w:tcPr>
            <w:tcW w:w="16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5,108,349</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4,929,717</w:t>
            </w:r>
          </w:p>
        </w:tc>
        <w:tc>
          <w:tcPr>
            <w:tcW w:w="100" w:type="dxa"/>
            <w:vAlign w:val="bottom"/>
          </w:tcPr>
          <w:p>
            <w:pPr>
              <w:spacing w:after="0"/>
              <w:rPr>
                <w:sz w:val="15"/>
                <w:szCs w:val="15"/>
                <w:color w:val="auto"/>
              </w:rPr>
            </w:pP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4,439,182</w:t>
            </w:r>
          </w:p>
        </w:tc>
        <w:tc>
          <w:tcPr>
            <w:tcW w:w="20" w:type="dxa"/>
            <w:vAlign w:val="bottom"/>
          </w:tcPr>
          <w:p>
            <w:pPr>
              <w:spacing w:after="0"/>
              <w:rPr>
                <w:sz w:val="15"/>
                <w:szCs w:val="15"/>
                <w:color w:val="auto"/>
              </w:rPr>
            </w:pPr>
          </w:p>
        </w:tc>
      </w:tr>
      <w:tr>
        <w:trPr>
          <w:trHeight w:val="337"/>
        </w:trPr>
        <w:tc>
          <w:tcPr>
            <w:tcW w:w="5340" w:type="dxa"/>
            <w:vAlign w:val="bottom"/>
          </w:tcPr>
          <w:p>
            <w:pPr>
              <w:spacing w:after="0"/>
              <w:rPr>
                <w:sz w:val="20"/>
                <w:szCs w:val="20"/>
                <w:color w:val="auto"/>
              </w:rPr>
            </w:pPr>
            <w:r>
              <w:rPr>
                <w:rFonts w:ascii="Arial" w:cs="Arial" w:eastAsia="Arial" w:hAnsi="Arial"/>
                <w:sz w:val="15"/>
                <w:szCs w:val="15"/>
                <w:b w:val="1"/>
                <w:bCs w:val="1"/>
                <w:color w:val="auto"/>
              </w:rPr>
              <w:t>Insurance underwriting result</w:t>
            </w:r>
          </w:p>
        </w:tc>
        <w:tc>
          <w:tcPr>
            <w:tcW w:w="16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Net premiums earned</w:t>
            </w:r>
          </w:p>
        </w:tc>
        <w:tc>
          <w:tcPr>
            <w:tcW w:w="1660" w:type="dxa"/>
            <w:vAlign w:val="bottom"/>
          </w:tcPr>
          <w:p>
            <w:pPr>
              <w:jc w:val="center"/>
              <w:spacing w:after="0"/>
              <w:rPr>
                <w:sz w:val="20"/>
                <w:szCs w:val="20"/>
                <w:color w:val="auto"/>
              </w:rPr>
            </w:pPr>
            <w:r>
              <w:rPr>
                <w:rFonts w:ascii="Arial" w:cs="Arial" w:eastAsia="Arial" w:hAnsi="Arial"/>
                <w:sz w:val="15"/>
                <w:szCs w:val="15"/>
                <w:color w:val="auto"/>
              </w:rPr>
              <w:t>25</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2,873,295</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2,671,530</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2,428,060</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Net claims incurred for life, general and health insurance contracts</w:t>
            </w:r>
          </w:p>
        </w:tc>
        <w:tc>
          <w:tcPr>
            <w:tcW w:w="1660" w:type="dxa"/>
            <w:vAlign w:val="bottom"/>
          </w:tcPr>
          <w:p>
            <w:pPr>
              <w:jc w:val="center"/>
              <w:spacing w:after="0"/>
              <w:rPr>
                <w:sz w:val="20"/>
                <w:szCs w:val="20"/>
                <w:color w:val="auto"/>
              </w:rPr>
            </w:pPr>
            <w:r>
              <w:rPr>
                <w:rFonts w:ascii="Arial" w:cs="Arial" w:eastAsia="Arial" w:hAnsi="Arial"/>
                <w:sz w:val="15"/>
                <w:szCs w:val="15"/>
                <w:color w:val="auto"/>
              </w:rPr>
              <w:t>26</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(1,929,890)</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(2,341,917)</w:t>
            </w:r>
          </w:p>
        </w:tc>
        <w:tc>
          <w:tcPr>
            <w:tcW w:w="1400" w:type="dxa"/>
            <w:vAlign w:val="bottom"/>
            <w:gridSpan w:val="3"/>
          </w:tcPr>
          <w:p>
            <w:pPr>
              <w:jc w:val="right"/>
              <w:ind w:right="40"/>
              <w:spacing w:after="0"/>
              <w:rPr>
                <w:sz w:val="20"/>
                <w:szCs w:val="20"/>
                <w:color w:val="auto"/>
              </w:rPr>
            </w:pPr>
            <w:r>
              <w:rPr>
                <w:rFonts w:ascii="Arial" w:cs="Arial" w:eastAsia="Arial" w:hAnsi="Arial"/>
                <w:sz w:val="15"/>
                <w:szCs w:val="15"/>
                <w:color w:val="auto"/>
              </w:rPr>
              <w:t>(1,708,113)</w:t>
            </w:r>
          </w:p>
        </w:tc>
      </w:tr>
      <w:tr>
        <w:trPr>
          <w:trHeight w:val="185"/>
        </w:trPr>
        <w:tc>
          <w:tcPr>
            <w:tcW w:w="5340" w:type="dxa"/>
            <w:vAlign w:val="bottom"/>
          </w:tcPr>
          <w:p>
            <w:pPr>
              <w:spacing w:after="0"/>
              <w:rPr>
                <w:sz w:val="20"/>
                <w:szCs w:val="20"/>
                <w:color w:val="auto"/>
              </w:rPr>
            </w:pPr>
            <w:r>
              <w:rPr>
                <w:rFonts w:ascii="Arial" w:cs="Arial" w:eastAsia="Arial" w:hAnsi="Arial"/>
                <w:sz w:val="15"/>
                <w:szCs w:val="15"/>
                <w:color w:val="auto"/>
              </w:rPr>
              <w:t>Acquisition cost</w:t>
            </w: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(281,807)</w:t>
            </w:r>
          </w:p>
        </w:tc>
        <w:tc>
          <w:tcPr>
            <w:tcW w:w="5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(333,334)</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(361,814)</w:t>
            </w:r>
          </w:p>
        </w:tc>
        <w:tc>
          <w:tcPr>
            <w:tcW w:w="20" w:type="dxa"/>
            <w:vAlign w:val="bottom"/>
          </w:tcPr>
          <w:p>
            <w:pPr>
              <w:spacing w:after="0"/>
              <w:rPr>
                <w:sz w:val="16"/>
                <w:szCs w:val="16"/>
                <w:color w:val="auto"/>
              </w:rPr>
            </w:pPr>
          </w:p>
        </w:tc>
      </w:tr>
      <w:tr>
        <w:trPr>
          <w:trHeight w:val="183"/>
        </w:trPr>
        <w:tc>
          <w:tcPr>
            <w:tcW w:w="5340" w:type="dxa"/>
            <w:vAlign w:val="bottom"/>
          </w:tcPr>
          <w:p>
            <w:pPr>
              <w:spacing w:after="0"/>
              <w:rPr>
                <w:sz w:val="20"/>
                <w:szCs w:val="20"/>
                <w:color w:val="auto"/>
              </w:rPr>
            </w:pPr>
            <w:r>
              <w:rPr>
                <w:rFonts w:ascii="Arial" w:cs="Arial" w:eastAsia="Arial" w:hAnsi="Arial"/>
                <w:sz w:val="15"/>
                <w:szCs w:val="15"/>
                <w:b w:val="1"/>
                <w:bCs w:val="1"/>
                <w:color w:val="auto"/>
              </w:rPr>
              <w:t>Total insurance underwriting result</w:t>
            </w:r>
          </w:p>
        </w:tc>
        <w:tc>
          <w:tcPr>
            <w:tcW w:w="16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661,598</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(3,721)</w:t>
            </w:r>
          </w:p>
        </w:tc>
        <w:tc>
          <w:tcPr>
            <w:tcW w:w="100" w:type="dxa"/>
            <w:vAlign w:val="bottom"/>
          </w:tcPr>
          <w:p>
            <w:pPr>
              <w:spacing w:after="0"/>
              <w:rPr>
                <w:sz w:val="15"/>
                <w:szCs w:val="15"/>
                <w:color w:val="auto"/>
              </w:rPr>
            </w:pP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358,133</w:t>
            </w:r>
          </w:p>
        </w:tc>
        <w:tc>
          <w:tcPr>
            <w:tcW w:w="20" w:type="dxa"/>
            <w:vAlign w:val="bottom"/>
          </w:tcPr>
          <w:p>
            <w:pPr>
              <w:spacing w:after="0"/>
              <w:rPr>
                <w:sz w:val="15"/>
                <w:szCs w:val="15"/>
                <w:color w:val="auto"/>
              </w:rPr>
            </w:pPr>
          </w:p>
        </w:tc>
      </w:tr>
      <w:tr>
        <w:trPr>
          <w:trHeight w:val="327"/>
        </w:trPr>
        <w:tc>
          <w:tcPr>
            <w:tcW w:w="5340" w:type="dxa"/>
            <w:vAlign w:val="bottom"/>
          </w:tcPr>
          <w:p>
            <w:pPr>
              <w:spacing w:after="0"/>
              <w:rPr>
                <w:sz w:val="20"/>
                <w:szCs w:val="20"/>
                <w:color w:val="auto"/>
              </w:rPr>
            </w:pPr>
            <w:r>
              <w:rPr>
                <w:rFonts w:ascii="Arial" w:cs="Arial" w:eastAsia="Arial" w:hAnsi="Arial"/>
                <w:sz w:val="15"/>
                <w:szCs w:val="15"/>
                <w:b w:val="1"/>
                <w:bCs w:val="1"/>
                <w:color w:val="auto"/>
              </w:rPr>
              <w:t>Other expenses</w:t>
            </w: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Salaries and employee benefits</w:t>
            </w:r>
          </w:p>
        </w:tc>
        <w:tc>
          <w:tcPr>
            <w:tcW w:w="1660" w:type="dxa"/>
            <w:vAlign w:val="bottom"/>
          </w:tcPr>
          <w:p>
            <w:pPr>
              <w:jc w:val="center"/>
              <w:spacing w:after="0"/>
              <w:rPr>
                <w:sz w:val="20"/>
                <w:szCs w:val="20"/>
                <w:color w:val="auto"/>
              </w:rPr>
            </w:pPr>
            <w:r>
              <w:rPr>
                <w:rFonts w:ascii="Arial" w:cs="Arial" w:eastAsia="Arial" w:hAnsi="Arial"/>
                <w:sz w:val="15"/>
                <w:szCs w:val="15"/>
                <w:color w:val="auto"/>
              </w:rPr>
              <w:t>27</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(4,052,780)</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(3,668,476)</w:t>
            </w:r>
          </w:p>
        </w:tc>
        <w:tc>
          <w:tcPr>
            <w:tcW w:w="1400" w:type="dxa"/>
            <w:vAlign w:val="bottom"/>
            <w:gridSpan w:val="3"/>
          </w:tcPr>
          <w:p>
            <w:pPr>
              <w:jc w:val="right"/>
              <w:ind w:right="40"/>
              <w:spacing w:after="0"/>
              <w:rPr>
                <w:sz w:val="20"/>
                <w:szCs w:val="20"/>
                <w:color w:val="auto"/>
              </w:rPr>
            </w:pPr>
            <w:r>
              <w:rPr>
                <w:rFonts w:ascii="Arial" w:cs="Arial" w:eastAsia="Arial" w:hAnsi="Arial"/>
                <w:sz w:val="15"/>
                <w:szCs w:val="15"/>
                <w:color w:val="auto"/>
              </w:rPr>
              <w:t>(3,312,954)</w:t>
            </w: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Administrative expenses</w:t>
            </w:r>
          </w:p>
        </w:tc>
        <w:tc>
          <w:tcPr>
            <w:tcW w:w="1660" w:type="dxa"/>
            <w:vAlign w:val="bottom"/>
          </w:tcPr>
          <w:p>
            <w:pPr>
              <w:jc w:val="center"/>
              <w:spacing w:after="0"/>
              <w:rPr>
                <w:sz w:val="20"/>
                <w:szCs w:val="20"/>
                <w:color w:val="auto"/>
              </w:rPr>
            </w:pPr>
            <w:r>
              <w:rPr>
                <w:rFonts w:ascii="Arial" w:cs="Arial" w:eastAsia="Arial" w:hAnsi="Arial"/>
                <w:sz w:val="15"/>
                <w:szCs w:val="15"/>
                <w:color w:val="auto"/>
              </w:rPr>
              <w:t>28</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(3,505,101)</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(2,953,717)</w:t>
            </w:r>
          </w:p>
        </w:tc>
        <w:tc>
          <w:tcPr>
            <w:tcW w:w="1400" w:type="dxa"/>
            <w:vAlign w:val="bottom"/>
            <w:gridSpan w:val="3"/>
          </w:tcPr>
          <w:p>
            <w:pPr>
              <w:jc w:val="right"/>
              <w:ind w:right="40"/>
              <w:spacing w:after="0"/>
              <w:rPr>
                <w:sz w:val="20"/>
                <w:szCs w:val="20"/>
                <w:color w:val="auto"/>
              </w:rPr>
            </w:pPr>
            <w:r>
              <w:rPr>
                <w:rFonts w:ascii="Arial" w:cs="Arial" w:eastAsia="Arial" w:hAnsi="Arial"/>
                <w:sz w:val="15"/>
                <w:szCs w:val="15"/>
                <w:color w:val="auto"/>
              </w:rPr>
              <w:t>(2,383,718)</w:t>
            </w: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660" w:type="dxa"/>
            <w:vAlign w:val="bottom"/>
          </w:tcPr>
          <w:p>
            <w:pPr>
              <w:jc w:val="center"/>
              <w:spacing w:after="0"/>
              <w:rPr>
                <w:sz w:val="20"/>
                <w:szCs w:val="20"/>
                <w:color w:val="auto"/>
              </w:rPr>
            </w:pPr>
            <w:r>
              <w:rPr>
                <w:rFonts w:ascii="Arial" w:cs="Arial" w:eastAsia="Arial" w:hAnsi="Arial"/>
                <w:sz w:val="15"/>
                <w:szCs w:val="15"/>
                <w:color w:val="auto"/>
              </w:rPr>
              <w:t>10 and 11(a)</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(532,169)</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(521,967)</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(497,910)</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Impairment loss on goodwill</w:t>
            </w:r>
          </w:p>
        </w:tc>
        <w:tc>
          <w:tcPr>
            <w:tcW w:w="1660" w:type="dxa"/>
            <w:vAlign w:val="bottom"/>
          </w:tcPr>
          <w:p>
            <w:pPr>
              <w:jc w:val="center"/>
              <w:spacing w:after="0"/>
              <w:rPr>
                <w:sz w:val="20"/>
                <w:szCs w:val="20"/>
                <w:color w:val="auto"/>
              </w:rPr>
            </w:pPr>
            <w:r>
              <w:rPr>
                <w:rFonts w:ascii="Arial" w:cs="Arial" w:eastAsia="Arial" w:hAnsi="Arial"/>
                <w:sz w:val="15"/>
                <w:szCs w:val="15"/>
                <w:color w:val="auto"/>
              </w:rPr>
              <w:t>11(b)</w:t>
            </w:r>
          </w:p>
        </w:tc>
        <w:tc>
          <w:tcPr>
            <w:tcW w:w="520" w:type="dxa"/>
            <w:vAlign w:val="bottom"/>
          </w:tcPr>
          <w:p>
            <w:pPr>
              <w:spacing w:after="0"/>
              <w:rPr>
                <w:sz w:val="15"/>
                <w:szCs w:val="15"/>
                <w:color w:val="auto"/>
              </w:rPr>
            </w:pPr>
          </w:p>
        </w:tc>
        <w:tc>
          <w:tcPr>
            <w:tcW w:w="1460" w:type="dxa"/>
            <w:vAlign w:val="bottom"/>
            <w:gridSpan w:val="3"/>
          </w:tcPr>
          <w:p>
            <w:pPr>
              <w:jc w:val="right"/>
              <w:ind w:right="543"/>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(63,978)</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color w:val="auto"/>
              </w:rPr>
              <w:t>Depreciation for right-of-use assets</w:t>
            </w:r>
          </w:p>
        </w:tc>
        <w:tc>
          <w:tcPr>
            <w:tcW w:w="1660" w:type="dxa"/>
            <w:vAlign w:val="bottom"/>
          </w:tcPr>
          <w:p>
            <w:pPr>
              <w:jc w:val="center"/>
              <w:spacing w:after="0"/>
              <w:rPr>
                <w:sz w:val="20"/>
                <w:szCs w:val="20"/>
                <w:color w:val="auto"/>
              </w:rPr>
            </w:pPr>
            <w:r>
              <w:rPr>
                <w:rFonts w:ascii="Arial" w:cs="Arial" w:eastAsia="Arial" w:hAnsi="Arial"/>
                <w:sz w:val="15"/>
                <w:szCs w:val="15"/>
                <w:color w:val="auto"/>
              </w:rPr>
              <w:t>12(a)</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(151,335)</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(161,287)</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(172,005)</w:t>
            </w:r>
          </w:p>
        </w:tc>
        <w:tc>
          <w:tcPr>
            <w:tcW w:w="20" w:type="dxa"/>
            <w:vAlign w:val="bottom"/>
          </w:tcPr>
          <w:p>
            <w:pPr>
              <w:spacing w:after="0"/>
              <w:rPr>
                <w:sz w:val="15"/>
                <w:szCs w:val="15"/>
                <w:color w:val="auto"/>
              </w:rPr>
            </w:pPr>
          </w:p>
        </w:tc>
      </w:tr>
      <w:tr>
        <w:trPr>
          <w:trHeight w:val="177"/>
        </w:trPr>
        <w:tc>
          <w:tcPr>
            <w:tcW w:w="5340" w:type="dxa"/>
            <w:vAlign w:val="bottom"/>
          </w:tcPr>
          <w:p>
            <w:pPr>
              <w:spacing w:after="0" w:line="167" w:lineRule="exact"/>
              <w:rPr>
                <w:sz w:val="20"/>
                <w:szCs w:val="20"/>
                <w:color w:val="auto"/>
              </w:rPr>
            </w:pPr>
            <w:r>
              <w:rPr>
                <w:rFonts w:ascii="Arial" w:cs="Arial" w:eastAsia="Arial" w:hAnsi="Arial"/>
                <w:sz w:val="15"/>
                <w:szCs w:val="15"/>
                <w:color w:val="auto"/>
              </w:rPr>
              <w:t>Others</w:t>
            </w:r>
          </w:p>
        </w:tc>
        <w:tc>
          <w:tcPr>
            <w:tcW w:w="1660" w:type="dxa"/>
            <w:vAlign w:val="bottom"/>
          </w:tcPr>
          <w:p>
            <w:pPr>
              <w:jc w:val="center"/>
              <w:spacing w:after="0" w:line="167" w:lineRule="exact"/>
              <w:rPr>
                <w:sz w:val="20"/>
                <w:szCs w:val="20"/>
                <w:color w:val="auto"/>
              </w:rPr>
            </w:pPr>
            <w:r>
              <w:rPr>
                <w:rFonts w:ascii="Arial" w:cs="Arial" w:eastAsia="Arial" w:hAnsi="Arial"/>
                <w:sz w:val="15"/>
                <w:szCs w:val="15"/>
                <w:color w:val="auto"/>
              </w:rPr>
              <w:t>29</w:t>
            </w:r>
          </w:p>
        </w:tc>
        <w:tc>
          <w:tcPr>
            <w:tcW w:w="520" w:type="dxa"/>
            <w:vAlign w:val="bottom"/>
          </w:tcPr>
          <w:p>
            <w:pPr>
              <w:spacing w:after="0"/>
              <w:rPr>
                <w:sz w:val="15"/>
                <w:szCs w:val="15"/>
                <w:color w:val="auto"/>
              </w:rPr>
            </w:pPr>
          </w:p>
        </w:tc>
        <w:tc>
          <w:tcPr>
            <w:tcW w:w="94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(379,230)</w:t>
            </w:r>
          </w:p>
        </w:tc>
        <w:tc>
          <w:tcPr>
            <w:tcW w:w="520" w:type="dxa"/>
            <w:vAlign w:val="bottom"/>
          </w:tcPr>
          <w:p>
            <w:pPr>
              <w:spacing w:after="0"/>
              <w:rPr>
                <w:sz w:val="15"/>
                <w:szCs w:val="15"/>
                <w:color w:val="auto"/>
              </w:rPr>
            </w:pPr>
          </w:p>
        </w:tc>
        <w:tc>
          <w:tcPr>
            <w:tcW w:w="9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(435,114)</w:t>
            </w:r>
          </w:p>
        </w:tc>
        <w:tc>
          <w:tcPr>
            <w:tcW w:w="1380" w:type="dxa"/>
            <w:vAlign w:val="bottom"/>
            <w:gridSpan w:val="2"/>
          </w:tcPr>
          <w:p>
            <w:pPr>
              <w:jc w:val="right"/>
              <w:ind w:right="20"/>
              <w:spacing w:after="0" w:line="167" w:lineRule="exact"/>
              <w:rPr>
                <w:sz w:val="20"/>
                <w:szCs w:val="20"/>
                <w:color w:val="auto"/>
              </w:rPr>
            </w:pPr>
            <w:r>
              <w:rPr>
                <w:rFonts w:ascii="Arial" w:cs="Arial" w:eastAsia="Arial" w:hAnsi="Arial"/>
                <w:sz w:val="15"/>
                <w:szCs w:val="15"/>
                <w:color w:val="auto"/>
              </w:rPr>
              <w:t>(760,124)</w:t>
            </w:r>
          </w:p>
        </w:tc>
        <w:tc>
          <w:tcPr>
            <w:tcW w:w="20" w:type="dxa"/>
            <w:vAlign w:val="bottom"/>
          </w:tcPr>
          <w:p>
            <w:pPr>
              <w:spacing w:after="0"/>
              <w:rPr>
                <w:sz w:val="15"/>
                <w:szCs w:val="15"/>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5"/>
                <w:szCs w:val="15"/>
                <w:b w:val="1"/>
                <w:bCs w:val="1"/>
                <w:color w:val="auto"/>
              </w:rPr>
              <w:t>Total other expenses</w:t>
            </w:r>
          </w:p>
        </w:tc>
        <w:tc>
          <w:tcPr>
            <w:tcW w:w="166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(8,620,615)</w:t>
            </w:r>
          </w:p>
        </w:tc>
        <w:tc>
          <w:tcPr>
            <w:tcW w:w="10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(7,740,561)</w:t>
            </w:r>
          </w:p>
        </w:tc>
        <w:tc>
          <w:tcPr>
            <w:tcW w:w="100" w:type="dxa"/>
            <w:vAlign w:val="bottom"/>
          </w:tcPr>
          <w:p>
            <w:pPr>
              <w:spacing w:after="0"/>
              <w:rPr>
                <w:sz w:val="15"/>
                <w:szCs w:val="15"/>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(7,190,689)</w:t>
            </w:r>
          </w:p>
        </w:tc>
        <w:tc>
          <w:tcPr>
            <w:tcW w:w="20" w:type="dxa"/>
            <w:vAlign w:val="bottom"/>
            <w:tcBorders>
              <w:bottom w:val="single" w:sz="8" w:color="auto"/>
            </w:tcBorders>
          </w:tcPr>
          <w:p>
            <w:pPr>
              <w:spacing w:after="0"/>
              <w:rPr>
                <w:sz w:val="15"/>
                <w:szCs w:val="15"/>
                <w:color w:val="auto"/>
              </w:rPr>
            </w:pPr>
          </w:p>
        </w:tc>
      </w:tr>
      <w:tr>
        <w:trPr>
          <w:trHeight w:val="326"/>
        </w:trPr>
        <w:tc>
          <w:tcPr>
            <w:tcW w:w="5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5"/>
                <w:szCs w:val="15"/>
                <w:color w:val="auto"/>
              </w:rPr>
              <w:t>54</w:t>
            </w:r>
          </w:p>
        </w:tc>
      </w:tr>
      <w:tr>
        <w:trPr>
          <w:trHeight w:val="38"/>
        </w:trPr>
        <w:tc>
          <w:tcPr>
            <w:tcW w:w="5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0" w:right="31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20"/>
                <w:szCs w:val="20"/>
                <w:color w:val="auto"/>
              </w:rPr>
            </w:pPr>
            <w:r>
              <w:rPr>
                <w:rFonts w:ascii="Arial" w:cs="Arial" w:eastAsia="Arial" w:hAnsi="Arial"/>
                <w:sz w:val="15"/>
                <w:szCs w:val="15"/>
                <w:b w:val="1"/>
                <w:bCs w:val="1"/>
                <w:color w:val="auto"/>
              </w:rPr>
              <w:t>Net result before income tax</w:t>
            </w:r>
          </w:p>
        </w:tc>
        <w:tc>
          <w:tcPr>
            <w:tcW w:w="152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5"/>
                <w:szCs w:val="15"/>
                <w:color w:val="auto"/>
              </w:rPr>
              <w:t>6,855,889</w:t>
            </w: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5,332,816</w:t>
            </w:r>
          </w:p>
        </w:tc>
        <w:tc>
          <w:tcPr>
            <w:tcW w:w="1360" w:type="dxa"/>
            <w:vAlign w:val="bottom"/>
          </w:tcPr>
          <w:p>
            <w:pPr>
              <w:jc w:val="right"/>
              <w:spacing w:after="0"/>
              <w:rPr>
                <w:sz w:val="20"/>
                <w:szCs w:val="20"/>
                <w:color w:val="auto"/>
              </w:rPr>
            </w:pPr>
            <w:r>
              <w:rPr>
                <w:rFonts w:ascii="Arial" w:cs="Arial" w:eastAsia="Arial" w:hAnsi="Arial"/>
                <w:sz w:val="15"/>
                <w:szCs w:val="15"/>
                <w:color w:val="auto"/>
              </w:rPr>
              <w:t>224,161</w:t>
            </w:r>
          </w:p>
        </w:tc>
        <w:tc>
          <w:tcPr>
            <w:tcW w:w="0" w:type="dxa"/>
            <w:vAlign w:val="bottom"/>
          </w:tcPr>
          <w:p>
            <w:pPr>
              <w:spacing w:after="0"/>
              <w:rPr>
                <w:sz w:val="1"/>
                <w:szCs w:val="1"/>
                <w:color w:val="auto"/>
              </w:rPr>
            </w:pPr>
          </w:p>
        </w:tc>
      </w:tr>
      <w:tr>
        <w:trPr>
          <w:trHeight w:val="166"/>
        </w:trPr>
        <w:tc>
          <w:tcPr>
            <w:tcW w:w="5480" w:type="dxa"/>
            <w:vAlign w:val="bottom"/>
          </w:tcPr>
          <w:p>
            <w:pPr>
              <w:spacing w:after="0" w:line="167" w:lineRule="exact"/>
              <w:rPr>
                <w:sz w:val="20"/>
                <w:szCs w:val="20"/>
                <w:color w:val="auto"/>
              </w:rPr>
            </w:pPr>
            <w:r>
              <w:rPr>
                <w:rFonts w:ascii="Arial" w:cs="Arial" w:eastAsia="Arial" w:hAnsi="Arial"/>
                <w:sz w:val="15"/>
                <w:szCs w:val="15"/>
                <w:color w:val="auto"/>
              </w:rPr>
              <w:t>Income tax</w:t>
            </w:r>
          </w:p>
        </w:tc>
        <w:tc>
          <w:tcPr>
            <w:tcW w:w="1520" w:type="dxa"/>
            <w:vAlign w:val="bottom"/>
          </w:tcPr>
          <w:p>
            <w:pPr>
              <w:jc w:val="center"/>
              <w:ind w:right="3"/>
              <w:spacing w:after="0" w:line="167" w:lineRule="exact"/>
              <w:rPr>
                <w:sz w:val="20"/>
                <w:szCs w:val="20"/>
                <w:color w:val="auto"/>
              </w:rPr>
            </w:pPr>
            <w:r>
              <w:rPr>
                <w:rFonts w:ascii="Arial" w:cs="Arial" w:eastAsia="Arial" w:hAnsi="Arial"/>
                <w:sz w:val="15"/>
                <w:szCs w:val="15"/>
                <w:color w:val="auto"/>
              </w:rPr>
              <w:t>19(b)</w:t>
            </w:r>
          </w:p>
        </w:tc>
        <w:tc>
          <w:tcPr>
            <w:tcW w:w="1360" w:type="dxa"/>
            <w:vAlign w:val="bottom"/>
          </w:tcPr>
          <w:p>
            <w:pPr>
              <w:jc w:val="right"/>
              <w:spacing w:after="0" w:line="167" w:lineRule="exact"/>
              <w:rPr>
                <w:sz w:val="20"/>
                <w:szCs w:val="20"/>
                <w:color w:val="auto"/>
              </w:rPr>
            </w:pPr>
            <w:r>
              <w:rPr>
                <w:rFonts w:ascii="Arial" w:cs="Arial" w:eastAsia="Arial" w:hAnsi="Arial"/>
                <w:sz w:val="15"/>
                <w:szCs w:val="15"/>
                <w:color w:val="auto"/>
              </w:rPr>
              <w:t>(2,110,501)</w:t>
            </w:r>
          </w:p>
        </w:tc>
        <w:tc>
          <w:tcPr>
            <w:tcW w:w="100" w:type="dxa"/>
            <w:vAlign w:val="bottom"/>
          </w:tcPr>
          <w:p>
            <w:pPr>
              <w:spacing w:after="0"/>
              <w:rPr>
                <w:sz w:val="14"/>
                <w:szCs w:val="14"/>
                <w:color w:val="auto"/>
              </w:rPr>
            </w:pPr>
          </w:p>
        </w:tc>
        <w:tc>
          <w:tcPr>
            <w:tcW w:w="144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(1,660,987)</w:t>
            </w:r>
          </w:p>
        </w:tc>
        <w:tc>
          <w:tcPr>
            <w:tcW w:w="1360" w:type="dxa"/>
            <w:vAlign w:val="bottom"/>
          </w:tcPr>
          <w:p>
            <w:pPr>
              <w:jc w:val="right"/>
              <w:spacing w:after="0" w:line="167" w:lineRule="exact"/>
              <w:rPr>
                <w:sz w:val="20"/>
                <w:szCs w:val="20"/>
                <w:color w:val="auto"/>
              </w:rPr>
            </w:pPr>
            <w:r>
              <w:rPr>
                <w:rFonts w:ascii="Arial" w:cs="Arial" w:eastAsia="Arial" w:hAnsi="Arial"/>
                <w:sz w:val="15"/>
                <w:szCs w:val="15"/>
                <w:color w:val="auto"/>
              </w:rPr>
              <w:t>109,977</w:t>
            </w:r>
          </w:p>
        </w:tc>
        <w:tc>
          <w:tcPr>
            <w:tcW w:w="0" w:type="dxa"/>
            <w:vAlign w:val="bottom"/>
          </w:tcPr>
          <w:p>
            <w:pPr>
              <w:spacing w:after="0"/>
              <w:rPr>
                <w:sz w:val="1"/>
                <w:szCs w:val="1"/>
                <w:color w:val="auto"/>
              </w:rPr>
            </w:pPr>
          </w:p>
        </w:tc>
      </w:tr>
      <w:tr>
        <w:trPr>
          <w:trHeight w:val="30"/>
        </w:trPr>
        <w:tc>
          <w:tcPr>
            <w:tcW w:w="5480" w:type="dxa"/>
            <w:vAlign w:val="bottom"/>
            <w:vMerge w:val="restart"/>
          </w:tcPr>
          <w:p>
            <w:pPr>
              <w:spacing w:after="0"/>
              <w:rPr>
                <w:sz w:val="20"/>
                <w:szCs w:val="20"/>
                <w:color w:val="auto"/>
              </w:rPr>
            </w:pPr>
            <w:r>
              <w:rPr>
                <w:rFonts w:ascii="Arial" w:cs="Arial" w:eastAsia="Arial" w:hAnsi="Arial"/>
                <w:sz w:val="15"/>
                <w:szCs w:val="15"/>
                <w:b w:val="1"/>
                <w:bCs w:val="1"/>
                <w:color w:val="auto"/>
              </w:rPr>
              <w:t>Net result after income tax</w:t>
            </w:r>
          </w:p>
        </w:tc>
        <w:tc>
          <w:tcPr>
            <w:tcW w:w="15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4,745,388</w:t>
            </w: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3,671,829</w:t>
            </w:r>
          </w:p>
        </w:tc>
        <w:tc>
          <w:tcPr>
            <w:tcW w:w="1360" w:type="dxa"/>
            <w:vAlign w:val="bottom"/>
          </w:tcPr>
          <w:p>
            <w:pPr>
              <w:jc w:val="right"/>
              <w:spacing w:after="0"/>
              <w:rPr>
                <w:sz w:val="20"/>
                <w:szCs w:val="20"/>
                <w:color w:val="auto"/>
              </w:rPr>
            </w:pPr>
            <w:r>
              <w:rPr>
                <w:rFonts w:ascii="Arial" w:cs="Arial" w:eastAsia="Arial" w:hAnsi="Arial"/>
                <w:sz w:val="15"/>
                <w:szCs w:val="15"/>
                <w:color w:val="auto"/>
              </w:rPr>
              <w:t>334,138</w:t>
            </w:r>
          </w:p>
        </w:tc>
        <w:tc>
          <w:tcPr>
            <w:tcW w:w="0" w:type="dxa"/>
            <w:vAlign w:val="bottom"/>
          </w:tcPr>
          <w:p>
            <w:pPr>
              <w:spacing w:after="0"/>
              <w:rPr>
                <w:sz w:val="1"/>
                <w:szCs w:val="1"/>
                <w:color w:val="auto"/>
              </w:rPr>
            </w:pPr>
          </w:p>
        </w:tc>
      </w:tr>
      <w:tr>
        <w:trPr>
          <w:trHeight w:val="345"/>
        </w:trPr>
        <w:tc>
          <w:tcPr>
            <w:tcW w:w="5480" w:type="dxa"/>
            <w:vAlign w:val="bottom"/>
          </w:tcPr>
          <w:p>
            <w:pPr>
              <w:spacing w:after="0"/>
              <w:rPr>
                <w:sz w:val="20"/>
                <w:szCs w:val="20"/>
                <w:color w:val="auto"/>
              </w:rPr>
            </w:pPr>
            <w:r>
              <w:rPr>
                <w:rFonts w:ascii="Arial" w:cs="Arial" w:eastAsia="Arial" w:hAnsi="Arial"/>
                <w:sz w:val="15"/>
                <w:szCs w:val="15"/>
                <w:b w:val="1"/>
                <w:bCs w:val="1"/>
                <w:color w:val="auto"/>
              </w:rPr>
              <w:t>Attributable to:</w:t>
            </w:r>
          </w:p>
        </w:tc>
        <w:tc>
          <w:tcPr>
            <w:tcW w:w="15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20"/>
                <w:szCs w:val="20"/>
                <w:color w:val="auto"/>
              </w:rPr>
            </w:pPr>
            <w:r>
              <w:rPr>
                <w:rFonts w:ascii="Arial" w:cs="Arial" w:eastAsia="Arial" w:hAnsi="Arial"/>
                <w:sz w:val="15"/>
                <w:szCs w:val="15"/>
                <w:color w:val="auto"/>
              </w:rPr>
              <w:t>Credicorp’s equity holders</w:t>
            </w:r>
          </w:p>
        </w:tc>
        <w:tc>
          <w:tcPr>
            <w:tcW w:w="152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5"/>
                <w:szCs w:val="15"/>
                <w:color w:val="auto"/>
              </w:rPr>
              <w:t>4,633,096</w:t>
            </w: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3,584,582</w:t>
            </w:r>
          </w:p>
        </w:tc>
        <w:tc>
          <w:tcPr>
            <w:tcW w:w="1360" w:type="dxa"/>
            <w:vAlign w:val="bottom"/>
          </w:tcPr>
          <w:p>
            <w:pPr>
              <w:jc w:val="right"/>
              <w:spacing w:after="0"/>
              <w:rPr>
                <w:sz w:val="20"/>
                <w:szCs w:val="20"/>
                <w:color w:val="auto"/>
              </w:rPr>
            </w:pPr>
            <w:r>
              <w:rPr>
                <w:rFonts w:ascii="Arial" w:cs="Arial" w:eastAsia="Arial" w:hAnsi="Arial"/>
                <w:sz w:val="15"/>
                <w:szCs w:val="15"/>
                <w:color w:val="auto"/>
              </w:rPr>
              <w:t>346,894</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20"/>
                <w:szCs w:val="20"/>
                <w:color w:val="auto"/>
              </w:rPr>
            </w:pPr>
            <w:r>
              <w:rPr>
                <w:rFonts w:ascii="Arial" w:cs="Arial" w:eastAsia="Arial" w:hAnsi="Arial"/>
                <w:sz w:val="15"/>
                <w:szCs w:val="15"/>
                <w:color w:val="auto"/>
              </w:rPr>
              <w:t>Non-controlling interest</w:t>
            </w:r>
          </w:p>
        </w:tc>
        <w:tc>
          <w:tcPr>
            <w:tcW w:w="15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112,292</w:t>
            </w: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87,247</w:t>
            </w:r>
          </w:p>
        </w:tc>
        <w:tc>
          <w:tcPr>
            <w:tcW w:w="1360" w:type="dxa"/>
            <w:vAlign w:val="bottom"/>
          </w:tcPr>
          <w:p>
            <w:pPr>
              <w:jc w:val="right"/>
              <w:spacing w:after="0"/>
              <w:rPr>
                <w:sz w:val="20"/>
                <w:szCs w:val="20"/>
                <w:color w:val="auto"/>
              </w:rPr>
            </w:pPr>
            <w:r>
              <w:rPr>
                <w:rFonts w:ascii="Arial" w:cs="Arial" w:eastAsia="Arial" w:hAnsi="Arial"/>
                <w:sz w:val="15"/>
                <w:szCs w:val="15"/>
                <w:color w:val="auto"/>
              </w:rPr>
              <w:t>(12,756)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4,745,388</w:t>
            </w: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3,671,829</w:t>
            </w:r>
          </w:p>
        </w:tc>
        <w:tc>
          <w:tcPr>
            <w:tcW w:w="1360" w:type="dxa"/>
            <w:vAlign w:val="bottom"/>
          </w:tcPr>
          <w:p>
            <w:pPr>
              <w:jc w:val="right"/>
              <w:spacing w:after="0"/>
              <w:rPr>
                <w:sz w:val="20"/>
                <w:szCs w:val="20"/>
                <w:color w:val="auto"/>
              </w:rPr>
            </w:pPr>
            <w:r>
              <w:rPr>
                <w:rFonts w:ascii="Arial" w:cs="Arial" w:eastAsia="Arial" w:hAnsi="Arial"/>
                <w:sz w:val="15"/>
                <w:szCs w:val="15"/>
                <w:color w:val="auto"/>
              </w:rPr>
              <w:t>334,138</w:t>
            </w:r>
          </w:p>
        </w:tc>
        <w:tc>
          <w:tcPr>
            <w:tcW w:w="0" w:type="dxa"/>
            <w:vAlign w:val="bottom"/>
          </w:tcPr>
          <w:p>
            <w:pPr>
              <w:spacing w:after="0"/>
              <w:rPr>
                <w:sz w:val="1"/>
                <w:szCs w:val="1"/>
                <w:color w:val="auto"/>
              </w:rPr>
            </w:pPr>
          </w:p>
        </w:tc>
      </w:tr>
      <w:tr>
        <w:trPr>
          <w:trHeight w:val="327"/>
        </w:trPr>
        <w:tc>
          <w:tcPr>
            <w:tcW w:w="5480" w:type="dxa"/>
            <w:vAlign w:val="bottom"/>
          </w:tcPr>
          <w:p>
            <w:pPr>
              <w:spacing w:after="0"/>
              <w:rPr>
                <w:sz w:val="20"/>
                <w:szCs w:val="20"/>
                <w:color w:val="auto"/>
              </w:rPr>
            </w:pPr>
            <w:r>
              <w:rPr>
                <w:rFonts w:ascii="Arial" w:cs="Arial" w:eastAsia="Arial" w:hAnsi="Arial"/>
                <w:sz w:val="15"/>
                <w:szCs w:val="15"/>
                <w:b w:val="1"/>
                <w:bCs w:val="1"/>
                <w:color w:val="auto"/>
              </w:rPr>
              <w:t>Net basic and dilutive earnings per share attributable to Credicorp’s</w:t>
            </w:r>
          </w:p>
        </w:tc>
        <w:tc>
          <w:tcPr>
            <w:tcW w:w="15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140"/>
              <w:spacing w:after="0"/>
              <w:rPr>
                <w:sz w:val="20"/>
                <w:szCs w:val="20"/>
                <w:color w:val="auto"/>
              </w:rPr>
            </w:pPr>
            <w:r>
              <w:rPr>
                <w:rFonts w:ascii="Arial" w:cs="Arial" w:eastAsia="Arial" w:hAnsi="Arial"/>
                <w:sz w:val="15"/>
                <w:szCs w:val="15"/>
                <w:b w:val="1"/>
                <w:bCs w:val="1"/>
                <w:color w:val="auto"/>
              </w:rPr>
              <w:t>equity holders (in soles):</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480" w:type="dxa"/>
            <w:vAlign w:val="bottom"/>
          </w:tcPr>
          <w:p>
            <w:pPr>
              <w:spacing w:after="0"/>
              <w:rPr>
                <w:sz w:val="20"/>
                <w:szCs w:val="20"/>
                <w:color w:val="auto"/>
              </w:rPr>
            </w:pPr>
            <w:r>
              <w:rPr>
                <w:rFonts w:ascii="Arial" w:cs="Arial" w:eastAsia="Arial" w:hAnsi="Arial"/>
                <w:sz w:val="15"/>
                <w:szCs w:val="15"/>
                <w:color w:val="auto"/>
              </w:rPr>
              <w:t>Basic</w:t>
            </w:r>
          </w:p>
        </w:tc>
        <w:tc>
          <w:tcPr>
            <w:tcW w:w="1520" w:type="dxa"/>
            <w:vAlign w:val="bottom"/>
          </w:tcPr>
          <w:p>
            <w:pPr>
              <w:jc w:val="center"/>
              <w:ind w:right="23"/>
              <w:spacing w:after="0"/>
              <w:rPr>
                <w:sz w:val="20"/>
                <w:szCs w:val="20"/>
                <w:color w:val="auto"/>
              </w:rPr>
            </w:pPr>
            <w:r>
              <w:rPr>
                <w:rFonts w:ascii="Arial" w:cs="Arial" w:eastAsia="Arial" w:hAnsi="Arial"/>
                <w:sz w:val="15"/>
                <w:szCs w:val="15"/>
                <w:color w:val="auto"/>
              </w:rPr>
              <w:t>30</w:t>
            </w:r>
          </w:p>
        </w:tc>
        <w:tc>
          <w:tcPr>
            <w:tcW w:w="1460" w:type="dxa"/>
            <w:vAlign w:val="bottom"/>
            <w:gridSpan w:val="2"/>
          </w:tcPr>
          <w:p>
            <w:pPr>
              <w:jc w:val="right"/>
              <w:ind w:right="100"/>
              <w:spacing w:after="0"/>
              <w:rPr>
                <w:sz w:val="20"/>
                <w:szCs w:val="20"/>
                <w:color w:val="auto"/>
              </w:rPr>
            </w:pPr>
            <w:r>
              <w:rPr>
                <w:rFonts w:ascii="Arial" w:cs="Arial" w:eastAsia="Arial" w:hAnsi="Arial"/>
                <w:sz w:val="15"/>
                <w:szCs w:val="15"/>
                <w:color w:val="auto"/>
              </w:rPr>
              <w:t>58.26</w:t>
            </w: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45.09</w:t>
            </w:r>
          </w:p>
        </w:tc>
        <w:tc>
          <w:tcPr>
            <w:tcW w:w="1360" w:type="dxa"/>
            <w:vAlign w:val="bottom"/>
          </w:tcPr>
          <w:p>
            <w:pPr>
              <w:jc w:val="right"/>
              <w:spacing w:after="0"/>
              <w:rPr>
                <w:sz w:val="20"/>
                <w:szCs w:val="20"/>
                <w:color w:val="auto"/>
              </w:rPr>
            </w:pPr>
            <w:r>
              <w:rPr>
                <w:rFonts w:ascii="Arial" w:cs="Arial" w:eastAsia="Arial" w:hAnsi="Arial"/>
                <w:sz w:val="15"/>
                <w:szCs w:val="15"/>
                <w:color w:val="auto"/>
              </w:rPr>
              <w:t>4.37</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20"/>
                <w:szCs w:val="20"/>
                <w:color w:val="auto"/>
              </w:rPr>
            </w:pPr>
            <w:r>
              <w:rPr>
                <w:rFonts w:ascii="Arial" w:cs="Arial" w:eastAsia="Arial" w:hAnsi="Arial"/>
                <w:sz w:val="15"/>
                <w:szCs w:val="15"/>
                <w:color w:val="auto"/>
              </w:rPr>
              <w:t>Diluted</w:t>
            </w:r>
          </w:p>
        </w:tc>
        <w:tc>
          <w:tcPr>
            <w:tcW w:w="1520" w:type="dxa"/>
            <w:vAlign w:val="bottom"/>
          </w:tcPr>
          <w:p>
            <w:pPr>
              <w:jc w:val="center"/>
              <w:ind w:right="23"/>
              <w:spacing w:after="0"/>
              <w:rPr>
                <w:sz w:val="20"/>
                <w:szCs w:val="20"/>
                <w:color w:val="auto"/>
              </w:rPr>
            </w:pPr>
            <w:r>
              <w:rPr>
                <w:rFonts w:ascii="Arial" w:cs="Arial" w:eastAsia="Arial" w:hAnsi="Arial"/>
                <w:sz w:val="15"/>
                <w:szCs w:val="15"/>
                <w:color w:val="auto"/>
              </w:rPr>
              <w:t>30</w:t>
            </w:r>
          </w:p>
        </w:tc>
        <w:tc>
          <w:tcPr>
            <w:tcW w:w="1460" w:type="dxa"/>
            <w:vAlign w:val="bottom"/>
            <w:gridSpan w:val="2"/>
          </w:tcPr>
          <w:p>
            <w:pPr>
              <w:jc w:val="right"/>
              <w:ind w:right="100"/>
              <w:spacing w:after="0"/>
              <w:rPr>
                <w:sz w:val="20"/>
                <w:szCs w:val="20"/>
                <w:color w:val="auto"/>
              </w:rPr>
            </w:pPr>
            <w:r>
              <w:rPr>
                <w:rFonts w:ascii="Arial" w:cs="Arial" w:eastAsia="Arial" w:hAnsi="Arial"/>
                <w:sz w:val="15"/>
                <w:szCs w:val="15"/>
                <w:color w:val="auto"/>
              </w:rPr>
              <w:t>58.13</w:t>
            </w: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44.99</w:t>
            </w:r>
          </w:p>
        </w:tc>
        <w:tc>
          <w:tcPr>
            <w:tcW w:w="1360" w:type="dxa"/>
            <w:vAlign w:val="bottom"/>
          </w:tcPr>
          <w:p>
            <w:pPr>
              <w:jc w:val="right"/>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540" w:type="dxa"/>
            <w:vAlign w:val="bottom"/>
          </w:tcPr>
          <w:p>
            <w:pPr>
              <w:spacing w:after="0"/>
              <w:rPr>
                <w:sz w:val="20"/>
                <w:szCs w:val="20"/>
                <w:color w:val="auto"/>
              </w:rPr>
            </w:pPr>
            <w:r>
              <w:rPr>
                <w:rFonts w:ascii="Arial" w:cs="Arial" w:eastAsia="Arial" w:hAnsi="Arial"/>
                <w:sz w:val="15"/>
                <w:szCs w:val="15"/>
                <w:color w:val="auto"/>
              </w:rPr>
              <w:t>CONSOLIDATED STATEMENT OF COMPREHENSIVE INCOME</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tcPr>
          <w:p>
            <w:pPr>
              <w:spacing w:after="0"/>
              <w:rPr>
                <w:sz w:val="20"/>
                <w:szCs w:val="20"/>
                <w:color w:val="auto"/>
              </w:rPr>
            </w:pPr>
            <w:r>
              <w:rPr>
                <w:rFonts w:ascii="Arial" w:cs="Arial" w:eastAsia="Arial" w:hAnsi="Arial"/>
                <w:sz w:val="15"/>
                <w:szCs w:val="15"/>
                <w:color w:val="auto"/>
              </w:rPr>
              <w:t>FOR THE YEARS ENDED DECEMBER 31, 2022, 2021 AND 2020</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b w:val="1"/>
                <w:bCs w:val="1"/>
                <w:color w:val="auto"/>
              </w:rPr>
              <w:t>2022</w:t>
            </w:r>
          </w:p>
        </w:tc>
        <w:tc>
          <w:tcPr>
            <w:tcW w:w="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5540" w:type="dxa"/>
            <w:vAlign w:val="bottom"/>
            <w:vMerge w:val="restart"/>
          </w:tcPr>
          <w:p>
            <w:pPr>
              <w:spacing w:after="0"/>
              <w:rPr>
                <w:sz w:val="20"/>
                <w:szCs w:val="20"/>
                <w:color w:val="auto"/>
              </w:rPr>
            </w:pPr>
            <w:r>
              <w:rPr>
                <w:rFonts w:ascii="Arial" w:cs="Arial" w:eastAsia="Arial" w:hAnsi="Arial"/>
                <w:sz w:val="15"/>
                <w:szCs w:val="15"/>
                <w:b w:val="1"/>
                <w:bCs w:val="1"/>
                <w:color w:val="auto"/>
              </w:rPr>
              <w:t>Net profit for the year</w:t>
            </w:r>
          </w:p>
        </w:tc>
        <w:tc>
          <w:tcPr>
            <w:tcW w:w="14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4,745,383</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3,671,029</w:t>
            </w:r>
          </w:p>
        </w:tc>
        <w:tc>
          <w:tcPr>
            <w:tcW w:w="1360" w:type="dxa"/>
            <w:vAlign w:val="bottom"/>
          </w:tcPr>
          <w:p>
            <w:pPr>
              <w:jc w:val="right"/>
              <w:spacing w:after="0"/>
              <w:rPr>
                <w:sz w:val="20"/>
                <w:szCs w:val="20"/>
                <w:color w:val="auto"/>
              </w:rPr>
            </w:pPr>
            <w:r>
              <w:rPr>
                <w:rFonts w:ascii="Arial" w:cs="Arial" w:eastAsia="Arial" w:hAnsi="Arial"/>
                <w:sz w:val="15"/>
                <w:szCs w:val="15"/>
                <w:color w:val="auto"/>
              </w:rPr>
              <w:t>334,138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54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20"/>
                <w:szCs w:val="20"/>
                <w:color w:val="auto"/>
              </w:rPr>
            </w:pPr>
            <w:r>
              <w:rPr>
                <w:rFonts w:ascii="Arial" w:cs="Arial" w:eastAsia="Arial" w:hAnsi="Arial"/>
                <w:sz w:val="15"/>
                <w:szCs w:val="15"/>
                <w:b w:val="1"/>
                <w:bCs w:val="1"/>
                <w:color w:val="auto"/>
              </w:rPr>
              <w:t>Other comprehensive income:</w:t>
            </w: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40"/>
              <w:spacing w:after="0"/>
              <w:rPr>
                <w:sz w:val="20"/>
                <w:szCs w:val="20"/>
                <w:color w:val="auto"/>
              </w:rPr>
            </w:pPr>
            <w:r>
              <w:rPr>
                <w:rFonts w:ascii="Arial" w:cs="Arial" w:eastAsia="Arial" w:hAnsi="Arial"/>
                <w:sz w:val="15"/>
                <w:szCs w:val="15"/>
                <w:b w:val="1"/>
                <w:bCs w:val="1"/>
                <w:color w:val="auto"/>
              </w:rPr>
              <w:t>To be reclassified to profit or loss in subsequent periods:</w:t>
            </w: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540" w:type="dxa"/>
            <w:vAlign w:val="bottom"/>
          </w:tcPr>
          <w:p>
            <w:pPr>
              <w:ind w:left="140"/>
              <w:spacing w:after="0"/>
              <w:rPr>
                <w:sz w:val="20"/>
                <w:szCs w:val="20"/>
                <w:color w:val="auto"/>
              </w:rPr>
            </w:pPr>
            <w:r>
              <w:rPr>
                <w:rFonts w:ascii="Arial" w:cs="Arial" w:eastAsia="Arial" w:hAnsi="Arial"/>
                <w:sz w:val="15"/>
                <w:szCs w:val="15"/>
                <w:color w:val="auto"/>
              </w:rPr>
              <w:t>Net (loss) gain on investments at fair value through other comprehensive</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tcPr>
          <w:p>
            <w:pPr>
              <w:ind w:left="140"/>
              <w:spacing w:after="0"/>
              <w:rPr>
                <w:sz w:val="20"/>
                <w:szCs w:val="20"/>
                <w:color w:val="auto"/>
              </w:rPr>
            </w:pPr>
            <w:r>
              <w:rPr>
                <w:rFonts w:ascii="Arial" w:cs="Arial" w:eastAsia="Arial" w:hAnsi="Arial"/>
                <w:sz w:val="15"/>
                <w:szCs w:val="15"/>
                <w:color w:val="auto"/>
              </w:rPr>
              <w:t>income</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(1,622,912)</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(2,491,907)</w:t>
            </w:r>
          </w:p>
        </w:tc>
        <w:tc>
          <w:tcPr>
            <w:tcW w:w="1360" w:type="dxa"/>
            <w:vAlign w:val="bottom"/>
          </w:tcPr>
          <w:p>
            <w:pPr>
              <w:jc w:val="right"/>
              <w:spacing w:after="0"/>
              <w:rPr>
                <w:sz w:val="20"/>
                <w:szCs w:val="20"/>
                <w:color w:val="auto"/>
              </w:rPr>
            </w:pPr>
            <w:r>
              <w:rPr>
                <w:rFonts w:ascii="Arial" w:cs="Arial" w:eastAsia="Arial" w:hAnsi="Arial"/>
                <w:sz w:val="15"/>
                <w:szCs w:val="15"/>
                <w:color w:val="auto"/>
              </w:rPr>
              <w:t>870,218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540" w:type="dxa"/>
            <w:vAlign w:val="bottom"/>
          </w:tcPr>
          <w:p>
            <w:pPr>
              <w:ind w:left="140"/>
              <w:spacing w:after="0"/>
              <w:rPr>
                <w:sz w:val="20"/>
                <w:szCs w:val="20"/>
                <w:color w:val="auto"/>
              </w:rPr>
            </w:pPr>
            <w:r>
              <w:rPr>
                <w:rFonts w:ascii="Arial" w:cs="Arial" w:eastAsia="Arial" w:hAnsi="Arial"/>
                <w:sz w:val="15"/>
                <w:szCs w:val="15"/>
                <w:color w:val="auto"/>
              </w:rPr>
              <w:t>Income tax</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82,459</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52,086</w:t>
            </w:r>
          </w:p>
        </w:tc>
        <w:tc>
          <w:tcPr>
            <w:tcW w:w="1360" w:type="dxa"/>
            <w:vAlign w:val="bottom"/>
          </w:tcPr>
          <w:p>
            <w:pPr>
              <w:jc w:val="right"/>
              <w:spacing w:after="0"/>
              <w:rPr>
                <w:sz w:val="20"/>
                <w:szCs w:val="20"/>
                <w:color w:val="auto"/>
              </w:rPr>
            </w:pPr>
            <w:r>
              <w:rPr>
                <w:rFonts w:ascii="Arial" w:cs="Arial" w:eastAsia="Arial" w:hAnsi="Arial"/>
                <w:sz w:val="15"/>
                <w:szCs w:val="15"/>
                <w:color w:val="auto"/>
              </w:rPr>
              <w:t>(11,717)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(1,540,453)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(2,439,821)</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858,501</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5540" w:type="dxa"/>
            <w:vAlign w:val="bottom"/>
          </w:tcPr>
          <w:p>
            <w:pPr>
              <w:ind w:left="140"/>
              <w:spacing w:after="0"/>
              <w:rPr>
                <w:sz w:val="20"/>
                <w:szCs w:val="20"/>
                <w:color w:val="auto"/>
              </w:rPr>
            </w:pPr>
            <w:r>
              <w:rPr>
                <w:rFonts w:ascii="Arial" w:cs="Arial" w:eastAsia="Arial" w:hAnsi="Arial"/>
                <w:sz w:val="15"/>
                <w:szCs w:val="15"/>
                <w:color w:val="auto"/>
              </w:rPr>
              <w:t>Net movement of cash flow hedge</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1,246</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58,586</w:t>
            </w:r>
          </w:p>
        </w:tc>
        <w:tc>
          <w:tcPr>
            <w:tcW w:w="1360" w:type="dxa"/>
            <w:vAlign w:val="bottom"/>
          </w:tcPr>
          <w:p>
            <w:pPr>
              <w:jc w:val="right"/>
              <w:spacing w:after="0"/>
              <w:rPr>
                <w:sz w:val="20"/>
                <w:szCs w:val="20"/>
                <w:color w:val="auto"/>
              </w:rPr>
            </w:pPr>
            <w:r>
              <w:rPr>
                <w:rFonts w:ascii="Arial" w:cs="Arial" w:eastAsia="Arial" w:hAnsi="Arial"/>
                <w:sz w:val="15"/>
                <w:szCs w:val="15"/>
                <w:color w:val="auto"/>
              </w:rPr>
              <w:t>(15,183)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tcPr>
          <w:p>
            <w:pPr>
              <w:ind w:left="140"/>
              <w:spacing w:after="0"/>
              <w:rPr>
                <w:sz w:val="20"/>
                <w:szCs w:val="20"/>
                <w:color w:val="auto"/>
              </w:rPr>
            </w:pPr>
            <w:r>
              <w:rPr>
                <w:rFonts w:ascii="Arial" w:cs="Arial" w:eastAsia="Arial" w:hAnsi="Arial"/>
                <w:sz w:val="15"/>
                <w:szCs w:val="15"/>
                <w:color w:val="auto"/>
              </w:rPr>
              <w:t>Income tax</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(158)</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(16,834)</w:t>
            </w:r>
          </w:p>
        </w:tc>
        <w:tc>
          <w:tcPr>
            <w:tcW w:w="1360" w:type="dxa"/>
            <w:vAlign w:val="bottom"/>
          </w:tcPr>
          <w:p>
            <w:pPr>
              <w:jc w:val="right"/>
              <w:spacing w:after="0"/>
              <w:rPr>
                <w:sz w:val="20"/>
                <w:szCs w:val="20"/>
                <w:color w:val="auto"/>
              </w:rPr>
            </w:pPr>
            <w:r>
              <w:rPr>
                <w:rFonts w:ascii="Arial" w:cs="Arial" w:eastAsia="Arial" w:hAnsi="Arial"/>
                <w:sz w:val="15"/>
                <w:szCs w:val="15"/>
                <w:color w:val="auto"/>
              </w:rPr>
              <w:t>3,933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41,752</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(11,250)</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5540" w:type="dxa"/>
            <w:vAlign w:val="bottom"/>
          </w:tcPr>
          <w:p>
            <w:pPr>
              <w:ind w:left="140"/>
              <w:spacing w:after="0"/>
              <w:rPr>
                <w:sz w:val="20"/>
                <w:szCs w:val="20"/>
                <w:color w:val="auto"/>
              </w:rPr>
            </w:pPr>
            <w:r>
              <w:rPr>
                <w:rFonts w:ascii="Arial" w:cs="Arial" w:eastAsia="Arial" w:hAnsi="Arial"/>
                <w:sz w:val="15"/>
                <w:szCs w:val="15"/>
                <w:color w:val="auto"/>
              </w:rPr>
              <w:t>Other reserves</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938,442</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769,291</w:t>
            </w:r>
          </w:p>
        </w:tc>
        <w:tc>
          <w:tcPr>
            <w:tcW w:w="1360" w:type="dxa"/>
            <w:vAlign w:val="bottom"/>
          </w:tcPr>
          <w:p>
            <w:pPr>
              <w:jc w:val="right"/>
              <w:spacing w:after="0"/>
              <w:rPr>
                <w:sz w:val="20"/>
                <w:szCs w:val="20"/>
                <w:color w:val="auto"/>
              </w:rPr>
            </w:pPr>
            <w:r>
              <w:rPr>
                <w:rFonts w:ascii="Arial" w:cs="Arial" w:eastAsia="Arial" w:hAnsi="Arial"/>
                <w:sz w:val="15"/>
                <w:szCs w:val="15"/>
                <w:color w:val="auto"/>
              </w:rPr>
              <w:t>(263,820)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tcPr>
          <w:p>
            <w:pPr>
              <w:ind w:left="140"/>
              <w:spacing w:after="0"/>
              <w:rPr>
                <w:sz w:val="20"/>
                <w:szCs w:val="20"/>
                <w:color w:val="auto"/>
              </w:rPr>
            </w:pPr>
            <w:r>
              <w:rPr>
                <w:rFonts w:ascii="Arial" w:cs="Arial" w:eastAsia="Arial" w:hAnsi="Arial"/>
                <w:sz w:val="15"/>
                <w:szCs w:val="15"/>
                <w:color w:val="auto"/>
              </w:rPr>
              <w:t>Income tax</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(26,846)</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26,846</w:t>
            </w: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938,442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742,445</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(236,974)</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5540" w:type="dxa"/>
            <w:vAlign w:val="bottom"/>
          </w:tcPr>
          <w:p>
            <w:pPr>
              <w:ind w:left="140"/>
              <w:spacing w:after="0"/>
              <w:rPr>
                <w:sz w:val="20"/>
                <w:szCs w:val="20"/>
                <w:color w:val="auto"/>
              </w:rPr>
            </w:pPr>
            <w:r>
              <w:rPr>
                <w:rFonts w:ascii="Arial" w:cs="Arial" w:eastAsia="Arial" w:hAnsi="Arial"/>
                <w:sz w:val="15"/>
                <w:szCs w:val="15"/>
                <w:color w:val="auto"/>
              </w:rPr>
              <w:t>Exchange differences on translation of foreign operations</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(296,402)</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161,168</w:t>
            </w:r>
          </w:p>
        </w:tc>
        <w:tc>
          <w:tcPr>
            <w:tcW w:w="1360" w:type="dxa"/>
            <w:vAlign w:val="bottom"/>
          </w:tcPr>
          <w:p>
            <w:pPr>
              <w:jc w:val="right"/>
              <w:spacing w:after="0"/>
              <w:rPr>
                <w:sz w:val="20"/>
                <w:szCs w:val="20"/>
                <w:color w:val="auto"/>
              </w:rPr>
            </w:pPr>
            <w:r>
              <w:rPr>
                <w:rFonts w:ascii="Arial" w:cs="Arial" w:eastAsia="Arial" w:hAnsi="Arial"/>
                <w:sz w:val="15"/>
                <w:szCs w:val="15"/>
                <w:color w:val="auto"/>
              </w:rPr>
              <w:t>257,052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tcPr>
          <w:p>
            <w:pPr>
              <w:ind w:left="140"/>
              <w:spacing w:after="0"/>
              <w:rPr>
                <w:sz w:val="20"/>
                <w:szCs w:val="20"/>
                <w:color w:val="auto"/>
              </w:rPr>
            </w:pPr>
            <w:r>
              <w:rPr>
                <w:rFonts w:ascii="Arial" w:cs="Arial" w:eastAsia="Arial" w:hAnsi="Arial"/>
                <w:sz w:val="15"/>
                <w:szCs w:val="15"/>
                <w:color w:val="auto"/>
              </w:rPr>
              <w:t>Net movement in hedges of net investments in foreign businesses</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39,587</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(57,319)</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(256,815)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103,849</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255,833</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5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Total</w:t>
            </w:r>
          </w:p>
        </w:tc>
        <w:tc>
          <w:tcPr>
            <w:tcW w:w="146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1500" w:type="dxa"/>
            <w:vAlign w:val="bottom"/>
            <w:gridSpan w:val="3"/>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(857,738)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(1,551,775)</w:t>
            </w:r>
          </w:p>
        </w:tc>
        <w:tc>
          <w:tcPr>
            <w:tcW w:w="10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866,110</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5540" w:type="dxa"/>
            <w:vAlign w:val="bottom"/>
          </w:tcPr>
          <w:p>
            <w:pPr>
              <w:ind w:left="140"/>
              <w:spacing w:after="0"/>
              <w:rPr>
                <w:sz w:val="20"/>
                <w:szCs w:val="20"/>
                <w:color w:val="auto"/>
              </w:rPr>
            </w:pPr>
            <w:r>
              <w:rPr>
                <w:rFonts w:ascii="Arial" w:cs="Arial" w:eastAsia="Arial" w:hAnsi="Arial"/>
                <w:sz w:val="15"/>
                <w:szCs w:val="15"/>
                <w:b w:val="1"/>
                <w:bCs w:val="1"/>
                <w:color w:val="auto"/>
              </w:rPr>
              <w:t>Not to be reclassified to profit or loss in subsequent periods:</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540" w:type="dxa"/>
            <w:vAlign w:val="bottom"/>
          </w:tcPr>
          <w:p>
            <w:pPr>
              <w:ind w:left="140"/>
              <w:spacing w:after="0"/>
              <w:rPr>
                <w:sz w:val="20"/>
                <w:szCs w:val="20"/>
                <w:color w:val="auto"/>
              </w:rPr>
            </w:pPr>
            <w:r>
              <w:rPr>
                <w:rFonts w:ascii="Arial" w:cs="Arial" w:eastAsia="Arial" w:hAnsi="Arial"/>
                <w:sz w:val="15"/>
                <w:szCs w:val="15"/>
                <w:color w:val="auto"/>
              </w:rPr>
              <w:t>Net loss on equity instruments designated at fair value through other</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tcPr>
          <w:p>
            <w:pPr>
              <w:ind w:left="140"/>
              <w:spacing w:after="0"/>
              <w:rPr>
                <w:sz w:val="20"/>
                <w:szCs w:val="20"/>
                <w:color w:val="auto"/>
              </w:rPr>
            </w:pPr>
            <w:r>
              <w:rPr>
                <w:rFonts w:ascii="Arial" w:cs="Arial" w:eastAsia="Arial" w:hAnsi="Arial"/>
                <w:sz w:val="15"/>
                <w:szCs w:val="15"/>
                <w:color w:val="auto"/>
              </w:rPr>
              <w:t>comprehensive income</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(35,384)</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(113,686)</w:t>
            </w:r>
          </w:p>
        </w:tc>
        <w:tc>
          <w:tcPr>
            <w:tcW w:w="1360" w:type="dxa"/>
            <w:vAlign w:val="bottom"/>
          </w:tcPr>
          <w:p>
            <w:pPr>
              <w:jc w:val="right"/>
              <w:spacing w:after="0"/>
              <w:rPr>
                <w:sz w:val="20"/>
                <w:szCs w:val="20"/>
                <w:color w:val="auto"/>
              </w:rPr>
            </w:pPr>
            <w:r>
              <w:rPr>
                <w:rFonts w:ascii="Arial" w:cs="Arial" w:eastAsia="Arial" w:hAnsi="Arial"/>
                <w:sz w:val="15"/>
                <w:szCs w:val="15"/>
                <w:color w:val="auto"/>
              </w:rPr>
              <w:t>(82,586)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540" w:type="dxa"/>
            <w:vAlign w:val="bottom"/>
          </w:tcPr>
          <w:p>
            <w:pPr>
              <w:ind w:left="140"/>
              <w:spacing w:after="0"/>
              <w:rPr>
                <w:sz w:val="20"/>
                <w:szCs w:val="20"/>
                <w:color w:val="auto"/>
              </w:rPr>
            </w:pPr>
            <w:r>
              <w:rPr>
                <w:rFonts w:ascii="Arial" w:cs="Arial" w:eastAsia="Arial" w:hAnsi="Arial"/>
                <w:sz w:val="15"/>
                <w:szCs w:val="15"/>
                <w:color w:val="auto"/>
              </w:rPr>
              <w:t>Income tax</w:t>
            </w:r>
          </w:p>
        </w:tc>
        <w:tc>
          <w:tcPr>
            <w:tcW w:w="1460" w:type="dxa"/>
            <w:vAlign w:val="bottom"/>
          </w:tcPr>
          <w:p>
            <w:pPr>
              <w:ind w:left="480"/>
              <w:spacing w:after="0"/>
              <w:rPr>
                <w:sz w:val="20"/>
                <w:szCs w:val="20"/>
                <w:color w:val="auto"/>
              </w:rPr>
            </w:pPr>
            <w:r>
              <w:rPr>
                <w:rFonts w:ascii="Arial" w:cs="Arial" w:eastAsia="Arial" w:hAnsi="Arial"/>
                <w:sz w:val="15"/>
                <w:szCs w:val="15"/>
                <w:color w:val="auto"/>
              </w:rPr>
              <w:t>18(d)</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2,109</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5,402</w:t>
            </w:r>
          </w:p>
        </w:tc>
        <w:tc>
          <w:tcPr>
            <w:tcW w:w="1360" w:type="dxa"/>
            <w:vAlign w:val="bottom"/>
          </w:tcPr>
          <w:p>
            <w:pPr>
              <w:jc w:val="right"/>
              <w:spacing w:after="0"/>
              <w:rPr>
                <w:sz w:val="20"/>
                <w:szCs w:val="20"/>
                <w:color w:val="auto"/>
              </w:rPr>
            </w:pPr>
            <w:r>
              <w:rPr>
                <w:rFonts w:ascii="Arial" w:cs="Arial" w:eastAsia="Arial" w:hAnsi="Arial"/>
                <w:sz w:val="15"/>
                <w:szCs w:val="15"/>
                <w:color w:val="auto"/>
              </w:rPr>
              <w:t>3,414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(33,275)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(108,284)</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(79,172)</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5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Total</w:t>
            </w:r>
          </w:p>
        </w:tc>
        <w:tc>
          <w:tcPr>
            <w:tcW w:w="146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1500" w:type="dxa"/>
            <w:vAlign w:val="bottom"/>
            <w:gridSpan w:val="3"/>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(33,275)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(108,284)</w:t>
            </w:r>
          </w:p>
        </w:tc>
        <w:tc>
          <w:tcPr>
            <w:tcW w:w="10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(79,172)</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40" w:type="dxa"/>
            <w:vAlign w:val="bottom"/>
            <w:vMerge w:val="restart"/>
          </w:tcPr>
          <w:p>
            <w:pPr>
              <w:spacing w:after="0"/>
              <w:rPr>
                <w:sz w:val="20"/>
                <w:szCs w:val="20"/>
                <w:color w:val="auto"/>
              </w:rPr>
            </w:pPr>
            <w:r>
              <w:rPr>
                <w:rFonts w:ascii="Arial" w:cs="Arial" w:eastAsia="Arial" w:hAnsi="Arial"/>
                <w:sz w:val="15"/>
                <w:szCs w:val="15"/>
                <w:b w:val="1"/>
                <w:bCs w:val="1"/>
                <w:color w:val="auto"/>
              </w:rPr>
              <w:t>Total other comprehensive income</w:t>
            </w:r>
          </w:p>
        </w:tc>
        <w:tc>
          <w:tcPr>
            <w:tcW w:w="1460" w:type="dxa"/>
            <w:vAlign w:val="bottom"/>
            <w:vMerge w:val="restart"/>
          </w:tcPr>
          <w:p>
            <w:pPr>
              <w:ind w:left="480"/>
              <w:spacing w:after="0"/>
              <w:rPr>
                <w:sz w:val="20"/>
                <w:szCs w:val="20"/>
                <w:color w:val="auto"/>
              </w:rPr>
            </w:pPr>
            <w:r>
              <w:rPr>
                <w:rFonts w:ascii="Arial" w:cs="Arial" w:eastAsia="Arial" w:hAnsi="Arial"/>
                <w:sz w:val="15"/>
                <w:szCs w:val="15"/>
                <w:color w:val="auto"/>
              </w:rPr>
              <w:t>18(d)</w:t>
            </w:r>
          </w:p>
        </w:tc>
        <w:tc>
          <w:tcPr>
            <w:tcW w:w="1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3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(891,013)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(1,660,059)</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786,938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5540" w:type="dxa"/>
            <w:vAlign w:val="bottom"/>
          </w:tcPr>
          <w:p>
            <w:pPr>
              <w:spacing w:after="0"/>
              <w:rPr>
                <w:sz w:val="20"/>
                <w:szCs w:val="20"/>
                <w:color w:val="auto"/>
              </w:rPr>
            </w:pPr>
            <w:r>
              <w:rPr>
                <w:rFonts w:ascii="Arial" w:cs="Arial" w:eastAsia="Arial" w:hAnsi="Arial"/>
                <w:sz w:val="15"/>
                <w:szCs w:val="15"/>
                <w:b w:val="1"/>
                <w:bCs w:val="1"/>
                <w:color w:val="auto"/>
              </w:rPr>
              <w:t>Total comprehensive income for the year, net of income tax</w:t>
            </w:r>
          </w:p>
        </w:tc>
        <w:tc>
          <w:tcPr>
            <w:tcW w:w="14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3,854,375</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2,011,770</w:t>
            </w:r>
          </w:p>
        </w:tc>
        <w:tc>
          <w:tcPr>
            <w:tcW w:w="1360" w:type="dxa"/>
            <w:vAlign w:val="bottom"/>
          </w:tcPr>
          <w:p>
            <w:pPr>
              <w:jc w:val="right"/>
              <w:spacing w:after="0"/>
              <w:rPr>
                <w:sz w:val="20"/>
                <w:szCs w:val="20"/>
                <w:color w:val="auto"/>
              </w:rPr>
            </w:pPr>
            <w:r>
              <w:rPr>
                <w:rFonts w:ascii="Arial" w:cs="Arial" w:eastAsia="Arial" w:hAnsi="Arial"/>
                <w:sz w:val="15"/>
                <w:szCs w:val="15"/>
                <w:color w:val="auto"/>
              </w:rPr>
              <w:t>1,121,076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540" w:type="dxa"/>
            <w:vAlign w:val="bottom"/>
          </w:tcPr>
          <w:p>
            <w:pPr>
              <w:spacing w:after="0"/>
              <w:rPr>
                <w:sz w:val="20"/>
                <w:szCs w:val="20"/>
                <w:color w:val="auto"/>
              </w:rPr>
            </w:pPr>
            <w:r>
              <w:rPr>
                <w:rFonts w:ascii="Arial" w:cs="Arial" w:eastAsia="Arial" w:hAnsi="Arial"/>
                <w:sz w:val="15"/>
                <w:szCs w:val="15"/>
                <w:b w:val="1"/>
                <w:bCs w:val="1"/>
                <w:color w:val="auto"/>
              </w:rPr>
              <w:t>Attributable to:</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20"/>
                <w:szCs w:val="20"/>
                <w:color w:val="auto"/>
              </w:rPr>
            </w:pPr>
            <w:r>
              <w:rPr>
                <w:rFonts w:ascii="Arial" w:cs="Arial" w:eastAsia="Arial" w:hAnsi="Arial"/>
                <w:sz w:val="15"/>
                <w:szCs w:val="15"/>
                <w:color w:val="auto"/>
              </w:rPr>
              <w:t>Credicorp’s equity holders</w:t>
            </w:r>
          </w:p>
        </w:tc>
        <w:tc>
          <w:tcPr>
            <w:tcW w:w="146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3,747,078</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1,954,586</w:t>
            </w:r>
          </w:p>
        </w:tc>
        <w:tc>
          <w:tcPr>
            <w:tcW w:w="1360" w:type="dxa"/>
            <w:vAlign w:val="bottom"/>
          </w:tcPr>
          <w:p>
            <w:pPr>
              <w:jc w:val="right"/>
              <w:spacing w:after="0"/>
              <w:rPr>
                <w:sz w:val="20"/>
                <w:szCs w:val="20"/>
                <w:color w:val="auto"/>
              </w:rPr>
            </w:pPr>
            <w:r>
              <w:rPr>
                <w:rFonts w:ascii="Arial" w:cs="Arial" w:eastAsia="Arial" w:hAnsi="Arial"/>
                <w:sz w:val="15"/>
                <w:szCs w:val="15"/>
                <w:color w:val="auto"/>
              </w:rPr>
              <w:t>1,124.603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40" w:type="dxa"/>
            <w:vAlign w:val="bottom"/>
          </w:tcPr>
          <w:p>
            <w:pPr>
              <w:spacing w:after="0"/>
              <w:rPr>
                <w:sz w:val="20"/>
                <w:szCs w:val="20"/>
                <w:color w:val="auto"/>
              </w:rPr>
            </w:pPr>
            <w:r>
              <w:rPr>
                <w:rFonts w:ascii="Arial" w:cs="Arial" w:eastAsia="Arial" w:hAnsi="Arial"/>
                <w:sz w:val="15"/>
                <w:szCs w:val="15"/>
                <w:color w:val="auto"/>
              </w:rPr>
              <w:t>Non-controlling interest</w:t>
            </w:r>
          </w:p>
        </w:tc>
        <w:tc>
          <w:tcPr>
            <w:tcW w:w="146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107,297</w:t>
            </w:r>
          </w:p>
        </w:tc>
        <w:tc>
          <w:tcPr>
            <w:tcW w:w="1500" w:type="dxa"/>
            <w:vAlign w:val="bottom"/>
            <w:gridSpan w:val="3"/>
          </w:tcPr>
          <w:p>
            <w:pPr>
              <w:jc w:val="right"/>
              <w:ind w:right="100"/>
              <w:spacing w:after="0"/>
              <w:rPr>
                <w:sz w:val="20"/>
                <w:szCs w:val="20"/>
                <w:color w:val="auto"/>
              </w:rPr>
            </w:pPr>
            <w:r>
              <w:rPr>
                <w:rFonts w:ascii="Arial" w:cs="Arial" w:eastAsia="Arial" w:hAnsi="Arial"/>
                <w:sz w:val="15"/>
                <w:szCs w:val="15"/>
                <w:color w:val="auto"/>
              </w:rPr>
              <w:t>57,184</w:t>
            </w: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(3,527)</w:t>
            </w:r>
          </w:p>
        </w:tc>
        <w:tc>
          <w:tcPr>
            <w:tcW w:w="0" w:type="dxa"/>
            <w:vAlign w:val="bottom"/>
          </w:tcPr>
          <w:p>
            <w:pPr>
              <w:spacing w:after="0"/>
              <w:rPr>
                <w:sz w:val="1"/>
                <w:szCs w:val="1"/>
                <w:color w:val="auto"/>
              </w:rPr>
            </w:pPr>
          </w:p>
        </w:tc>
      </w:tr>
      <w:tr>
        <w:trPr>
          <w:trHeight w:val="164"/>
        </w:trPr>
        <w:tc>
          <w:tcPr>
            <w:tcW w:w="5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3,854,375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2,011,770</w:t>
            </w:r>
          </w:p>
        </w:tc>
        <w:tc>
          <w:tcPr>
            <w:tcW w:w="10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1,121,076</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59" w:name="page60"/>
    <w:bookmarkEnd w:id="59"/>
    <w:p>
      <w:pPr>
        <w:spacing w:after="0"/>
        <w:rPr>
          <w:sz w:val="20"/>
          <w:szCs w:val="20"/>
          <w:color w:val="auto"/>
        </w:rPr>
      </w:pPr>
      <w:r>
        <w:rPr>
          <w:rFonts w:ascii="Arial" w:cs="Arial" w:eastAsia="Arial" w:hAnsi="Arial"/>
          <w:sz w:val="28"/>
          <w:szCs w:val="28"/>
          <w:b w:val="1"/>
          <w:bCs w:val="1"/>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5264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Economic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5264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2-2, 2-6</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accordance with the stipulations in Circular 090-2017-SMV, companies that list on the Lima Stock Exchange must produce an Annual Report according to the guidelines set forth in the “Manual to Prepare Annual Reports, Quarterly Reports and other Informative Documents” and in the “Common Rules to Determine the Contents of Informative Documents.” In compliance with the requirements established by the Superintendence of the Securities Market and with those set forth in the aforementioned rules, the following section of our Annual Report contains, among other elements, a brief description of each of the subsidiaries in the Credicorp economic group.</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Credicorp Ltd. (“Credicorp”)</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Credicorp is a holding company and the main shareholder of Grupo Crédito S.A., Atlantic Security Holding Corporation, Pacífico Compania de Seguros y Reaseguros S.A., Credicorp Capital Ltd. and CCR Inc. Founded in Bermuda in 1995, Credicorp’s principal activity is to manage coordinately the design and execution of its subsidiaries’ business plans to implement universal banking and financial services in Peru while selectively diversifying at the regional level. Credicorp conducts business exclusively through its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 Companies of Credicorp</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Grupo Credito S.A.</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100% subsidiary of Credicorp. The company's purpose is to engage in all types of commercial activities, investments in securities, buying and selling of stocks and securities, and business in general. Currently, it owns 97.74% of BCP's shares and subsidiaries, 99.99% of PRIMA AFP, 99.99% of Credicorp Peru S.A.C., 99.90% of Grupo Crédito Inversiones S.A., 99.99% of Soluciones en Procesamiento Peru S.A. - Servicorp, 99.91% of Inversiones 2020 S.A., 98.15% of Inversiones Credicorp Bolivia S.A., which in turn has 95.84% of Banco de Crédito de Bolivia S.A., 99.93% of Credifondo Sociedad Administradora de Fondos de Inversión S.A. Bolivia and 99.80% of Credibolsa S.A. Agencia de Bolsa - Bolivia. Furthermore, Grupo Crédito S.A. owns 100.00% of Compañía Incubadora de Soluciones Móviles S.A., 85% of Fondo de Inversión Independencia II, 100.00% of Tenpo S.P.A. (formerly Krealo S.P.A.) and subsidiaries, 100% of Krealo Management S.A., 100% of Ventive Servicios De Consultoría España, S.L. and 100% of Yape Market S.A.C.</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Atlantic Security Holding Corporation</w:t>
      </w:r>
    </w:p>
    <w:p>
      <w:pPr>
        <w:spacing w:after="0" w:line="17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This company was incorporated in the Cayman Islands. It is a wholly owned subsidiary of Credicorp. Atlantic Security Holding Corporation owns 100% of the shares of ASB Bank Corp. (formerly Atlantic Security Bank - ASB), Atlantic Security Int. Financial Services Inc., Atlantic Security Private Equity General Partner, Atlantic Private Equity Investment Advisor and 96% of ESIMSA.</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CCR Inc.</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vehicle was established in Bermuda to manage BCP’s securitization transactions in the international market, which are guaranteed by future collections on payment orders for international fund transfers in US Dollars that are received by the foreign banks associated with the Society for Worldwide Interbank Financial Telecommunications (SWIFT). This subsidiary is 100% owned by Credicorp.</w:t>
      </w:r>
    </w:p>
    <w:p>
      <w:pPr>
        <w:spacing w:after="0" w:line="337"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526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sectPr>
      </w:pPr>
    </w:p>
    <w:bookmarkStart w:id="60" w:name="page61"/>
    <w:bookmarkEnd w:id="60"/>
    <w:p>
      <w:pPr>
        <w:spacing w:after="0"/>
        <w:rPr>
          <w:sz w:val="20"/>
          <w:szCs w:val="20"/>
          <w:color w:val="auto"/>
        </w:rPr>
      </w:pPr>
      <w:r>
        <w:rPr>
          <w:rFonts w:ascii="Arial" w:cs="Arial" w:eastAsia="Arial" w:hAnsi="Arial"/>
          <w:sz w:val="15"/>
          <w:szCs w:val="15"/>
          <w:u w:val="single" w:color="auto"/>
          <w:color w:val="auto"/>
        </w:rPr>
        <w:t>Credicorp Capital Ltd.</w:t>
      </w:r>
    </w:p>
    <w:p>
      <w:pPr>
        <w:spacing w:after="0" w:line="17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Credicorp Capital Ltd is 100% subsidiary of Credicorp, was chartered in Bermuda in 2012. Credicorp Capital Ltd holds 99.99% of the shares of Credicorp Capital Holding Chile S.A.; 100% of Credicorp Capital Holding Colombia S.A.S.; 100% of Credicorp Capital UK Limited; 99.99% of Credicorp Capital Holding Peru S.A.A.; and 100% of Credicorp Capital USA Inc. and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Pacifico Compania de Seguros y Reaseguros S.A.</w:t>
      </w:r>
    </w:p>
    <w:p>
      <w:pPr>
        <w:spacing w:after="0" w:line="17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On August 1, 2017, the merger by absorption between El Pacífico Vida Compañía de Seguros y Reaseguros and El Pacifico Peruano Suiza Compania de Seguros y Reaseguros ("PPS") was carried out, forming the new entity Pacifico Compania de Seguros y Reaseguros S.A., of which Credicorp Ltd. owns 65.20% and Grupo Credito participates with 33.66%.</w:t>
      </w:r>
    </w:p>
    <w:p>
      <w:pPr>
        <w:spacing w:after="0" w:line="155"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Pacífico Peruano Suiza Companía de Seguros y Reaseguros ("PPS") was an insurance company that arose from the merger of El Pacífico Compania de Seguros y Reaseguros and Peruano Suiza Compania de Seguros y Reaseguros, companies that had a presence in the Peruvian insurance market for more than 45 years. El Pacifico Vida Compania de Seguros y Reaseguros began operations on January 1, 1997 and had positioned itself as a specialist in this type of insurance.</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1999, PPS established a new subsidiary called Pacífico S.A. Entidad Prestadora de Salud (Pacifico Salud "EPS"), owning 99.99% of the shares. The main activity of Pacífico Salud comprises the provision of health prevention and recovery services as an alternative to social security. In January 2015, a Joint Venture was established with Banmedica, of which Pacifico Compania de Seguros y Reaseguros S.A. owns 50%, so Pacifico EPS became an associate.</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Pacifico Compania de Seguros y Reaseguros S.A. directly owns 48% of Crediseguro S.A. Seguros Personales and 48.04% of Crediseguro S.A. Seguros Generales, both companies domiciled in Bolivia. Likewise, it owns 100% of Pacifico Asiste S.A.C.</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 Companies of the Grupo Crédito S.A.</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Banco de Credito del Peru – BCP</w:t>
      </w:r>
    </w:p>
    <w:p>
      <w:pPr>
        <w:spacing w:after="0" w:line="173" w:lineRule="exact"/>
        <w:rPr>
          <w:sz w:val="20"/>
          <w:szCs w:val="20"/>
          <w:color w:val="auto"/>
        </w:rPr>
      </w:pPr>
    </w:p>
    <w:p>
      <w:pPr>
        <w:jc w:val="both"/>
        <w:ind w:right="20" w:firstLine="1"/>
        <w:spacing w:after="0" w:line="249" w:lineRule="auto"/>
        <w:rPr>
          <w:sz w:val="20"/>
          <w:szCs w:val="20"/>
          <w:color w:val="auto"/>
        </w:rPr>
      </w:pPr>
      <w:r>
        <w:rPr>
          <w:rFonts w:ascii="Arial" w:cs="Arial" w:eastAsia="Arial" w:hAnsi="Arial"/>
          <w:sz w:val="15"/>
          <w:szCs w:val="15"/>
          <w:color w:val="auto"/>
        </w:rPr>
        <w:t>BCP is a commercial bank. It was established in Peru in 1889. The Bank´s operations are currently governed by the General Law of the Financial and Insurance Systems and Organic Systems of the SBS. Grupo Credito is the main shareholder; it owns 97.74% of the shares directly. BCP is the largest institution in the Peruvian financial system and is the leading financial service provider.</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Prima AFP</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This company is a private pension fund manager and is 99.99% owned by Grupo Credito S.A. It was founded in 2005. In 2006, Prima AFP acquired 100% of the shares of AFP Union Vida, another pension fund manager, through a merger.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Peru S.A.C. (ex – Cobranzas y Recuperos S.A.C)</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Credicorp Peru engages in all kinds of commercial activities, investments in securities, buying and selling shares and securities as well as new business development. The company also engages in extra-judicial and judicial collections for all types of credit instruments, securities or overdue loan portfolios that are either acquired or received from affiliated companies or third parties. This company can also engage in activities to capture, process and digitalize information, develop databases, process securities, evaluate different requests that are credit or non-credit related, engage in collections services, telemarketing, advisory services, administrative services and sales of advertising in addition to all services that are complementary to the aforementioned. Additionally, the company can buy, sell, legally title and register properties that are adjudicated through collections processes. Grupo Crédito holds 99.99% of the shares in this company.</w:t>
      </w:r>
    </w:p>
    <w:p>
      <w:pPr>
        <w:spacing w:after="0" w:line="340"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1" w:name="page62"/>
    <w:bookmarkEnd w:id="61"/>
    <w:p>
      <w:pPr>
        <w:spacing w:after="0"/>
        <w:rPr>
          <w:sz w:val="20"/>
          <w:szCs w:val="20"/>
          <w:color w:val="auto"/>
        </w:rPr>
      </w:pPr>
      <w:r>
        <w:rPr>
          <w:rFonts w:ascii="Arial" w:cs="Arial" w:eastAsia="Arial" w:hAnsi="Arial"/>
          <w:sz w:val="15"/>
          <w:szCs w:val="15"/>
          <w:u w:val="single" w:color="auto"/>
          <w:color w:val="auto"/>
        </w:rPr>
        <w:t>Inversiones 2020 S.A.</w:t>
      </w:r>
    </w:p>
    <w:p>
      <w:pPr>
        <w:spacing w:after="0" w:line="17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Inversiones 2020 is 99.91% subsidiary of Grupo Crédito. It was established in October 1999 and its corporate purpose is to manage and promote the sale of foreclosed real estate properties and/or BCP’s properties. In July 2008, it absorbed the companies Inversiones Conexas y Complementarias S.A. and BCP Sociedad de Proposito Especial.</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Inversiones Credicorp Bolivia S.A.</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company is a subsidiary of Grupo Crédito, which owns 98.15% of total shares. It was established in February 2013. To date, Inversiones Credicorp Bolivia SA holds 99.93% of the shares of Credifondo SAFI Bolivia, 99.80% of Credibolsa S.A. Agencia de Bolsa (Bolivia), 51.95% of Crediseguro S.A. Seguros Personales, 51.87% of Crediseguros S.A. Seguros Generales, and 95.91% of Banco de Crédito Bolivia S.A.</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Compania Incubadora de Soluciones Moviles S.A. - Culqi</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January 2019, Grupo Crédito acquired 91.36% of the shares of this entity. Currently, Grupo Crédito holds 91.69%. Culqi was created in December 2013. Its main objective is to develop and operate a technological platform for online payments for digital businesses. Through APIs and e-commerce tools, which are designed for software developers, Culqi connects payment venues and platforms (such as credit cards, debit cards and prepaid cards) with websites, mobile applications, chatbots, IVRs, among others. Culqi also develops online payment bridges; onsite payment through POS or other devices; and methods to capture information, including QR.</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Fondo de Inversion Independencia II</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In September 2019, Grupo Crédito acquired 85% of the shares of this entity. Fondo de Inversion Independencia II provides personal loans via a digital platform.</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Ventive Servicios De Consultoría España, S.L</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In June 2021, Grupo Crédito established Ventive Servicios De Consultoría España, S.L with the purpose of providing consulting services to Credicorp Group.</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Tenpo S.P.A (formerly Krealo S.P.A.)</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January 2019, Grupo Crédito set up Tenpo S.P.A. (formerly Krealo S.P.A.) in Chile to make investments in companies, real estate and movable assets. Tenpo S.P.A. (formerly Krealo S.P.A.) acquired 100% of Tenpo Technologies S.P.A. (formerly Tenpo S.P.A.), which provides services and sells digital products, computing tools and telecommunication-related products, and 100% of Tenpo Prepago S.A. (formerly Multicaja Prepago S.A.), which issues and operates prepaid cards.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Yape Market S.A.C.</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In July 2022, Grupo Crédito S.A. established Yape Market S.A.C. and currently owns 99.99% of the company. The business aims to promote and manage sales and placement of products and services through electronic media. It may also engage in activities related to e-commerce, technological platforms, and online advertising.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Krealo Management S.A.</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Krealo Management S.A. was incorporated in September 2022 with the purpose of being a Peruvian holding company. It currently owns 99.99% of Wally POS S.A.C., 99.99% of Sami Shop S.A.C., and 59.96% of Monokera S.A.S.</w:t>
      </w:r>
    </w:p>
    <w:p>
      <w:pPr>
        <w:spacing w:after="0" w:line="330"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2" w:name="page63"/>
    <w:bookmarkEnd w:id="62"/>
    <w:p>
      <w:pPr>
        <w:spacing w:after="0"/>
        <w:rPr>
          <w:sz w:val="20"/>
          <w:szCs w:val="20"/>
          <w:color w:val="auto"/>
        </w:rPr>
      </w:pPr>
      <w:r>
        <w:rPr>
          <w:rFonts w:ascii="Arial" w:cs="Arial" w:eastAsia="Arial" w:hAnsi="Arial"/>
          <w:sz w:val="15"/>
          <w:szCs w:val="15"/>
          <w:u w:val="single" w:color="auto"/>
          <w:color w:val="auto"/>
        </w:rPr>
        <w:t>Wally POS S.A.C.</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Wally POS S.A.C. was acquired in February 2022 with the purpose of facilitating the management of clients' businesses through electronic tools and software that allow for control of key aspects such as electronic invoicing, inventory control, and reporting. Currently, Krealo Management holds 99.99% ownership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Sami Shop S.A.C.</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Sami Shop S.A.C was acquired in June 2022, and currently, Krealo Management owns 99.99% of the company. It is a company that offers e-commerce platforms to small, medium, and large businesses. It aims to solve the problem that many businesses face when creating an online store that can actually sell, by resolving all the processes of online sales, such as payment methods, integrations with the commerce's own systems, and logistics.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Monokera S.A.S.</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Monokera S.A.S. was acquired in December 2022, and currently, Krealo Management holds a 59.96% stake in the company. It is a company that offers e-commerce platforms for contracting insurance products.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 Companies of Inversiones Credicorp Bolivia S.A</w:t>
      </w:r>
      <w:r>
        <w:rPr>
          <w:rFonts w:ascii="Arial" w:cs="Arial" w:eastAsia="Arial" w:hAnsi="Arial"/>
          <w:sz w:val="20"/>
          <w:szCs w:val="20"/>
          <w:b w:val="1"/>
          <w:bCs w:val="1"/>
          <w:color w:val="595959"/>
        </w:rPr>
        <w: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Banco de Crédito de Bolivia S.A.</w:t>
      </w:r>
    </w:p>
    <w:p>
      <w:pPr>
        <w:spacing w:after="0" w:line="17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Banco de Crédito de Bolivia S.A. is a subsidiary of Inversiones Credicorp Bolivia S.A., which, together with Credicorp, holds 100% of its shares. It was acquired from the Peruvian Government in November 1993, when it was operating under the name Banco Popular S.A. This bank began operations in 1942 as a branch of Banco Popular del Peru.</w:t>
      </w:r>
    </w:p>
    <w:p>
      <w:pPr>
        <w:spacing w:after="0" w:line="15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Banco de Crédito de Bolivia is a commercial bank that serves clients in the corporate banking, middle market banking and personal banking segments. It differentiates among these segments to serve them more efficiently.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Credibolsa S.A. Agencia de Bolsa</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This company was chartered on October 21, 1994 in Bolivia. Its purpose is to conduct stock exchange operations through securities trading. Credibolsa S.A. Agencia de Bolsa can also trade securities for third parties; provide advisory and financial consulting services; manage securities portfolios; or represent foreign brokerage firms and foreign natural or legal persons who engage in activities relative to the securities market. The company can make public offers of securities through issuers, invest in the shares of other companies that provide services that are necessary or complementary to the securities market, among other activities. Inversiones Credicorp Bolivia holds 99.80% of total shares in this entity.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Credifondo SAFI S.A.</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company was chartered on April 7, 2000 in Bolivia to offer investment fund management services. Inversiones Credicorp Bolivia holds 99.93% of the total shares of this entity.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Crediseguro S.A. Seguros Personales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Crediseguro S.A. Seguros Personales is a limited company. It was incorporated on January 24, 2012 and its legal domicile is in the city of La Paz – Bolivia. The company’s sole purpose is, in accordance with Insurance Law N° 1883 of June 25,1998, to conduct, on its own account, or for third party accounts or accounts associated with third parties, both in Bolivia and abroad, activities related to personal insurance to insure natural persons, covering services relative to health or physical integrity. For this purpose, the company may engage in all businesses and</w:t>
      </w:r>
    </w:p>
    <w:p>
      <w:pPr>
        <w:spacing w:after="0" w:line="340"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3" w:name="page64"/>
    <w:bookmarkEnd w:id="63"/>
    <w:p>
      <w:pPr>
        <w:jc w:val="both"/>
        <w:spacing w:after="0" w:line="258" w:lineRule="auto"/>
        <w:rPr>
          <w:sz w:val="20"/>
          <w:szCs w:val="20"/>
          <w:color w:val="auto"/>
        </w:rPr>
      </w:pPr>
      <w:r>
        <w:rPr>
          <w:rFonts w:ascii="Arial" w:cs="Arial" w:eastAsia="Arial" w:hAnsi="Arial"/>
          <w:sz w:val="15"/>
          <w:szCs w:val="15"/>
          <w:color w:val="auto"/>
        </w:rPr>
        <w:t>activities that are related to insurance, co-insurance and reinsurance of persons or businesses that are authorized to operate by entities that work in the personal insurance segment. Inversiones Credicorp Bolivia S.A. owns 51.95% of this company and Pacífico Compania de Seguros y Reaseguros S.A., 48.00%.</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Crediseguro S.A. Seguros Generales</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company was chartered in La Paz, Bolivia on 2017. Inversiones Credicorp Bolivia S.A. owns 51.87% of the total shares of this entity, and Pacífico Compañia de Seguros y Reaseguros S.A., 48.04%.</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 Companies of Atlantic Security Holding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ASB Bank Corp, (formerly Atlantic Security Bank – ASB)</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bank was chartered in Cayman Islands in 1981, subsequently, Atlantic Security Bank (ASB) and ASB Bank Corp merged, leaving the latter as the only existing company registered in Panama. ASB Corp. engages in fund management, private banking, proprietary investment management and commercial banking. It is wholly (100%) owned by the Atlantic Security Holding Corp.</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Atlantic Security Private Equity General Partner</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company was established in Cayman Islands to maintain the investment in the Carlyle Peru Fund. It is a wholly (100%) owned subsidiary of the Atlantic Security Holding Corp.</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Atlantic Private Equity Investment Advisor</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company was established in Cayman Islands to provide advisory services to the Carlyle Peru Fund. It is a wholly (100%) owned subsidiary of Atlantic Security Holding Corp.</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Atlantic Security International Financial Services Inc.</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Company incorporated in Panama with the purpose of carrying out financial activities. It is a 100% subsidiary of Atlantic Security Holding Corp.</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ESIMSA</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Empresa de Servicios Inmobiliarios y de Mantenimiento S.A. (ESIMSA) is a limited liability company. It was established on October 3, 2012 in La Paz - Bolivia. ASHC holds 96% of the total shares in this entity.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The purpose of this company is to engage in proprietary, third party or third-party associated transactions involving the real estate business and associated activities.</w:t>
      </w:r>
    </w:p>
    <w:p>
      <w:pPr>
        <w:spacing w:after="0"/>
        <w:rPr>
          <w:sz w:val="20"/>
          <w:szCs w:val="20"/>
          <w:color w:val="auto"/>
        </w:rPr>
      </w:pPr>
      <w:r>
        <w:rPr>
          <w:rFonts w:ascii="Arial" w:cs="Arial" w:eastAsia="Arial" w:hAnsi="Arial"/>
          <w:sz w:val="15"/>
          <w:szCs w:val="15"/>
          <w:color w:val="auto"/>
        </w:rPr>
        <w:t>The company provides services relative to real estate and movable properties.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Cayman GP</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Company incorporated in Cayman Islands in October 2022 for the purpose of conducting financial activities. It is a 100% subsidiary of Atlantic Security Holding Corp.</w:t>
      </w:r>
    </w:p>
    <w:p>
      <w:pPr>
        <w:spacing w:after="0" w:line="355"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Subsidiary Companies of Credicorp Capital Ltd.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Holding Chile S.A.</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This company was established in Chile in 2012. Credicorp Capital Ltd. owns 99.99% of its shares. Credicorp Capital Holding Chile S.A. owns, in turn, 99.99% of Credicorp Capital Chile.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Chile</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This company was chartered on October 7, 1985. Its purpose is to engage in all types of investments involving movable and immovable assets, both tangible and intangible, shares, bonds, debentures and rights or shares in any companies, promissory notes, bills of exchange, certificates of deposit, negotiable documents and, in general, all kinds of transferable securities and commercial effects in addition to issuing common or performance bonds to all types of persons. It holds 99.90% of the shares of Credicorp Capital Asesorias Financieras S.A., 99.95% of Credicorp Capital S.A. Administradora de Inversiones, 99.93% of Credicorp Capital S.A. Corredores de Bolsa, 100% of IM Trust International S.A. and 99.94% of Credicorp Capital Asset Management S.A. Adm. General de Fondos.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UK Limited</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company was established in England in January 2014 to capture clients in the United Kingdom. Credicorp Capital Ltd. possesses 100% of the shares of this entity.</w:t>
      </w: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Holding Peru S.A.</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company was established in Peru in June 2015. Its corporate purpose was to serve as the Peruvian holding of the Investment Bank. It directly holds 85.06% of the total shares of Credicorp Capital Peru S.A.A. Credicorp Capital Ltd. holds 99.99% of the shares of this entity.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Peru S.A.A.</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Credicorp Capital Peru S.A.A began its operations in May 2012 and is a subsidiary of Credicorp Capital Holding Peru S.A. and Credicorp Capital Ltd, which hold 85.07% and 12.795% of its shares respectively. Currently, Credicorp Capital Peru S.A.A. holds 99.99% of the shares of Credicorp Capital Sociedad Agente de Bolsa S.A., 99.99% of Credicorp Capital Sociedad Administradora de Fondos, 99.99% of Credicorp Capital Sociedad Titulizadora S.A., and 99.99% of Credicorp Capital Servicios Financieros S.A. In addition, Credicorp Capital Peru S.A.A. also holds 45% of the shares of Fiduciaria S.A.</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Holding Colombia S.A.S.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company was chartered in Colombia in 2012 and is a wholly owned subsidiary of Credicorp Capital Ltd. Credicorp Holding Colombia S.A.S. in turn holds 82.64% of Credicorp Capital Colombia S.A. (in June 2020 it merged with Ultraserfinco S.A.), 94.93% of Credicorp Capital Fiduciaria S.A., 100% de Credicorp Negocios Digitales S.A.S., 100% de Credicorp Capital Servicios S.A.S. and 85.58% de Mibanco - Banco de la Microempresa de Colombia S.A (formerly Banco Compartir S.A., which in October 2020 it merged with Edyficar S.A.S.).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USA Inc.</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company was acquired by the Group in November 2019, it is 100% subsidiary of Credicorp Capital Ltd. Also, Credicorp Capital USA Inc. holds 100% of Credicorp Capital Advisors LLC and Credicorp Capital LLC (formerly Ultralat Capital Market Inc).</w:t>
      </w:r>
    </w:p>
    <w:p>
      <w:pPr>
        <w:spacing w:after="0" w:line="330"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Subsidiary Companies of Credicorp Capital Peru S.A.A.</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Sociedad Agente de Bolsa S.A.</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This company was established in 1991 in Peru and its one of the main brokerage houses on the Lima Stock Exchange. It offers services to buy and sell securities and actively participates in placing financial instruments. Credicorp Capital Peru S.A.A holds 99.99% of the shares of Credicorp Capital Sociedad Agente de Bolsa S.A.</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S.A Sociedad Administradora de Fondos</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company is a mutual fund manager and is one of the largest in the system. Credifondo, which was established in 1994, manages different mutual funds that channel clients’ resources to investment opportunities with varying levels of risk and anticipated returns. Credicorp Capital Peru S.A.A. owns 99.99% of its shares.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Sociedad Titulizadora S.A.</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is securitization company was established in 1998 and acts as a fiduciary in asset securitization processes. Credititulos acts as a vehicle to purchase assets, which are subsequently transformed into financial products, which are sold on the market. Credicorp Capital Peru S.A.A. owns 99.99% of its shares.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Servicios Financieros S.A.</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company was chartered in Peru in 2012 with the purpose of providing advisory services at the corporate and financial levels. It is a subsidiary of Credicorp Capital Peru, which holds 99.99% of the total shares in this entity.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 Companies of Credicorp Holding Colombia S.A.S.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Colombia S.A.</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This company was chartered in Colombia in 1987 to execute commissions contracts for the purchase and sale of securities. It also conducts transactions for its proprietary account to help stabilize market prices and provide liquidity. Credicorp Capital Colombia S.A. manages its clients’ securities to execute collections on capital and yields for subsequent reinvestment. This company also manages investment funds; provides advisory services in the capital markets; acts as a broker for securities in the National Registry of Securities; manages third-party portfolios and correspondence agreements; and acts as a broker in the foreign exchange market. Credicorp Holding Colombia S.A.S. holds 82.64%, Credicorp Capital Ltd. holds 10.10% and Credicorp Capital Fiduciaria S.A. holds 7.26%.</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On June 27</w:t>
      </w:r>
      <w:r>
        <w:rPr>
          <w:rFonts w:ascii="Arial" w:cs="Arial" w:eastAsia="Arial" w:hAnsi="Arial"/>
          <w:sz w:val="25"/>
          <w:szCs w:val="25"/>
          <w:color w:val="auto"/>
          <w:vertAlign w:val="superscript"/>
        </w:rPr>
        <w:t>th</w:t>
      </w:r>
      <w:r>
        <w:rPr>
          <w:rFonts w:ascii="Arial" w:cs="Arial" w:eastAsia="Arial" w:hAnsi="Arial"/>
          <w:sz w:val="15"/>
          <w:szCs w:val="15"/>
          <w:color w:val="auto"/>
        </w:rPr>
        <w:t>, 2020, the merger by absorption between Credicorp Capital Colombia S.A. and Ultraserfinco S.A. was carried out; the latter being extinguished.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Fiduciaria S.A.</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company was chartered in Colombia on April 25, 2012 with the purpose of executing all or some of the transactions, actions or services relative to its businesses and fiduciary mandates. Credicorp Holding Colombia S.A.S. holds 94.93% and Credicorp Capital Servicios S.A.S., 5.04%.</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Mibanco – Banco de la Microempresa Colombia S.A</w:t>
      </w:r>
    </w:p>
    <w:p>
      <w:pPr>
        <w:spacing w:after="0" w:line="355"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66" w:name="page67"/>
    <w:bookmarkEnd w:id="66"/>
    <w:p>
      <w:pPr>
        <w:jc w:val="both"/>
        <w:spacing w:after="0" w:line="201" w:lineRule="auto"/>
        <w:rPr>
          <w:sz w:val="20"/>
          <w:szCs w:val="20"/>
          <w:color w:val="auto"/>
        </w:rPr>
      </w:pPr>
      <w:r>
        <w:rPr>
          <w:rFonts w:ascii="Arial" w:cs="Arial" w:eastAsia="Arial" w:hAnsi="Arial"/>
          <w:sz w:val="15"/>
          <w:szCs w:val="15"/>
          <w:color w:val="auto"/>
        </w:rPr>
        <w:t>This company was chartered on October 23, 1969 through Public Registry N</w:t>
      </w:r>
      <w:r>
        <w:rPr>
          <w:rFonts w:ascii="Arial" w:cs="Arial" w:eastAsia="Arial" w:hAnsi="Arial"/>
          <w:sz w:val="25"/>
          <w:szCs w:val="25"/>
          <w:color w:val="auto"/>
          <w:vertAlign w:val="superscript"/>
        </w:rPr>
        <w:t>o</w:t>
      </w:r>
      <w:r>
        <w:rPr>
          <w:rFonts w:ascii="Arial" w:cs="Arial" w:eastAsia="Arial" w:hAnsi="Arial"/>
          <w:sz w:val="15"/>
          <w:szCs w:val="15"/>
          <w:color w:val="auto"/>
        </w:rPr>
        <w:t>. 8136. Its primary purpose is to engage in all the businesses and transactions permitted for banking establishments under Colombian law, particularly with regard to capturing resources to engage in active loan operations, notwithstanding the transactions and investments contemplated in the applicable regimen and within the conditions or limitations indicated for said effect. The bank’s purpose is to promote the development of the microfinance market in Colombia by providing loans to micro and small businesses. Credicorp Holding Colombia S.A.S. holds 85.58% of the total shares in this entity. On October 30</w:t>
      </w:r>
      <w:r>
        <w:rPr>
          <w:rFonts w:ascii="Arial" w:cs="Arial" w:eastAsia="Arial" w:hAnsi="Arial"/>
          <w:sz w:val="25"/>
          <w:szCs w:val="25"/>
          <w:color w:val="auto"/>
          <w:vertAlign w:val="superscript"/>
        </w:rPr>
        <w:t>th</w:t>
      </w:r>
      <w:r>
        <w:rPr>
          <w:rFonts w:ascii="Arial" w:cs="Arial" w:eastAsia="Arial" w:hAnsi="Arial"/>
          <w:sz w:val="15"/>
          <w:szCs w:val="15"/>
          <w:color w:val="auto"/>
        </w:rPr>
        <w:t>, 2020, the merger by absorption between Banco Compartir S.A. and Edyficar S.A.S was carried out, which formed Mibanco - Banco de la Microempresa de Colombia S.A.</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Servicios S.A.S.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Company incorporated in December 2019 in Colombia, its purpose is to carry out commercial activities. Credicorp Holding Colombia S.A.S. owns 100% participation.</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Negocios Digitales S.A.S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This company was chartered in March 2019 in Colombia to engage in information system development; computer consulting; and administration of information installations. Credicorp Holding Colombia S.A.S. holds 100% of the shares of this entity.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Credicorp Capital Corporación Financiera S.A.</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company was established in July 2022 with the purpose of providing financial services such as savings accounts, standardized and OTC derivatives, fixed income operations, and spot currency trading. It is expected to obtain authorization from the Colombian Superintendency of Finance in March 2023. Credicorp Holding Colombia S.A.S. owns 94.90% of the shares, and Credicorp Capital Servicios S.A.S. owns 5.10%.</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 Companies of the Banco de Crédito del Peru</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Mibanco S.A.</w:t>
      </w:r>
    </w:p>
    <w:p>
      <w:pPr>
        <w:spacing w:after="0" w:line="162" w:lineRule="exact"/>
        <w:rPr>
          <w:sz w:val="20"/>
          <w:szCs w:val="20"/>
          <w:color w:val="auto"/>
        </w:rPr>
      </w:pPr>
    </w:p>
    <w:p>
      <w:pPr>
        <w:jc w:val="both"/>
        <w:spacing w:after="0" w:line="218" w:lineRule="auto"/>
        <w:rPr>
          <w:sz w:val="20"/>
          <w:szCs w:val="20"/>
          <w:color w:val="auto"/>
        </w:rPr>
      </w:pPr>
      <w:r>
        <w:rPr>
          <w:rFonts w:ascii="Arial" w:cs="Arial" w:eastAsia="Arial" w:hAnsi="Arial"/>
          <w:sz w:val="15"/>
          <w:szCs w:val="15"/>
          <w:color w:val="auto"/>
        </w:rPr>
        <w:t>Mibanco S.A., is a limited liability company that was established in Peru on March 2</w:t>
      </w:r>
      <w:r>
        <w:rPr>
          <w:rFonts w:ascii="Arial" w:cs="Arial" w:eastAsia="Arial" w:hAnsi="Arial"/>
          <w:sz w:val="25"/>
          <w:szCs w:val="25"/>
          <w:color w:val="auto"/>
          <w:vertAlign w:val="superscript"/>
        </w:rPr>
        <w:t>nd</w:t>
      </w:r>
      <w:r>
        <w:rPr>
          <w:rFonts w:ascii="Arial" w:cs="Arial" w:eastAsia="Arial" w:hAnsi="Arial"/>
          <w:sz w:val="15"/>
          <w:szCs w:val="15"/>
          <w:color w:val="auto"/>
        </w:rPr>
        <w:t>, 1998. At the end of December 2021, BCP held 94.93% of this entity and Grupo Crédito, 4.99%.The corporate purpose of the bank is to engage in multiple banking services with a special emphasis on the micro and small business segments. The Bank’s operations are governed by the General Law of the Financial System and of Insurance and Organic System of the Superintendence of Banking, Insurance and AFP (herewith “Law of Banking, Insurance and AFP”) – Law N°26702. Mibanco S.A. is authorized by SBS to operate as a bank in accordance with the legal provisions in effect in Peru.</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Solucion Empresa Administradora Hipotecaria S.A.</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This company specializes in offering mortgage loans. It was initially established as a financial company in 1979. After several modifications to the company’s structure, it became a mortgage loan company in May 2010. BCP owns 100% of its shares.</w:t>
      </w:r>
    </w:p>
    <w:p>
      <w:pPr>
        <w:spacing w:after="0" w:line="330"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67" w:name="page68"/>
    <w:bookmarkEnd w:id="67"/>
    <w:p>
      <w:pPr>
        <w:spacing w:after="0"/>
        <w:rPr>
          <w:sz w:val="20"/>
          <w:szCs w:val="20"/>
          <w:color w:val="auto"/>
        </w:rPr>
      </w:pPr>
      <w:r>
        <w:rPr>
          <w:rFonts w:ascii="Arial" w:cs="Arial" w:eastAsia="Arial" w:hAnsi="Arial"/>
          <w:sz w:val="15"/>
          <w:szCs w:val="15"/>
          <w:u w:val="single" w:color="auto"/>
          <w:color w:val="auto"/>
        </w:rPr>
        <w:t>BCP Emisiones Latam 1 S.A</w:t>
      </w:r>
      <w:r>
        <w:rPr>
          <w:rFonts w:ascii="Arial" w:cs="Arial" w:eastAsia="Arial" w:hAnsi="Arial"/>
          <w:sz w:val="15"/>
          <w:szCs w:val="15"/>
          <w:color w:val="auto"/>
        </w:rPr>
        <w:t>.</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special purpose company is domiciled in Santiago, Chile. It was established in January 2009 and its sole purpose is to invest in all types of real estate securities and debt securities, which are financed through bond issuances in Chile. Currently, BCP maintains 50.39% of its shares and Grupo Crédito owns the 49.61%. The company was liquidated in March 2022.</w:t>
      </w:r>
    </w:p>
    <w:p>
      <w:pPr>
        <w:spacing w:after="0" w:line="337"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264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B. Sanctions imposed by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5264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Topic </w:t>
      </w:r>
      <w:r>
        <w:rPr>
          <w:rFonts w:ascii="Arial" w:cs="Arial" w:eastAsia="Arial" w:hAnsi="Arial"/>
          <w:sz w:val="15"/>
          <w:szCs w:val="15"/>
          <w:color w:val="auto"/>
        </w:rPr>
        <w:t>Normative Compliance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GRI </w:t>
      </w:r>
      <w:r>
        <w:rPr>
          <w:rFonts w:ascii="Arial" w:cs="Arial" w:eastAsia="Arial" w:hAnsi="Arial"/>
          <w:sz w:val="15"/>
          <w:szCs w:val="15"/>
          <w:i w:val="1"/>
          <w:iCs w:val="1"/>
          <w:color w:val="auto"/>
        </w:rPr>
        <w:t>3-3, 2-27</w:t>
      </w:r>
    </w:p>
    <w:p>
      <w:pPr>
        <w:spacing w:after="0"/>
        <w:rPr>
          <w:sz w:val="20"/>
          <w:szCs w:val="20"/>
          <w:color w:val="auto"/>
        </w:rPr>
      </w:pPr>
      <w:r>
        <w:rPr>
          <w:rFonts w:ascii="Arial" w:cs="Arial" w:eastAsia="Arial" w:hAnsi="Arial"/>
          <w:sz w:val="15"/>
          <w:szCs w:val="15"/>
          <w:b w:val="1"/>
          <w:bCs w:val="1"/>
          <w:color w:val="auto"/>
        </w:rPr>
        <w:t xml:space="preserve">SASB </w:t>
      </w:r>
      <w:r>
        <w:rPr>
          <w:rFonts w:ascii="Arial" w:cs="Arial" w:eastAsia="Arial" w:hAnsi="Arial"/>
          <w:sz w:val="15"/>
          <w:szCs w:val="15"/>
          <w:color w:val="auto"/>
        </w:rPr>
        <w:t>FN-CB-510a.1</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p>
      <w:pPr>
        <w:spacing w:after="0" w:line="173" w:lineRule="exact"/>
        <w:rPr>
          <w:sz w:val="20"/>
          <w:szCs w:val="20"/>
          <w:color w:val="auto"/>
        </w:rPr>
      </w:pPr>
    </w:p>
    <w:p>
      <w:pPr>
        <w:jc w:val="both"/>
        <w:ind w:right="540"/>
        <w:spacing w:after="0" w:line="258" w:lineRule="auto"/>
        <w:rPr>
          <w:sz w:val="20"/>
          <w:szCs w:val="20"/>
          <w:color w:val="auto"/>
        </w:rPr>
      </w:pPr>
      <w:r>
        <w:rPr>
          <w:rFonts w:ascii="Arial" w:cs="Arial" w:eastAsia="Arial" w:hAnsi="Arial"/>
          <w:sz w:val="15"/>
          <w:szCs w:val="15"/>
          <w:color w:val="auto"/>
        </w:rPr>
        <w:t>Resolution SBS N°2755-2018 of July 16, 2018 requires Boards to inform the General Shareholders’ Meeting of sanctions imposed by the Superintendency of Banking, Insurance and AFPs (SBS) for serious or very serious violations attributable to the companies supervised, their directors, managers or main officers.</w:t>
      </w:r>
    </w:p>
    <w:p>
      <w:pPr>
        <w:spacing w:after="0" w:line="148"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In this regard, in the month of April 2022, SBS imposed a sanction of 20 UIT (S/92,000) on Pacífico Compañía de Seguros y Reaseguros S.A for the following serious violation: “failure to partially or totally fulfill activities relative to actuarial functions as indicated in current regulations” described in numeral 71 section II of Annex 3 of SBS Regulation for Violations and Sanctions. Pacífico has taken corrective measures in response to this situation.</w:t>
      </w:r>
    </w:p>
    <w:p>
      <w:pPr>
        <w:spacing w:after="0" w:line="155"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In the month of April 2022, SBS imposed a sanction of 20 UIT (S/92,000) on Mibanco Banco de la Microempresa S.A to the following serious violation: “open, transfer, convert, share or close offices, branches or other type of establishment without the authorization of the Superintendency” described in numeral 4 of section II of Annex 1 of SBS Regulation for Violations and Sanctions. Mibanco has paid the fine levied in its entirety and has taken the corresponding corrective measures.</w:t>
      </w:r>
    </w:p>
    <w:p>
      <w:pPr>
        <w:spacing w:after="0" w:line="155"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color w:val="auto"/>
        </w:rPr>
        <w:t>In the month of May 2022, SMV imposed a sanction of 3.5 UIT (S/15,050) on Prima AFP S.A for the following serious violation: “failure to communicate material events or present audited individua or consolidated financial information, intermediate individual or consolidated financial statements, management reports or special auditing reports and annual reports” described in numeral 2.10 of Annex I of SMV’s Regulation for Sanctions. The fine imposed has been completely paid by Prima AFP and the company has taken the corresponding corrective measures.</w:t>
      </w:r>
    </w:p>
    <w:p>
      <w:pPr>
        <w:spacing w:after="0" w:line="157" w:lineRule="exact"/>
        <w:rPr>
          <w:sz w:val="20"/>
          <w:szCs w:val="20"/>
          <w:color w:val="auto"/>
        </w:rPr>
      </w:pPr>
    </w:p>
    <w:p>
      <w:pPr>
        <w:ind w:right="240"/>
        <w:spacing w:after="0" w:line="246" w:lineRule="auto"/>
        <w:rPr>
          <w:sz w:val="20"/>
          <w:szCs w:val="20"/>
          <w:color w:val="auto"/>
        </w:rPr>
      </w:pPr>
      <w:r>
        <w:rPr>
          <w:rFonts w:ascii="Arial" w:cs="Arial" w:eastAsia="Arial" w:hAnsi="Arial"/>
          <w:sz w:val="15"/>
          <w:szCs w:val="15"/>
          <w:color w:val="auto"/>
        </w:rPr>
        <w:t>Finally, in the month of June 2022, SBS imposed a sanction of 25 UIT (S/115,000) on Pacífico Compañía de Seguros y Reaseguros S.A for the following serious violation: “failure to provide, within the timeframes established and/or according to the conditions set for each case, information and/or documentation to the Superintendency to facilitate its supervision and control activities” described in letter d) of numeral 1 of section II of Annex 1 of SBS’s Regulation for Violations and Sanctions. Pacífico has taken the corresponding corrective measures.</w:t>
      </w:r>
    </w:p>
    <w:p>
      <w:pPr>
        <w:spacing w:after="0" w:line="340"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5264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C. Legal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5264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Topic </w:t>
      </w:r>
      <w:r>
        <w:rPr>
          <w:rFonts w:ascii="Arial" w:cs="Arial" w:eastAsia="Arial" w:hAnsi="Arial"/>
          <w:sz w:val="15"/>
          <w:szCs w:val="15"/>
          <w:color w:val="auto"/>
        </w:rPr>
        <w:t>Normative Compliance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GRI </w:t>
      </w:r>
      <w:r>
        <w:rPr>
          <w:rFonts w:ascii="Arial" w:cs="Arial" w:eastAsia="Arial" w:hAnsi="Arial"/>
          <w:sz w:val="15"/>
          <w:szCs w:val="15"/>
          <w:i w:val="1"/>
          <w:iCs w:val="1"/>
          <w:color w:val="auto"/>
        </w:rPr>
        <w:t>2-27</w:t>
      </w:r>
    </w:p>
    <w:p>
      <w:pPr>
        <w:spacing w:after="0"/>
        <w:rPr>
          <w:sz w:val="20"/>
          <w:szCs w:val="20"/>
          <w:color w:val="auto"/>
        </w:rPr>
      </w:pPr>
      <w:r>
        <w:rPr>
          <w:rFonts w:ascii="Arial" w:cs="Arial" w:eastAsia="Arial" w:hAnsi="Arial"/>
          <w:sz w:val="15"/>
          <w:szCs w:val="15"/>
          <w:b w:val="1"/>
          <w:bCs w:val="1"/>
          <w:color w:val="auto"/>
        </w:rPr>
        <w:t xml:space="preserve">SASB </w:t>
      </w:r>
      <w:r>
        <w:rPr>
          <w:rFonts w:ascii="Arial" w:cs="Arial" w:eastAsia="Arial" w:hAnsi="Arial"/>
          <w:sz w:val="15"/>
          <w:szCs w:val="15"/>
          <w:color w:val="auto"/>
        </w:rPr>
        <w:t>FN-CB-510a.1</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Unless indicated in the last section of this paragraph, Credicorp Ltd. is not involved in judicial processes either as a plaintiff or defendant. Nevertheless, Credicorp Ltd. was the subject of an Administrative Sanctioning Procedure, which was initiated by the Superintendence of the Peruvian Securities Market (SMV) at the end of 2019 for failing to provide timely information to the market about the contributions made to political campaigns in 2011 and 2016 (in the latter case, contributions were made by three of the Group’s subsidiaries). Credicorp Ltd. was notified of the ruling of first instance that levied monetary sanctions; Credicorp appealed this ruling. Given that SMV failed to appeal within the timeframes required by law, Credicorp Ltd. has presented a legal recourse (a contentious-administrative action), which was admitted by the competent Court. The Administrative Sanctioning Procedure has ended, and the controversy must be reviewed and decided by the Court. Notwithstanding, Credicorp Ltd. paid the fine imposed by the administrative ruling of the first instance, in compliance with applicable rules. To date, the controversy remains unresolved, and the Court’s review and decision are pending.</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Three of Credicorp’s subsidiaries, the Banco de Crédito del Peru, Mibanco and Grupo Pacífico were involved in one Administrative Sanctioning Procedure each. These procedures were initiated by the Superintendence of the Peruvian Securities Market (SMV) at the end of 2019 for the following: failure to timely inform the market of contributions made to the political campaign in 2016. These companies were notified about the rulings of first instance, which levied monetary sanctions. Said administrative rulings of first instance were appealed in a timely manner by each of the companies. Given that the appeals were not resolved by SMV within the timeframes contemplated by law, each of the three subsidiaries has filed a legal recourse (a contentious-administrative action); all three remedies were admitted by the Court. Given that the administrative sanctioning procedures have ended, controversies must be reviewed and decided by the Court. Notwithstanding, each of the three subsidiaries have paid the fine imposed by the administrative ruling in the first instance, in compliance with applicable rules. To date, the controversies have yet to be resolved and are pending review and decision by the Court.</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Some of the Group’s subsidiaries are involved in judicial processes and Administrative Sanctioning Procedures. Among the most relevant judicial processes underway, we have the processes for (i) </w:t>
      </w:r>
      <w:r>
        <w:rPr>
          <w:rFonts w:ascii="Arial" w:cs="Arial" w:eastAsia="Arial" w:hAnsi="Arial"/>
          <w:sz w:val="15"/>
          <w:szCs w:val="15"/>
          <w:i w:val="1"/>
          <w:iCs w:val="1"/>
          <w:color w:val="auto"/>
        </w:rPr>
        <w:t>Madoff Trustee Litigation</w:t>
      </w:r>
      <w:r>
        <w:rPr>
          <w:rFonts w:ascii="Arial" w:cs="Arial" w:eastAsia="Arial" w:hAnsi="Arial"/>
          <w:sz w:val="15"/>
          <w:szCs w:val="15"/>
          <w:color w:val="auto"/>
        </w:rPr>
        <w:t xml:space="preserve"> y (ii) </w:t>
      </w:r>
      <w:r>
        <w:rPr>
          <w:rFonts w:ascii="Arial" w:cs="Arial" w:eastAsia="Arial" w:hAnsi="Arial"/>
          <w:sz w:val="15"/>
          <w:szCs w:val="15"/>
          <w:i w:val="1"/>
          <w:iCs w:val="1"/>
          <w:color w:val="auto"/>
        </w:rPr>
        <w:t>Fairfield Litigation,</w:t>
      </w:r>
      <w:r>
        <w:rPr>
          <w:rFonts w:ascii="Arial" w:cs="Arial" w:eastAsia="Arial" w:hAnsi="Arial"/>
          <w:sz w:val="15"/>
          <w:szCs w:val="15"/>
          <w:color w:val="auto"/>
        </w:rPr>
        <w:t xml:space="preserve"> which involve ASB Bank Corp., subsidiary of Credicorp Ltd., as a defendant. For more details, see “Form 20-F 2020” (</w:t>
      </w:r>
      <w:r>
        <w:rPr>
          <w:rFonts w:ascii="Arial" w:cs="Arial" w:eastAsia="Arial" w:hAnsi="Arial"/>
          <w:sz w:val="15"/>
          <w:szCs w:val="15"/>
          <w:u w:val="single" w:color="auto"/>
          <w:color w:val="auto"/>
        </w:rPr>
        <w:t>20-F page 268</w:t>
      </w:r>
      <w:r>
        <w:rPr>
          <w:rFonts w:ascii="Arial" w:cs="Arial" w:eastAsia="Arial" w:hAnsi="Arial"/>
          <w:sz w:val="15"/>
          <w:szCs w:val="15"/>
          <w:color w:val="auto"/>
        </w:rPr>
        <w:t>).</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Finally, Credicorp Ltd. notified SMV on November 11, 2021 that its Deputy General Manager on said date (and current general manager), Mr. Gianfranco Ferrari de las Casas, has received a Notification from the Attorney General’s Office that he has been included in a preparatory investigation, along with 64 others, for alleged primary complicity to commit a crime against public administration, aggravated collusion, incompatible negotiation, and undue use of position and criminal organization against the Peruvian State with regard to Proyecto Olmos. To date, Mr. Gianfranco Ferrari de las Casas is still included in the aforementioned preparatory investigation with regard to Proyecto Olmos.</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Credicorp Ltd. has carefully reviewed the actions of the officers of the Banco de Crédito del Peru with regard to the Proyecto Olmos and has found that the facts under investigation do not imply any liability for our company or its officers.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In Management’s opinion, none of the aforementioned events will affect the normal performance of the Group’s activities and businesses.</w:t>
      </w:r>
    </w:p>
    <w:p>
      <w:pPr>
        <w:spacing w:after="0" w:line="355"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5264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auto"/>
        </w:rPr>
        <w:t>D. Superintendent Resolution 119-2017-SMV/02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5264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306070</wp:posOffset>
            </wp:positionV>
            <wp:extent cx="6440170" cy="568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40170"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FFFFFF"/>
        </w:rPr>
        <w:t>REPORT ON THE SHAREHOLDER STRUCTURE</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FFFFFF"/>
        </w:rPr>
        <w:t>BY INVESTOR TYPE (10190)</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5722620" cy="283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22620" cy="283845"/>
                    </a:xfrm>
                    <a:prstGeom prst="rect">
                      <a:avLst/>
                    </a:prstGeom>
                    <a:noFill/>
                  </pic:spPr>
                </pic:pic>
              </a:graphicData>
            </a:graphic>
          </wp:anchor>
        </w:drawing>
      </w:r>
    </w:p>
    <w:p>
      <w:pPr>
        <w:spacing w:after="0" w:line="31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Credicorp LTD.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1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Fiscal Year:</w:t>
            </w:r>
          </w:p>
        </w:tc>
        <w:tc>
          <w:tcPr>
            <w:tcW w:w="3960" w:type="dxa"/>
            <w:vAlign w:val="bottom"/>
            <w:tcBorders>
              <w:top w:val="single" w:sz="8" w:color="auto"/>
              <w:right w:val="single" w:sz="8" w:color="auto"/>
            </w:tcBorders>
          </w:tcPr>
          <w:p>
            <w:pPr>
              <w:jc w:val="right"/>
              <w:ind w:right="3375"/>
              <w:spacing w:after="0"/>
              <w:rPr>
                <w:sz w:val="20"/>
                <w:szCs w:val="20"/>
                <w:color w:val="auto"/>
              </w:rPr>
            </w:pPr>
            <w:r>
              <w:rPr>
                <w:rFonts w:ascii="Arial" w:cs="Arial" w:eastAsia="Arial" w:hAnsi="Arial"/>
                <w:sz w:val="17"/>
                <w:szCs w:val="17"/>
                <w:color w:val="auto"/>
              </w:rPr>
              <w:t>2022</w:t>
            </w:r>
          </w:p>
        </w:tc>
      </w:tr>
      <w:tr>
        <w:trPr>
          <w:trHeight w:val="26"/>
        </w:trPr>
        <w:tc>
          <w:tcPr>
            <w:tcW w:w="618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METHODOLOGY</w:t>
      </w:r>
      <w:r>
        <w:rPr>
          <w:rFonts w:ascii="Arial" w:cs="Arial" w:eastAsia="Arial" w:hAnsi="Arial"/>
          <w:sz w:val="15"/>
          <w:szCs w:val="15"/>
          <w:b w:val="1"/>
          <w:bCs w:val="1"/>
          <w:color w:val="auto"/>
        </w:rPr>
        <w:t>:</w:t>
      </w:r>
    </w:p>
    <w:p>
      <w:pPr>
        <w:spacing w:after="0" w:line="191"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The information to be presented refers to the shares or representative values for participation in a Company that are listed on the S&amp;P/BVL Peru Select Index, in accordance with the information published on the web page of the Lima Stock Exchange at the end of the fiscal year reported.</w:t>
      </w:r>
    </w:p>
    <w:p>
      <w:pPr>
        <w:spacing w:after="0" w:line="148"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The Company must indicate, for each share or representative value of the same that is listed on the aforementioned index, the composition of the share structure by shareholder type.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structure by investor type</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40" w:type="dxa"/>
            <w:vAlign w:val="bottom"/>
          </w:tcPr>
          <w:p>
            <w:pPr>
              <w:spacing w:after="0"/>
              <w:rPr>
                <w:sz w:val="24"/>
                <w:szCs w:val="24"/>
                <w:color w:val="auto"/>
              </w:rPr>
            </w:pPr>
          </w:p>
        </w:tc>
        <w:tc>
          <w:tcPr>
            <w:tcW w:w="8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Share:</w:t>
            </w:r>
          </w:p>
        </w:tc>
        <w:tc>
          <w:tcPr>
            <w:tcW w:w="1240" w:type="dxa"/>
            <w:vAlign w:val="bottom"/>
            <w:tcBorders>
              <w:top w:val="single" w:sz="8" w:color="auto"/>
              <w:bottom w:val="single" w:sz="8" w:color="auto"/>
            </w:tcBorders>
          </w:tcPr>
          <w:p>
            <w:pPr>
              <w:spacing w:after="0"/>
              <w:rPr>
                <w:sz w:val="24"/>
                <w:szCs w:val="24"/>
                <w:color w:val="auto"/>
              </w:rPr>
            </w:pPr>
          </w:p>
        </w:tc>
        <w:tc>
          <w:tcPr>
            <w:tcW w:w="240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5"/>
                <w:szCs w:val="15"/>
                <w:color w:val="auto"/>
              </w:rPr>
              <w:t>BMG2519Y1084</w:t>
            </w:r>
          </w:p>
        </w:tc>
        <w:tc>
          <w:tcPr>
            <w:tcW w:w="3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00" w:type="dxa"/>
            <w:vAlign w:val="bottom"/>
            <w:tcBorders>
              <w:bottom w:val="single" w:sz="8" w:color="auto"/>
            </w:tcBorders>
            <w:gridSpan w:val="5"/>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7900" w:type="dxa"/>
            <w:vAlign w:val="bottom"/>
            <w:tcBorders>
              <w:left w:val="single" w:sz="8" w:color="auto"/>
              <w:right w:val="single" w:sz="8" w:color="auto"/>
            </w:tcBorders>
            <w:gridSpan w:val="5"/>
            <w:shd w:val="clear" w:color="auto" w:fill="BFBFBF"/>
          </w:tcPr>
          <w:p>
            <w:pPr>
              <w:ind w:left="80"/>
              <w:spacing w:after="0"/>
              <w:rPr>
                <w:sz w:val="20"/>
                <w:szCs w:val="20"/>
                <w:color w:val="auto"/>
              </w:rPr>
            </w:pPr>
            <w:r>
              <w:rPr>
                <w:rFonts w:ascii="Arial" w:cs="Arial" w:eastAsia="Arial" w:hAnsi="Arial"/>
                <w:sz w:val="15"/>
                <w:szCs w:val="15"/>
                <w:b w:val="1"/>
                <w:bCs w:val="1"/>
                <w:color w:val="auto"/>
              </w:rPr>
              <w:t>Ownership by shareholder type of a share or representative value of participation</w:t>
            </w:r>
          </w:p>
        </w:tc>
        <w:tc>
          <w:tcPr>
            <w:tcW w:w="14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5"/>
                <w:szCs w:val="15"/>
                <w:b w:val="1"/>
                <w:bCs w:val="1"/>
                <w:color w:val="auto"/>
              </w:rPr>
              <w:t>Number of</w:t>
            </w:r>
          </w:p>
        </w:tc>
        <w:tc>
          <w:tcPr>
            <w:tcW w:w="1900" w:type="dxa"/>
            <w:vAlign w:val="bottom"/>
            <w:tcBorders>
              <w:right w:val="single" w:sz="8" w:color="auto"/>
            </w:tcBorders>
            <w:shd w:val="clear" w:color="auto" w:fill="BFBFBF"/>
          </w:tcPr>
          <w:p>
            <w:pPr>
              <w:jc w:val="right"/>
              <w:ind w:right="264"/>
              <w:spacing w:after="0"/>
              <w:rPr>
                <w:sz w:val="20"/>
                <w:szCs w:val="20"/>
                <w:color w:val="auto"/>
              </w:rPr>
            </w:pPr>
            <w:r>
              <w:rPr>
                <w:rFonts w:ascii="Arial" w:cs="Arial" w:eastAsia="Arial" w:hAnsi="Arial"/>
                <w:sz w:val="15"/>
                <w:szCs w:val="15"/>
                <w:b w:val="1"/>
                <w:bCs w:val="1"/>
                <w:color w:val="auto"/>
              </w:rPr>
              <w:t>% of participation</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5"/>
            <w:shd w:val="clear" w:color="auto" w:fill="BFBFBF"/>
          </w:tcPr>
          <w:p>
            <w:pPr>
              <w:ind w:left="80"/>
              <w:spacing w:after="0"/>
              <w:rPr>
                <w:sz w:val="20"/>
                <w:szCs w:val="20"/>
                <w:color w:val="auto"/>
              </w:rPr>
            </w:pPr>
            <w:r>
              <w:rPr>
                <w:rFonts w:ascii="Arial" w:cs="Arial" w:eastAsia="Arial" w:hAnsi="Arial"/>
                <w:sz w:val="15"/>
                <w:szCs w:val="15"/>
                <w:b w:val="1"/>
                <w:bCs w:val="1"/>
                <w:color w:val="auto"/>
              </w:rPr>
              <w:t>that is listed on the S&amp;P Peru Selective Index (end of the fiscal year)</w:t>
            </w:r>
          </w:p>
        </w:tc>
        <w:tc>
          <w:tcPr>
            <w:tcW w:w="14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5"/>
                <w:szCs w:val="15"/>
                <w:b w:val="1"/>
                <w:bCs w:val="1"/>
                <w:color w:val="auto"/>
              </w:rPr>
              <w:t>holders</w:t>
            </w:r>
          </w:p>
        </w:tc>
        <w:tc>
          <w:tcPr>
            <w:tcW w:w="1900" w:type="dxa"/>
            <w:vAlign w:val="bottom"/>
            <w:tcBorders>
              <w:right w:val="single" w:sz="8" w:color="auto"/>
            </w:tcBorders>
            <w:shd w:val="clear" w:color="auto" w:fill="BFBFBF"/>
          </w:tcPr>
          <w:p>
            <w:pPr>
              <w:jc w:val="right"/>
              <w:ind w:right="804"/>
              <w:spacing w:after="0"/>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138"/>
        </w:trPr>
        <w:tc>
          <w:tcPr>
            <w:tcW w:w="240" w:type="dxa"/>
            <w:vAlign w:val="bottom"/>
            <w:tcBorders>
              <w:left w:val="single" w:sz="8" w:color="auto"/>
              <w:bottom w:val="single" w:sz="8" w:color="auto"/>
            </w:tcBorders>
            <w:shd w:val="clear" w:color="auto" w:fill="BFBFBF"/>
          </w:tcPr>
          <w:p>
            <w:pPr>
              <w:spacing w:after="0"/>
              <w:rPr>
                <w:sz w:val="12"/>
                <w:szCs w:val="12"/>
                <w:color w:val="auto"/>
              </w:rPr>
            </w:pPr>
          </w:p>
        </w:tc>
        <w:tc>
          <w:tcPr>
            <w:tcW w:w="7660" w:type="dxa"/>
            <w:vAlign w:val="bottom"/>
            <w:tcBorders>
              <w:bottom w:val="single" w:sz="8" w:color="auto"/>
              <w:right w:val="single" w:sz="8" w:color="auto"/>
            </w:tcBorders>
            <w:gridSpan w:val="4"/>
            <w:shd w:val="clear" w:color="auto" w:fill="BFBFBF"/>
          </w:tcPr>
          <w:p>
            <w:pPr>
              <w:spacing w:after="0"/>
              <w:rPr>
                <w:sz w:val="12"/>
                <w:szCs w:val="12"/>
                <w:color w:val="auto"/>
              </w:rPr>
            </w:pP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190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5"/>
                <w:szCs w:val="15"/>
                <w:color w:val="auto"/>
              </w:rPr>
              <w:t>1.</w:t>
            </w:r>
          </w:p>
        </w:tc>
        <w:tc>
          <w:tcPr>
            <w:tcW w:w="766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15"/>
                <w:szCs w:val="15"/>
                <w:color w:val="auto"/>
              </w:rPr>
              <w:t xml:space="preserve">Members of the board and executive management, including relative </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27</w:t>
            </w:r>
          </w:p>
        </w:tc>
        <w:tc>
          <w:tcPr>
            <w:tcW w:w="190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245"/>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2.</w:t>
            </w:r>
          </w:p>
        </w:tc>
        <w:tc>
          <w:tcPr>
            <w:tcW w:w="7660" w:type="dxa"/>
            <w:vAlign w:val="bottom"/>
            <w:tcBorders>
              <w:right w:val="single" w:sz="8" w:color="auto"/>
            </w:tcBorders>
            <w:gridSpan w:val="4"/>
          </w:tcPr>
          <w:p>
            <w:pPr>
              <w:ind w:left="20"/>
              <w:spacing w:after="0"/>
              <w:rPr>
                <w:sz w:val="20"/>
                <w:szCs w:val="20"/>
                <w:color w:val="auto"/>
              </w:rPr>
            </w:pPr>
            <w:r>
              <w:rPr>
                <w:rFonts w:ascii="Arial" w:cs="Arial" w:eastAsia="Arial" w:hAnsi="Arial"/>
                <w:sz w:val="15"/>
                <w:szCs w:val="15"/>
                <w:color w:val="auto"/>
              </w:rPr>
              <w:t>Employees at the company, not included in number 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1,077</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58"/>
        </w:trPr>
        <w:tc>
          <w:tcPr>
            <w:tcW w:w="240" w:type="dxa"/>
            <w:vAlign w:val="bottom"/>
            <w:tcBorders>
              <w:left w:val="single" w:sz="8" w:color="auto"/>
              <w:bottom w:val="single" w:sz="8" w:color="auto"/>
            </w:tcBorders>
          </w:tcPr>
          <w:p>
            <w:pPr>
              <w:spacing w:after="0"/>
              <w:rPr>
                <w:sz w:val="5"/>
                <w:szCs w:val="5"/>
                <w:color w:val="auto"/>
              </w:rPr>
            </w:pPr>
          </w:p>
        </w:tc>
        <w:tc>
          <w:tcPr>
            <w:tcW w:w="7660" w:type="dxa"/>
            <w:vAlign w:val="bottom"/>
            <w:tcBorders>
              <w:bottom w:val="single" w:sz="8" w:color="auto"/>
              <w:right w:val="single" w:sz="8" w:color="auto"/>
            </w:tcBorders>
            <w:gridSpan w:val="4"/>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3.</w:t>
            </w:r>
          </w:p>
        </w:tc>
        <w:tc>
          <w:tcPr>
            <w:tcW w:w="7660" w:type="dxa"/>
            <w:vAlign w:val="bottom"/>
            <w:tcBorders>
              <w:right w:val="single" w:sz="8" w:color="auto"/>
            </w:tcBorders>
            <w:gridSpan w:val="4"/>
          </w:tcPr>
          <w:p>
            <w:pPr>
              <w:ind w:left="20"/>
              <w:spacing w:after="0"/>
              <w:rPr>
                <w:sz w:val="20"/>
                <w:szCs w:val="20"/>
                <w:color w:val="auto"/>
              </w:rPr>
            </w:pPr>
            <w:r>
              <w:rPr>
                <w:rFonts w:ascii="Arial" w:cs="Arial" w:eastAsia="Arial" w:hAnsi="Arial"/>
                <w:sz w:val="15"/>
                <w:szCs w:val="15"/>
                <w:color w:val="auto"/>
              </w:rPr>
              <w:t>Natural person not included in numbers 1 and 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4,282</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58"/>
        </w:trPr>
        <w:tc>
          <w:tcPr>
            <w:tcW w:w="240" w:type="dxa"/>
            <w:vAlign w:val="bottom"/>
            <w:tcBorders>
              <w:left w:val="single" w:sz="8" w:color="auto"/>
              <w:bottom w:val="single" w:sz="8" w:color="auto"/>
            </w:tcBorders>
          </w:tcPr>
          <w:p>
            <w:pPr>
              <w:spacing w:after="0"/>
              <w:rPr>
                <w:sz w:val="5"/>
                <w:szCs w:val="5"/>
                <w:color w:val="auto"/>
              </w:rPr>
            </w:pPr>
          </w:p>
        </w:tc>
        <w:tc>
          <w:tcPr>
            <w:tcW w:w="7660" w:type="dxa"/>
            <w:vAlign w:val="bottom"/>
            <w:tcBorders>
              <w:bottom w:val="single" w:sz="8" w:color="auto"/>
              <w:right w:val="single" w:sz="8" w:color="auto"/>
            </w:tcBorders>
            <w:gridSpan w:val="4"/>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4.</w:t>
            </w:r>
          </w:p>
        </w:tc>
        <w:tc>
          <w:tcPr>
            <w:tcW w:w="7660" w:type="dxa"/>
            <w:vAlign w:val="bottom"/>
            <w:tcBorders>
              <w:right w:val="single" w:sz="8" w:color="auto"/>
            </w:tcBorders>
            <w:gridSpan w:val="4"/>
          </w:tcPr>
          <w:p>
            <w:pPr>
              <w:ind w:left="20"/>
              <w:spacing w:after="0"/>
              <w:rPr>
                <w:sz w:val="20"/>
                <w:szCs w:val="20"/>
                <w:color w:val="auto"/>
              </w:rPr>
            </w:pPr>
            <w:r>
              <w:rPr>
                <w:rFonts w:ascii="Arial" w:cs="Arial" w:eastAsia="Arial" w:hAnsi="Arial"/>
                <w:sz w:val="15"/>
                <w:szCs w:val="15"/>
                <w:color w:val="auto"/>
              </w:rPr>
              <w:t>Pension funds managed by Pension Fund Managers under the supervision of the Superintendence of Banking,</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0</w:t>
            </w:r>
          </w:p>
        </w:tc>
        <w:tc>
          <w:tcPr>
            <w:tcW w:w="1900" w:type="dxa"/>
            <w:vAlign w:val="bottom"/>
            <w:tcBorders>
              <w:right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93"/>
        </w:trPr>
        <w:tc>
          <w:tcPr>
            <w:tcW w:w="23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Insurance and AFP.</w:t>
            </w:r>
          </w:p>
        </w:tc>
        <w:tc>
          <w:tcPr>
            <w:tcW w:w="2400" w:type="dxa"/>
            <w:vAlign w:val="bottom"/>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360" w:type="dxa"/>
            <w:vAlign w:val="bottom"/>
            <w:tcBorders>
              <w:left w:val="single" w:sz="8" w:color="auto"/>
            </w:tcBorders>
            <w:gridSpan w:val="3"/>
            <w:vMerge w:val="continue"/>
          </w:tcPr>
          <w:p>
            <w:pPr>
              <w:spacing w:after="0"/>
              <w:rPr>
                <w:sz w:val="8"/>
                <w:szCs w:val="8"/>
                <w:color w:val="auto"/>
              </w:rPr>
            </w:pPr>
          </w:p>
        </w:tc>
        <w:tc>
          <w:tcPr>
            <w:tcW w:w="2400" w:type="dxa"/>
            <w:vAlign w:val="bottom"/>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 w:type="dxa"/>
            <w:vAlign w:val="bottom"/>
            <w:tcBorders>
              <w:left w:val="single" w:sz="8" w:color="auto"/>
              <w:bottom w:val="single" w:sz="8" w:color="auto"/>
            </w:tcBorders>
          </w:tcPr>
          <w:p>
            <w:pPr>
              <w:spacing w:after="0"/>
              <w:rPr>
                <w:sz w:val="9"/>
                <w:szCs w:val="9"/>
                <w:color w:val="auto"/>
              </w:rPr>
            </w:pPr>
          </w:p>
        </w:tc>
        <w:tc>
          <w:tcPr>
            <w:tcW w:w="7660" w:type="dxa"/>
            <w:vAlign w:val="bottom"/>
            <w:tcBorders>
              <w:bottom w:val="single" w:sz="8" w:color="auto"/>
              <w:right w:val="single" w:sz="8" w:color="auto"/>
            </w:tcBorders>
            <w:gridSpan w:val="4"/>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5.</w:t>
            </w:r>
          </w:p>
        </w:tc>
        <w:tc>
          <w:tcPr>
            <w:tcW w:w="7660" w:type="dxa"/>
            <w:vAlign w:val="bottom"/>
            <w:tcBorders>
              <w:right w:val="single" w:sz="8" w:color="auto"/>
            </w:tcBorders>
            <w:gridSpan w:val="4"/>
          </w:tcPr>
          <w:p>
            <w:pPr>
              <w:ind w:left="20"/>
              <w:spacing w:after="0"/>
              <w:rPr>
                <w:sz w:val="20"/>
                <w:szCs w:val="20"/>
                <w:color w:val="auto"/>
              </w:rPr>
            </w:pPr>
            <w:r>
              <w:rPr>
                <w:rFonts w:ascii="Arial" w:cs="Arial" w:eastAsia="Arial" w:hAnsi="Arial"/>
                <w:sz w:val="15"/>
                <w:szCs w:val="15"/>
                <w:color w:val="auto"/>
              </w:rPr>
              <w:t>Pension fund managed by the Oficina de Normalizacion Previsional (ONP).</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0</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04"/>
        </w:trPr>
        <w:tc>
          <w:tcPr>
            <w:tcW w:w="240" w:type="dxa"/>
            <w:vAlign w:val="bottom"/>
            <w:tcBorders>
              <w:left w:val="single" w:sz="8" w:color="auto"/>
              <w:bottom w:val="single" w:sz="8" w:color="auto"/>
            </w:tcBorders>
          </w:tcPr>
          <w:p>
            <w:pPr>
              <w:spacing w:after="0"/>
              <w:rPr>
                <w:sz w:val="9"/>
                <w:szCs w:val="9"/>
                <w:color w:val="auto"/>
              </w:rPr>
            </w:pPr>
          </w:p>
        </w:tc>
        <w:tc>
          <w:tcPr>
            <w:tcW w:w="7660" w:type="dxa"/>
            <w:vAlign w:val="bottom"/>
            <w:tcBorders>
              <w:bottom w:val="single" w:sz="8" w:color="auto"/>
              <w:right w:val="single" w:sz="8" w:color="auto"/>
            </w:tcBorders>
            <w:gridSpan w:val="4"/>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6.</w:t>
            </w:r>
          </w:p>
        </w:tc>
        <w:tc>
          <w:tcPr>
            <w:tcW w:w="7660" w:type="dxa"/>
            <w:vAlign w:val="bottom"/>
            <w:tcBorders>
              <w:right w:val="single" w:sz="8" w:color="auto"/>
            </w:tcBorders>
            <w:gridSpan w:val="4"/>
          </w:tcPr>
          <w:p>
            <w:pPr>
              <w:ind w:left="20"/>
              <w:spacing w:after="0"/>
              <w:rPr>
                <w:sz w:val="20"/>
                <w:szCs w:val="20"/>
                <w:color w:val="auto"/>
              </w:rPr>
            </w:pPr>
            <w:r>
              <w:rPr>
                <w:rFonts w:ascii="Arial" w:cs="Arial" w:eastAsia="Arial" w:hAnsi="Arial"/>
                <w:sz w:val="15"/>
                <w:szCs w:val="15"/>
                <w:color w:val="auto"/>
              </w:rPr>
              <w:t>Entities of the Peruvian State with the exception of the assumption included number 5.</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35"/>
        </w:trPr>
        <w:tc>
          <w:tcPr>
            <w:tcW w:w="240" w:type="dxa"/>
            <w:vAlign w:val="bottom"/>
            <w:tcBorders>
              <w:left w:val="single" w:sz="8" w:color="auto"/>
              <w:bottom w:val="single" w:sz="8" w:color="auto"/>
            </w:tcBorders>
          </w:tcPr>
          <w:p>
            <w:pPr>
              <w:spacing w:after="0"/>
              <w:rPr>
                <w:sz w:val="3"/>
                <w:szCs w:val="3"/>
                <w:color w:val="auto"/>
              </w:rPr>
            </w:pPr>
          </w:p>
        </w:tc>
        <w:tc>
          <w:tcPr>
            <w:tcW w:w="7660" w:type="dxa"/>
            <w:vAlign w:val="bottom"/>
            <w:tcBorders>
              <w:bottom w:val="single" w:sz="8" w:color="auto"/>
              <w:right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40" w:type="dxa"/>
            <w:vAlign w:val="bottom"/>
            <w:tcBorders>
              <w:left w:val="single" w:sz="8" w:color="auto"/>
            </w:tcBorders>
          </w:tcPr>
          <w:p>
            <w:pPr>
              <w:ind w:left="80"/>
              <w:spacing w:after="0" w:line="164" w:lineRule="exact"/>
              <w:rPr>
                <w:sz w:val="20"/>
                <w:szCs w:val="20"/>
                <w:color w:val="auto"/>
              </w:rPr>
            </w:pPr>
            <w:r>
              <w:rPr>
                <w:rFonts w:ascii="Arial" w:cs="Arial" w:eastAsia="Arial" w:hAnsi="Arial"/>
                <w:sz w:val="15"/>
                <w:szCs w:val="15"/>
                <w:color w:val="auto"/>
              </w:rPr>
              <w:t>7.</w:t>
            </w:r>
          </w:p>
        </w:tc>
        <w:tc>
          <w:tcPr>
            <w:tcW w:w="7660" w:type="dxa"/>
            <w:vAlign w:val="bottom"/>
            <w:tcBorders>
              <w:right w:val="single" w:sz="8" w:color="auto"/>
            </w:tcBorders>
            <w:gridSpan w:val="4"/>
          </w:tcPr>
          <w:p>
            <w:pPr>
              <w:ind w:left="20"/>
              <w:spacing w:after="0" w:line="164" w:lineRule="exact"/>
              <w:rPr>
                <w:sz w:val="20"/>
                <w:szCs w:val="20"/>
                <w:color w:val="auto"/>
              </w:rPr>
            </w:pPr>
            <w:r>
              <w:rPr>
                <w:rFonts w:ascii="Arial" w:cs="Arial" w:eastAsia="Arial" w:hAnsi="Arial"/>
                <w:sz w:val="15"/>
                <w:szCs w:val="15"/>
                <w:color w:val="auto"/>
              </w:rPr>
              <w:t>Banks, finance institution, municipal savings and loans, rural savings and loan and cooperatives for savings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2</w:t>
            </w:r>
          </w:p>
        </w:tc>
        <w:tc>
          <w:tcPr>
            <w:tcW w:w="1900" w:type="dxa"/>
            <w:vAlign w:val="bottom"/>
            <w:tcBorders>
              <w:right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93"/>
        </w:trPr>
        <w:tc>
          <w:tcPr>
            <w:tcW w:w="7900" w:type="dxa"/>
            <w:vAlign w:val="bottom"/>
            <w:tcBorders>
              <w:left w:val="single" w:sz="8" w:color="auto"/>
              <w:right w:val="single" w:sz="8" w:color="auto"/>
            </w:tcBorders>
            <w:gridSpan w:val="5"/>
            <w:vMerge w:val="restart"/>
          </w:tcPr>
          <w:p>
            <w:pPr>
              <w:ind w:left="80"/>
              <w:spacing w:after="0"/>
              <w:rPr>
                <w:sz w:val="20"/>
                <w:szCs w:val="20"/>
                <w:color w:val="auto"/>
              </w:rPr>
            </w:pPr>
            <w:r>
              <w:rPr>
                <w:rFonts w:ascii="Arial" w:cs="Arial" w:eastAsia="Arial" w:hAnsi="Arial"/>
                <w:sz w:val="15"/>
                <w:szCs w:val="15"/>
                <w:color w:val="auto"/>
              </w:rPr>
              <w:t>and loans, under the supervision of the Superintendence of Banking Insurance and AFP.</w:t>
            </w:r>
          </w:p>
        </w:tc>
        <w:tc>
          <w:tcPr>
            <w:tcW w:w="146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900" w:type="dxa"/>
            <w:vAlign w:val="bottom"/>
            <w:tcBorders>
              <w:left w:val="single" w:sz="8" w:color="auto"/>
              <w:bottom w:val="single" w:sz="8" w:color="auto"/>
              <w:right w:val="single" w:sz="8" w:color="auto"/>
            </w:tcBorders>
            <w:gridSpan w:val="5"/>
            <w:vMerge w:val="continue"/>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8.</w:t>
            </w:r>
          </w:p>
        </w:tc>
        <w:tc>
          <w:tcPr>
            <w:tcW w:w="7660" w:type="dxa"/>
            <w:vAlign w:val="bottom"/>
            <w:tcBorders>
              <w:right w:val="single" w:sz="8" w:color="auto"/>
            </w:tcBorders>
            <w:gridSpan w:val="4"/>
          </w:tcPr>
          <w:p>
            <w:pPr>
              <w:ind w:left="20"/>
              <w:spacing w:after="0"/>
              <w:rPr>
                <w:sz w:val="20"/>
                <w:szCs w:val="20"/>
                <w:color w:val="auto"/>
              </w:rPr>
            </w:pPr>
            <w:r>
              <w:rPr>
                <w:rFonts w:ascii="Arial" w:cs="Arial" w:eastAsia="Arial" w:hAnsi="Arial"/>
                <w:sz w:val="15"/>
                <w:szCs w:val="15"/>
                <w:color w:val="auto"/>
              </w:rPr>
              <w:t>Co-Insurance companies under the supervision of the Superintendence of Banking, Insurance and AFP.</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0</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35"/>
        </w:trPr>
        <w:tc>
          <w:tcPr>
            <w:tcW w:w="240" w:type="dxa"/>
            <w:vAlign w:val="bottom"/>
            <w:tcBorders>
              <w:left w:val="single" w:sz="8" w:color="auto"/>
              <w:bottom w:val="single" w:sz="8" w:color="auto"/>
            </w:tcBorders>
          </w:tcPr>
          <w:p>
            <w:pPr>
              <w:spacing w:after="0"/>
              <w:rPr>
                <w:sz w:val="3"/>
                <w:szCs w:val="3"/>
                <w:color w:val="auto"/>
              </w:rPr>
            </w:pPr>
          </w:p>
        </w:tc>
        <w:tc>
          <w:tcPr>
            <w:tcW w:w="7660" w:type="dxa"/>
            <w:vAlign w:val="bottom"/>
            <w:tcBorders>
              <w:bottom w:val="single" w:sz="8" w:color="auto"/>
              <w:right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9.</w:t>
            </w:r>
          </w:p>
        </w:tc>
        <w:tc>
          <w:tcPr>
            <w:tcW w:w="7660" w:type="dxa"/>
            <w:vAlign w:val="bottom"/>
            <w:tcBorders>
              <w:right w:val="single" w:sz="8" w:color="auto"/>
            </w:tcBorders>
            <w:gridSpan w:val="4"/>
          </w:tcPr>
          <w:p>
            <w:pPr>
              <w:ind w:left="20"/>
              <w:spacing w:after="0"/>
              <w:rPr>
                <w:sz w:val="20"/>
                <w:szCs w:val="20"/>
                <w:color w:val="auto"/>
              </w:rPr>
            </w:pPr>
            <w:r>
              <w:rPr>
                <w:rFonts w:ascii="Arial" w:cs="Arial" w:eastAsia="Arial" w:hAnsi="Arial"/>
                <w:sz w:val="15"/>
                <w:szCs w:val="15"/>
                <w:color w:val="auto"/>
              </w:rPr>
              <w:t>Brokerage firms, under the supervision of SMV.</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5</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0.001%</w:t>
            </w:r>
          </w:p>
        </w:tc>
        <w:tc>
          <w:tcPr>
            <w:tcW w:w="0" w:type="dxa"/>
            <w:vAlign w:val="bottom"/>
          </w:tcPr>
          <w:p>
            <w:pPr>
              <w:spacing w:after="0"/>
              <w:rPr>
                <w:sz w:val="1"/>
                <w:szCs w:val="1"/>
                <w:color w:val="auto"/>
              </w:rPr>
            </w:pPr>
          </w:p>
        </w:tc>
      </w:tr>
      <w:tr>
        <w:trPr>
          <w:trHeight w:val="35"/>
        </w:trPr>
        <w:tc>
          <w:tcPr>
            <w:tcW w:w="7900" w:type="dxa"/>
            <w:vAlign w:val="bottom"/>
            <w:tcBorders>
              <w:left w:val="single" w:sz="8" w:color="auto"/>
              <w:bottom w:val="single" w:sz="8" w:color="auto"/>
              <w:right w:val="single" w:sz="8" w:color="auto"/>
            </w:tcBorders>
            <w:gridSpan w:val="5"/>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79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5"/>
                <w:szCs w:val="15"/>
                <w:color w:val="auto"/>
              </w:rPr>
              <w:t>10. Investment funds, mutual funds and trusts covered by the Law for the Securities Market and the Law for</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24</w:t>
            </w:r>
          </w:p>
        </w:tc>
        <w:tc>
          <w:tcPr>
            <w:tcW w:w="1900" w:type="dxa"/>
            <w:vAlign w:val="bottom"/>
            <w:tcBorders>
              <w:right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0.65%</w:t>
            </w:r>
          </w:p>
        </w:tc>
        <w:tc>
          <w:tcPr>
            <w:tcW w:w="0" w:type="dxa"/>
            <w:vAlign w:val="bottom"/>
          </w:tcPr>
          <w:p>
            <w:pPr>
              <w:spacing w:after="0"/>
              <w:rPr>
                <w:sz w:val="1"/>
                <w:szCs w:val="1"/>
                <w:color w:val="auto"/>
              </w:rPr>
            </w:pPr>
          </w:p>
        </w:tc>
      </w:tr>
      <w:tr>
        <w:trPr>
          <w:trHeight w:val="93"/>
        </w:trPr>
        <w:tc>
          <w:tcPr>
            <w:tcW w:w="7900" w:type="dxa"/>
            <w:vAlign w:val="bottom"/>
            <w:tcBorders>
              <w:left w:val="single" w:sz="8" w:color="auto"/>
              <w:right w:val="single" w:sz="8" w:color="auto"/>
            </w:tcBorders>
            <w:gridSpan w:val="5"/>
            <w:vMerge w:val="restart"/>
          </w:tcPr>
          <w:p>
            <w:pPr>
              <w:ind w:left="80"/>
              <w:spacing w:after="0"/>
              <w:rPr>
                <w:sz w:val="20"/>
                <w:szCs w:val="20"/>
                <w:color w:val="auto"/>
              </w:rPr>
            </w:pPr>
            <w:r>
              <w:rPr>
                <w:rFonts w:ascii="Arial" w:cs="Arial" w:eastAsia="Arial" w:hAnsi="Arial"/>
                <w:sz w:val="15"/>
                <w:szCs w:val="15"/>
                <w:color w:val="auto"/>
              </w:rPr>
              <w:t>Investment Funds and Banking Trusts covered by the General Law for the Financial System.</w:t>
            </w:r>
          </w:p>
        </w:tc>
        <w:tc>
          <w:tcPr>
            <w:tcW w:w="146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7900" w:type="dxa"/>
            <w:vAlign w:val="bottom"/>
            <w:tcBorders>
              <w:left w:val="single" w:sz="8" w:color="auto"/>
              <w:right w:val="single" w:sz="8" w:color="auto"/>
            </w:tcBorders>
            <w:gridSpan w:val="5"/>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 w:type="dxa"/>
            <w:vAlign w:val="bottom"/>
            <w:tcBorders>
              <w:left w:val="single" w:sz="8" w:color="auto"/>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5"/>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38"/>
        </w:trPr>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7" w:right="31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11.</w:t>
            </w: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Autonomous equity and banking trust abroad to the extent that the same can be identified.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0</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0.00%</w:t>
            </w:r>
          </w:p>
        </w:tc>
      </w:tr>
      <w:tr>
        <w:trPr>
          <w:trHeight w:val="35"/>
        </w:trPr>
        <w:tc>
          <w:tcPr>
            <w:tcW w:w="320" w:type="dxa"/>
            <w:vAlign w:val="bottom"/>
            <w:tcBorders>
              <w:left w:val="single" w:sz="8" w:color="auto"/>
              <w:bottom w:val="single" w:sz="8" w:color="auto"/>
            </w:tcBorders>
          </w:tcPr>
          <w:p>
            <w:pPr>
              <w:spacing w:after="0"/>
              <w:rPr>
                <w:sz w:val="3"/>
                <w:szCs w:val="3"/>
                <w:color w:val="auto"/>
              </w:rPr>
            </w:pPr>
          </w:p>
        </w:tc>
        <w:tc>
          <w:tcPr>
            <w:tcW w:w="75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r>
      <w:tr>
        <w:trPr>
          <w:trHeight w:val="222"/>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12.</w:t>
            </w: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Foreign depositaries that figure as shareholders in the framework of ADR or ADS programs.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0</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0.00%</w:t>
            </w:r>
          </w:p>
        </w:tc>
      </w:tr>
      <w:tr>
        <w:trPr>
          <w:trHeight w:val="35"/>
        </w:trPr>
        <w:tc>
          <w:tcPr>
            <w:tcW w:w="320" w:type="dxa"/>
            <w:vAlign w:val="bottom"/>
            <w:tcBorders>
              <w:left w:val="single" w:sz="8" w:color="auto"/>
              <w:bottom w:val="single" w:sz="8" w:color="auto"/>
            </w:tcBorders>
          </w:tcPr>
          <w:p>
            <w:pPr>
              <w:spacing w:after="0"/>
              <w:rPr>
                <w:sz w:val="3"/>
                <w:szCs w:val="3"/>
                <w:color w:val="auto"/>
              </w:rPr>
            </w:pPr>
          </w:p>
        </w:tc>
        <w:tc>
          <w:tcPr>
            <w:tcW w:w="75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r>
      <w:tr>
        <w:trPr>
          <w:trHeight w:val="268"/>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13.</w:t>
            </w: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Foreign depositaries that figure as shareholders not included in number 12.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89.59%</w:t>
            </w: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75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r>
      <w:tr>
        <w:trPr>
          <w:trHeight w:val="268"/>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14.</w:t>
            </w: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Foreign custodians that figure as shareholders.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0</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0.00%</w:t>
            </w: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75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r>
      <w:tr>
        <w:trPr>
          <w:trHeight w:val="349"/>
        </w:trPr>
        <w:tc>
          <w:tcPr>
            <w:tcW w:w="3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5"/>
                <w:szCs w:val="15"/>
                <w:color w:val="auto"/>
              </w:rPr>
              <w:t>15.</w:t>
            </w:r>
          </w:p>
        </w:tc>
        <w:tc>
          <w:tcPr>
            <w:tcW w:w="7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 xml:space="preserve">Entities not included in the descriptions in the previous numeral </w:t>
            </w:r>
            <w:r>
              <w:rPr>
                <w:rFonts w:ascii="Arial" w:cs="Arial" w:eastAsia="Arial" w:hAnsi="Arial"/>
                <w:sz w:val="25"/>
                <w:szCs w:val="25"/>
                <w:color w:val="auto"/>
                <w:vertAlign w:val="superscript"/>
              </w:rPr>
              <w:t>(2)</w:t>
            </w:r>
            <w:r>
              <w:rPr>
                <w:rFonts w:ascii="Arial" w:cs="Arial" w:eastAsia="Arial" w:hAnsi="Arial"/>
                <w:sz w:val="15"/>
                <w:szCs w:val="15"/>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124</w:t>
            </w:r>
          </w:p>
        </w:tc>
        <w:tc>
          <w:tcPr>
            <w:tcW w:w="190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5"/>
                <w:szCs w:val="15"/>
                <w:color w:val="auto"/>
              </w:rPr>
              <w:t>6.03%</w:t>
            </w:r>
          </w:p>
        </w:tc>
      </w:tr>
      <w:tr>
        <w:trPr>
          <w:trHeight w:val="268"/>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16.</w:t>
            </w: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 on the S&amp;P/BVL Peru Select Index or representative value of these shares in the company’s portfolio.</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2</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0.00%</w:t>
            </w: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75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r>
      <w:tr>
        <w:trPr>
          <w:trHeight w:val="268"/>
        </w:trPr>
        <w:tc>
          <w:tcPr>
            <w:tcW w:w="320" w:type="dxa"/>
            <w:vAlign w:val="bottom"/>
            <w:tcBorders>
              <w:left w:val="single" w:sz="8" w:color="auto"/>
            </w:tcBorders>
            <w:shd w:val="clear" w:color="auto" w:fill="BFBFBF"/>
          </w:tcPr>
          <w:p>
            <w:pPr>
              <w:spacing w:after="0"/>
              <w:rPr>
                <w:sz w:val="23"/>
                <w:szCs w:val="23"/>
                <w:color w:val="auto"/>
              </w:rPr>
            </w:pPr>
          </w:p>
        </w:tc>
        <w:tc>
          <w:tcPr>
            <w:tcW w:w="7580" w:type="dxa"/>
            <w:vAlign w:val="bottom"/>
            <w:tcBorders>
              <w:right w:val="single" w:sz="8" w:color="auto"/>
            </w:tcBorders>
            <w:shd w:val="clear" w:color="auto" w:fill="BFBFBF"/>
          </w:tcPr>
          <w:p>
            <w:pPr>
              <w:ind w:left="3380"/>
              <w:spacing w:after="0"/>
              <w:rPr>
                <w:sz w:val="20"/>
                <w:szCs w:val="20"/>
                <w:color w:val="auto"/>
              </w:rPr>
            </w:pPr>
            <w:r>
              <w:rPr>
                <w:rFonts w:ascii="Arial" w:cs="Arial" w:eastAsia="Arial" w:hAnsi="Arial"/>
                <w:sz w:val="15"/>
                <w:szCs w:val="15"/>
                <w:b w:val="1"/>
                <w:bCs w:val="1"/>
                <w:color w:val="auto"/>
              </w:rPr>
              <w:t>TOTAL</w:t>
            </w:r>
          </w:p>
        </w:tc>
        <w:tc>
          <w:tcPr>
            <w:tcW w:w="14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5"/>
                <w:szCs w:val="15"/>
                <w:b w:val="1"/>
                <w:bCs w:val="1"/>
                <w:color w:val="auto"/>
              </w:rPr>
              <w:t>5,585</w:t>
            </w:r>
          </w:p>
        </w:tc>
        <w:tc>
          <w:tcPr>
            <w:tcW w:w="1900" w:type="dxa"/>
            <w:vAlign w:val="bottom"/>
            <w:tcBorders>
              <w:right w:val="single" w:sz="8" w:color="auto"/>
            </w:tcBorders>
            <w:shd w:val="clear" w:color="auto" w:fill="BFBFBF"/>
          </w:tcPr>
          <w:p>
            <w:pPr>
              <w:jc w:val="right"/>
              <w:ind w:right="24"/>
              <w:spacing w:after="0"/>
              <w:rPr>
                <w:sz w:val="20"/>
                <w:szCs w:val="20"/>
                <w:color w:val="auto"/>
              </w:rPr>
            </w:pPr>
            <w:r>
              <w:rPr>
                <w:rFonts w:ascii="Arial" w:cs="Arial" w:eastAsia="Arial" w:hAnsi="Arial"/>
                <w:sz w:val="15"/>
                <w:szCs w:val="15"/>
                <w:b w:val="1"/>
                <w:bCs w:val="1"/>
                <w:color w:val="auto"/>
              </w:rPr>
              <w:t>100.00%</w:t>
            </w:r>
          </w:p>
        </w:tc>
      </w:tr>
      <w:tr>
        <w:trPr>
          <w:trHeight w:val="81"/>
        </w:trPr>
        <w:tc>
          <w:tcPr>
            <w:tcW w:w="7900" w:type="dxa"/>
            <w:vAlign w:val="bottom"/>
            <w:tcBorders>
              <w:left w:val="single" w:sz="8" w:color="auto"/>
              <w:bottom w:val="single" w:sz="8" w:color="auto"/>
              <w:right w:val="single" w:sz="8" w:color="auto"/>
            </w:tcBorders>
            <w:gridSpan w:val="2"/>
            <w:shd w:val="clear" w:color="auto" w:fill="BFBFBF"/>
          </w:tcPr>
          <w:p>
            <w:pPr>
              <w:spacing w:after="0"/>
              <w:rPr>
                <w:sz w:val="7"/>
                <w:szCs w:val="7"/>
                <w:color w:val="auto"/>
              </w:rPr>
            </w:pPr>
          </w:p>
        </w:tc>
        <w:tc>
          <w:tcPr>
            <w:tcW w:w="1460" w:type="dxa"/>
            <w:vAlign w:val="bottom"/>
            <w:tcBorders>
              <w:bottom w:val="single" w:sz="8" w:color="auto"/>
              <w:right w:val="single" w:sz="8" w:color="auto"/>
            </w:tcBorders>
            <w:shd w:val="clear" w:color="auto" w:fill="BFBFBF"/>
          </w:tcPr>
          <w:p>
            <w:pPr>
              <w:spacing w:after="0"/>
              <w:rPr>
                <w:sz w:val="7"/>
                <w:szCs w:val="7"/>
                <w:color w:val="auto"/>
              </w:rPr>
            </w:pPr>
          </w:p>
        </w:tc>
        <w:tc>
          <w:tcPr>
            <w:tcW w:w="1900" w:type="dxa"/>
            <w:vAlign w:val="bottom"/>
            <w:tcBorders>
              <w:bottom w:val="single" w:sz="8" w:color="auto"/>
              <w:right w:val="single" w:sz="8" w:color="auto"/>
            </w:tcBorders>
            <w:shd w:val="clear" w:color="auto" w:fill="BFBFBF"/>
          </w:tcPr>
          <w:p>
            <w:pPr>
              <w:spacing w:after="0"/>
              <w:rPr>
                <w:sz w:val="7"/>
                <w:szCs w:val="7"/>
                <w:color w:val="auto"/>
              </w:rPr>
            </w:pPr>
          </w:p>
        </w:tc>
      </w:tr>
      <w:tr>
        <w:trPr>
          <w:trHeight w:val="164"/>
        </w:trPr>
        <w:tc>
          <w:tcPr>
            <w:tcW w:w="320" w:type="dxa"/>
            <w:vAlign w:val="bottom"/>
            <w:tcBorders>
              <w:bottom w:val="single" w:sz="8" w:color="auto"/>
            </w:tcBorders>
          </w:tcPr>
          <w:p>
            <w:pPr>
              <w:spacing w:after="0"/>
              <w:rPr>
                <w:sz w:val="14"/>
                <w:szCs w:val="14"/>
                <w:color w:val="auto"/>
              </w:rPr>
            </w:pPr>
          </w:p>
        </w:tc>
        <w:tc>
          <w:tcPr>
            <w:tcW w:w="7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r>
      <w:tr>
        <w:trPr>
          <w:trHeight w:val="296"/>
        </w:trPr>
        <w:tc>
          <w:tcPr>
            <w:tcW w:w="7900" w:type="dxa"/>
            <w:vAlign w:val="bottom"/>
            <w:tcBorders>
              <w:left w:val="single" w:sz="8" w:color="auto"/>
              <w:right w:val="single" w:sz="8" w:color="auto"/>
            </w:tcBorders>
            <w:gridSpan w:val="2"/>
            <w:shd w:val="clear" w:color="auto" w:fill="BFBFBF"/>
          </w:tcPr>
          <w:p>
            <w:pPr>
              <w:ind w:left="80"/>
              <w:spacing w:after="0"/>
              <w:rPr>
                <w:sz w:val="20"/>
                <w:szCs w:val="20"/>
                <w:color w:val="auto"/>
              </w:rPr>
            </w:pPr>
            <w:r>
              <w:rPr>
                <w:rFonts w:ascii="Arial" w:cs="Arial" w:eastAsia="Arial" w:hAnsi="Arial"/>
                <w:sz w:val="15"/>
                <w:szCs w:val="15"/>
                <w:b w:val="1"/>
                <w:bCs w:val="1"/>
                <w:color w:val="auto"/>
              </w:rPr>
              <w:t>Ownership by shareholders or representative value that is listed on the S&amp;P/BVL</w:t>
            </w:r>
          </w:p>
        </w:tc>
        <w:tc>
          <w:tcPr>
            <w:tcW w:w="14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5"/>
                <w:szCs w:val="15"/>
                <w:b w:val="1"/>
                <w:bCs w:val="1"/>
                <w:color w:val="auto"/>
              </w:rPr>
              <w:t>Number of</w:t>
            </w:r>
          </w:p>
        </w:tc>
        <w:tc>
          <w:tcPr>
            <w:tcW w:w="1900" w:type="dxa"/>
            <w:vAlign w:val="bottom"/>
            <w:tcBorders>
              <w:right w:val="single" w:sz="8" w:color="auto"/>
            </w:tcBorders>
            <w:shd w:val="clear" w:color="auto" w:fill="BFBFBF"/>
          </w:tcPr>
          <w:p>
            <w:pPr>
              <w:jc w:val="right"/>
              <w:ind w:right="264"/>
              <w:spacing w:after="0"/>
              <w:rPr>
                <w:sz w:val="20"/>
                <w:szCs w:val="20"/>
                <w:color w:val="auto"/>
              </w:rPr>
            </w:pPr>
            <w:r>
              <w:rPr>
                <w:rFonts w:ascii="Arial" w:cs="Arial" w:eastAsia="Arial" w:hAnsi="Arial"/>
                <w:sz w:val="15"/>
                <w:szCs w:val="15"/>
                <w:b w:val="1"/>
                <w:bCs w:val="1"/>
                <w:color w:val="auto"/>
              </w:rPr>
              <w:t>% of participation</w:t>
            </w:r>
          </w:p>
        </w:tc>
      </w:tr>
      <w:tr>
        <w:trPr>
          <w:trHeight w:val="203"/>
        </w:trPr>
        <w:tc>
          <w:tcPr>
            <w:tcW w:w="7900" w:type="dxa"/>
            <w:vAlign w:val="bottom"/>
            <w:tcBorders>
              <w:left w:val="single" w:sz="8" w:color="auto"/>
              <w:right w:val="single" w:sz="8" w:color="auto"/>
            </w:tcBorders>
            <w:gridSpan w:val="2"/>
            <w:shd w:val="clear" w:color="auto" w:fill="BFBFBF"/>
          </w:tcPr>
          <w:p>
            <w:pPr>
              <w:ind w:left="80"/>
              <w:spacing w:after="0"/>
              <w:rPr>
                <w:sz w:val="20"/>
                <w:szCs w:val="20"/>
                <w:color w:val="auto"/>
              </w:rPr>
            </w:pPr>
            <w:r>
              <w:rPr>
                <w:rFonts w:ascii="Arial" w:cs="Arial" w:eastAsia="Arial" w:hAnsi="Arial"/>
                <w:sz w:val="15"/>
                <w:szCs w:val="15"/>
                <w:b w:val="1"/>
                <w:bCs w:val="1"/>
                <w:color w:val="auto"/>
              </w:rPr>
              <w:t>Peru Select Index according to residency (at the end of the fiscal year).</w:t>
            </w:r>
          </w:p>
        </w:tc>
        <w:tc>
          <w:tcPr>
            <w:tcW w:w="14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5"/>
                <w:szCs w:val="15"/>
                <w:b w:val="1"/>
                <w:bCs w:val="1"/>
                <w:color w:val="auto"/>
              </w:rPr>
              <w:t>holders</w:t>
            </w:r>
          </w:p>
        </w:tc>
        <w:tc>
          <w:tcPr>
            <w:tcW w:w="1900" w:type="dxa"/>
            <w:vAlign w:val="bottom"/>
            <w:tcBorders>
              <w:right w:val="single" w:sz="8" w:color="auto"/>
            </w:tcBorders>
            <w:shd w:val="clear" w:color="auto" w:fill="BFBFBF"/>
          </w:tcPr>
          <w:p>
            <w:pPr>
              <w:jc w:val="right"/>
              <w:ind w:right="804"/>
              <w:spacing w:after="0"/>
              <w:rPr>
                <w:sz w:val="20"/>
                <w:szCs w:val="20"/>
                <w:color w:val="auto"/>
              </w:rPr>
            </w:pPr>
            <w:r>
              <w:rPr>
                <w:rFonts w:ascii="Arial" w:cs="Arial" w:eastAsia="Arial" w:hAnsi="Arial"/>
                <w:sz w:val="13"/>
                <w:szCs w:val="13"/>
                <w:b w:val="1"/>
                <w:bCs w:val="1"/>
                <w:color w:val="auto"/>
              </w:rPr>
              <w:t>(3)</w:t>
            </w:r>
          </w:p>
        </w:tc>
      </w:tr>
      <w:tr>
        <w:trPr>
          <w:trHeight w:val="138"/>
        </w:trPr>
        <w:tc>
          <w:tcPr>
            <w:tcW w:w="7900" w:type="dxa"/>
            <w:vAlign w:val="bottom"/>
            <w:tcBorders>
              <w:left w:val="single" w:sz="8" w:color="auto"/>
              <w:bottom w:val="single" w:sz="8" w:color="auto"/>
              <w:right w:val="single" w:sz="8" w:color="auto"/>
            </w:tcBorders>
            <w:gridSpan w:val="2"/>
            <w:shd w:val="clear" w:color="auto" w:fill="BFBFBF"/>
          </w:tcPr>
          <w:p>
            <w:pPr>
              <w:spacing w:after="0"/>
              <w:rPr>
                <w:sz w:val="12"/>
                <w:szCs w:val="12"/>
                <w:color w:val="auto"/>
              </w:rPr>
            </w:pP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190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291"/>
        </w:trPr>
        <w:tc>
          <w:tcPr>
            <w:tcW w:w="79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5"/>
                <w:szCs w:val="15"/>
                <w:color w:val="auto"/>
              </w:rPr>
              <w:t>Domiciled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5,381</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5.32%</w:t>
            </w:r>
          </w:p>
        </w:tc>
      </w:tr>
      <w:tr>
        <w:trPr>
          <w:trHeight w:val="104"/>
        </w:trPr>
        <w:tc>
          <w:tcPr>
            <w:tcW w:w="7900" w:type="dxa"/>
            <w:vAlign w:val="bottom"/>
            <w:tcBorders>
              <w:left w:val="single" w:sz="8" w:color="auto"/>
              <w:bottom w:val="single" w:sz="8" w:color="auto"/>
              <w:right w:val="single" w:sz="8" w:color="auto"/>
            </w:tcBorders>
            <w:gridSpan w:val="2"/>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r>
      <w:tr>
        <w:trPr>
          <w:trHeight w:val="291"/>
        </w:trPr>
        <w:tc>
          <w:tcPr>
            <w:tcW w:w="79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5"/>
                <w:szCs w:val="15"/>
                <w:color w:val="auto"/>
              </w:rPr>
              <w:t>Not Domiciled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204</w:t>
            </w:r>
          </w:p>
        </w:tc>
        <w:tc>
          <w:tcPr>
            <w:tcW w:w="1900" w:type="dxa"/>
            <w:vAlign w:val="bottom"/>
            <w:tcBorders>
              <w:right w:val="single" w:sz="8" w:color="auto"/>
            </w:tcBorders>
          </w:tcPr>
          <w:p>
            <w:pPr>
              <w:jc w:val="right"/>
              <w:ind w:right="24"/>
              <w:spacing w:after="0"/>
              <w:rPr>
                <w:sz w:val="20"/>
                <w:szCs w:val="20"/>
                <w:color w:val="auto"/>
              </w:rPr>
            </w:pPr>
            <w:r>
              <w:rPr>
                <w:rFonts w:ascii="Arial" w:cs="Arial" w:eastAsia="Arial" w:hAnsi="Arial"/>
                <w:sz w:val="15"/>
                <w:szCs w:val="15"/>
                <w:color w:val="auto"/>
              </w:rPr>
              <w:t>94.68%</w:t>
            </w:r>
          </w:p>
        </w:tc>
      </w:tr>
      <w:tr>
        <w:trPr>
          <w:trHeight w:val="104"/>
        </w:trPr>
        <w:tc>
          <w:tcPr>
            <w:tcW w:w="320" w:type="dxa"/>
            <w:vAlign w:val="bottom"/>
            <w:tcBorders>
              <w:left w:val="single" w:sz="8" w:color="auto"/>
              <w:bottom w:val="single" w:sz="8" w:color="auto"/>
            </w:tcBorders>
          </w:tcPr>
          <w:p>
            <w:pPr>
              <w:spacing w:after="0"/>
              <w:rPr>
                <w:sz w:val="9"/>
                <w:szCs w:val="9"/>
                <w:color w:val="auto"/>
              </w:rPr>
            </w:pPr>
          </w:p>
        </w:tc>
        <w:tc>
          <w:tcPr>
            <w:tcW w:w="7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r>
      <w:tr>
        <w:trPr>
          <w:trHeight w:val="283"/>
        </w:trPr>
        <w:tc>
          <w:tcPr>
            <w:tcW w:w="320" w:type="dxa"/>
            <w:vAlign w:val="bottom"/>
            <w:tcBorders>
              <w:left w:val="single" w:sz="8" w:color="auto"/>
              <w:bottom w:val="single" w:sz="8" w:color="BFBFBF"/>
            </w:tcBorders>
            <w:shd w:val="clear" w:color="auto" w:fill="BFBFBF"/>
          </w:tcPr>
          <w:p>
            <w:pPr>
              <w:spacing w:after="0"/>
              <w:rPr>
                <w:sz w:val="24"/>
                <w:szCs w:val="24"/>
                <w:color w:val="auto"/>
              </w:rPr>
            </w:pPr>
          </w:p>
        </w:tc>
        <w:tc>
          <w:tcPr>
            <w:tcW w:w="7580" w:type="dxa"/>
            <w:vAlign w:val="bottom"/>
            <w:tcBorders>
              <w:bottom w:val="single" w:sz="8" w:color="BFBFBF"/>
              <w:right w:val="single" w:sz="8" w:color="auto"/>
            </w:tcBorders>
            <w:shd w:val="clear" w:color="auto" w:fill="BFBFBF"/>
          </w:tcPr>
          <w:p>
            <w:pPr>
              <w:ind w:left="3380"/>
              <w:spacing w:after="0"/>
              <w:rPr>
                <w:sz w:val="20"/>
                <w:szCs w:val="20"/>
                <w:color w:val="auto"/>
              </w:rPr>
            </w:pPr>
            <w:r>
              <w:rPr>
                <w:rFonts w:ascii="Arial" w:cs="Arial" w:eastAsia="Arial" w:hAnsi="Arial"/>
                <w:sz w:val="15"/>
                <w:szCs w:val="15"/>
                <w:b w:val="1"/>
                <w:bCs w:val="1"/>
                <w:color w:val="auto"/>
              </w:rPr>
              <w:t>TOTAL</w:t>
            </w:r>
          </w:p>
        </w:tc>
        <w:tc>
          <w:tcPr>
            <w:tcW w:w="14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5"/>
                <w:szCs w:val="15"/>
                <w:b w:val="1"/>
                <w:bCs w:val="1"/>
                <w:color w:val="auto"/>
              </w:rPr>
              <w:t>5,585</w:t>
            </w:r>
          </w:p>
        </w:tc>
        <w:tc>
          <w:tcPr>
            <w:tcW w:w="1900" w:type="dxa"/>
            <w:vAlign w:val="bottom"/>
            <w:tcBorders>
              <w:bottom w:val="single" w:sz="8" w:color="BFBFBF"/>
              <w:right w:val="single" w:sz="8" w:color="auto"/>
            </w:tcBorders>
            <w:shd w:val="clear" w:color="auto" w:fill="BFBFBF"/>
          </w:tcPr>
          <w:p>
            <w:pPr>
              <w:jc w:val="right"/>
              <w:ind w:right="24"/>
              <w:spacing w:after="0"/>
              <w:rPr>
                <w:sz w:val="20"/>
                <w:szCs w:val="20"/>
                <w:color w:val="auto"/>
              </w:rPr>
            </w:pPr>
            <w:r>
              <w:rPr>
                <w:rFonts w:ascii="Arial" w:cs="Arial" w:eastAsia="Arial" w:hAnsi="Arial"/>
                <w:sz w:val="15"/>
                <w:szCs w:val="15"/>
                <w:b w:val="1"/>
                <w:bCs w:val="1"/>
                <w:color w:val="auto"/>
              </w:rPr>
              <w:t>100.00%</w:t>
            </w:r>
          </w:p>
        </w:tc>
      </w:tr>
      <w:tr>
        <w:trPr>
          <w:trHeight w:val="20"/>
        </w:trPr>
        <w:tc>
          <w:tcPr>
            <w:tcW w:w="320" w:type="dxa"/>
            <w:vAlign w:val="bottom"/>
            <w:tcBorders>
              <w:left w:val="single" w:sz="8" w:color="auto"/>
            </w:tcBorders>
            <w:shd w:val="clear" w:color="auto" w:fill="000000"/>
          </w:tcPr>
          <w:p>
            <w:pPr>
              <w:spacing w:after="0" w:line="20" w:lineRule="exact"/>
              <w:rPr>
                <w:sz w:val="1"/>
                <w:szCs w:val="1"/>
                <w:color w:val="auto"/>
              </w:rPr>
            </w:pPr>
          </w:p>
        </w:tc>
        <w:tc>
          <w:tcPr>
            <w:tcW w:w="758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left="300" w:hanging="204"/>
        <w:spacing w:after="0"/>
        <w:tabs>
          <w:tab w:leader="none" w:pos="3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Term “Relatives” in accordance with the Rules for Indirect Property, Association and Economic Groups.</w:t>
      </w:r>
    </w:p>
    <w:p>
      <w:pPr>
        <w:ind w:left="320" w:hanging="224"/>
        <w:spacing w:after="0"/>
        <w:tabs>
          <w:tab w:leader="none" w:pos="3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Term “Entities” according to the Rules for Indirect Property, Association and Economic Groups.</w:t>
      </w:r>
    </w:p>
    <w:p>
      <w:pPr>
        <w:ind w:left="320" w:hanging="224"/>
        <w:spacing w:after="0"/>
        <w:tabs>
          <w:tab w:leader="none" w:pos="3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Two decimals.</w:t>
      </w:r>
    </w:p>
    <w:p>
      <w:pPr>
        <w:spacing w:after="0" w:line="323" w:lineRule="exact"/>
        <w:rPr>
          <w:sz w:val="20"/>
          <w:szCs w:val="20"/>
          <w:color w:val="auto"/>
        </w:rPr>
      </w:pPr>
    </w:p>
    <w:p>
      <w:pPr>
        <w:ind w:left="11080"/>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47" w:right="31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E. Contacts</w:t>
      </w:r>
    </w:p>
    <w:p>
      <w:pPr>
        <w:sectPr>
          <w:pgSz w:w="11900" w:h="16838" w:orient="portrait"/>
          <w:cols w:equalWidth="0" w:num="1">
            <w:col w:w="11260"/>
          </w:cols>
          <w:pgMar w:left="320" w:top="288" w:right="31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2-3</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Banco de Crédito BCP</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E93CAC"/>
        </w:rPr>
        <w:t>Headquarters Lima, Peru</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5"/>
          <w:szCs w:val="15"/>
          <w:color w:val="231F20"/>
        </w:rPr>
        <w:t>Calle Centenario 156, La Molina</w:t>
      </w:r>
    </w:p>
    <w:p>
      <w:pPr>
        <w:ind w:left="180"/>
        <w:spacing w:after="0"/>
        <w:rPr>
          <w:sz w:val="20"/>
          <w:szCs w:val="20"/>
          <w:color w:val="auto"/>
        </w:rPr>
      </w:pPr>
      <w:r>
        <w:rPr>
          <w:rFonts w:ascii="Arial" w:cs="Arial" w:eastAsia="Arial" w:hAnsi="Arial"/>
          <w:sz w:val="15"/>
          <w:szCs w:val="15"/>
          <w:color w:val="231F20"/>
        </w:rPr>
        <w:t>Lima 12, Peru</w:t>
      </w:r>
    </w:p>
    <w:p>
      <w:pPr>
        <w:ind w:left="180"/>
        <w:spacing w:after="0"/>
        <w:rPr>
          <w:sz w:val="20"/>
          <w:szCs w:val="20"/>
          <w:color w:val="auto"/>
        </w:rPr>
      </w:pPr>
      <w:r>
        <w:rPr>
          <w:rFonts w:ascii="Arial" w:cs="Arial" w:eastAsia="Arial" w:hAnsi="Arial"/>
          <w:sz w:val="15"/>
          <w:szCs w:val="15"/>
          <w:color w:val="231F20"/>
        </w:rPr>
        <w:t>Phone +51 1 313-2000</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E93CAC"/>
        </w:rPr>
        <w:t>Miami, United States of America</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5"/>
          <w:szCs w:val="15"/>
          <w:color w:val="231F20"/>
        </w:rPr>
        <w:t>121 Alhambra Plaza, Suite 1200</w:t>
      </w:r>
    </w:p>
    <w:p>
      <w:pPr>
        <w:ind w:left="180"/>
        <w:spacing w:after="0"/>
        <w:rPr>
          <w:sz w:val="20"/>
          <w:szCs w:val="20"/>
          <w:color w:val="auto"/>
        </w:rPr>
      </w:pPr>
      <w:r>
        <w:rPr>
          <w:rFonts w:ascii="Arial" w:cs="Arial" w:eastAsia="Arial" w:hAnsi="Arial"/>
          <w:sz w:val="15"/>
          <w:szCs w:val="15"/>
          <w:color w:val="231F20"/>
        </w:rPr>
        <w:t>Coral Gables, Florida 33134</w:t>
      </w:r>
    </w:p>
    <w:p>
      <w:pPr>
        <w:ind w:left="180"/>
        <w:spacing w:after="0"/>
        <w:rPr>
          <w:sz w:val="20"/>
          <w:szCs w:val="20"/>
          <w:color w:val="auto"/>
        </w:rPr>
      </w:pPr>
      <w:r>
        <w:rPr>
          <w:rFonts w:ascii="Arial" w:cs="Arial" w:eastAsia="Arial" w:hAnsi="Arial"/>
          <w:sz w:val="15"/>
          <w:szCs w:val="15"/>
          <w:color w:val="231F20"/>
        </w:rPr>
        <w:t>United States of America</w:t>
      </w:r>
    </w:p>
    <w:p>
      <w:pPr>
        <w:ind w:left="180"/>
        <w:spacing w:after="0"/>
        <w:rPr>
          <w:sz w:val="20"/>
          <w:szCs w:val="20"/>
          <w:color w:val="auto"/>
        </w:rPr>
      </w:pPr>
      <w:r>
        <w:rPr>
          <w:rFonts w:ascii="Arial" w:cs="Arial" w:eastAsia="Arial" w:hAnsi="Arial"/>
          <w:sz w:val="15"/>
          <w:szCs w:val="15"/>
          <w:color w:val="231F20"/>
        </w:rPr>
        <w:t>Phone +1 305 448-0971</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E93CAC"/>
        </w:rPr>
        <w:t>Panama, Panama Republic</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5"/>
          <w:szCs w:val="15"/>
          <w:color w:val="231F20"/>
        </w:rPr>
        <w:t>Calle 50 y Elvira Mendez</w:t>
      </w:r>
    </w:p>
    <w:p>
      <w:pPr>
        <w:ind w:left="180"/>
        <w:spacing w:after="0"/>
        <w:rPr>
          <w:sz w:val="20"/>
          <w:szCs w:val="20"/>
          <w:color w:val="auto"/>
        </w:rPr>
      </w:pPr>
      <w:r>
        <w:rPr>
          <w:rFonts w:ascii="Arial" w:cs="Arial" w:eastAsia="Arial" w:hAnsi="Arial"/>
          <w:sz w:val="15"/>
          <w:szCs w:val="15"/>
          <w:color w:val="231F20"/>
        </w:rPr>
        <w:t>Edificio Tower Financial Center, floor 13</w:t>
      </w:r>
    </w:p>
    <w:p>
      <w:pPr>
        <w:ind w:left="180"/>
        <w:spacing w:after="0"/>
        <w:rPr>
          <w:sz w:val="20"/>
          <w:szCs w:val="20"/>
          <w:color w:val="auto"/>
        </w:rPr>
      </w:pPr>
      <w:r>
        <w:rPr>
          <w:rFonts w:ascii="Arial" w:cs="Arial" w:eastAsia="Arial" w:hAnsi="Arial"/>
          <w:sz w:val="15"/>
          <w:szCs w:val="15"/>
          <w:color w:val="231F20"/>
        </w:rPr>
        <w:t>Corregimiento de Bella Vista, City of Panama,</w:t>
      </w:r>
    </w:p>
    <w:p>
      <w:pPr>
        <w:ind w:left="180"/>
        <w:spacing w:after="0"/>
        <w:rPr>
          <w:sz w:val="20"/>
          <w:szCs w:val="20"/>
          <w:color w:val="auto"/>
        </w:rPr>
      </w:pPr>
      <w:r>
        <w:rPr>
          <w:rFonts w:ascii="Arial" w:cs="Arial" w:eastAsia="Arial" w:hAnsi="Arial"/>
          <w:sz w:val="15"/>
          <w:szCs w:val="15"/>
          <w:color w:val="231F20"/>
        </w:rPr>
        <w:t>Panama Republic</w:t>
      </w:r>
    </w:p>
    <w:p>
      <w:pPr>
        <w:ind w:left="180"/>
        <w:spacing w:after="0"/>
        <w:rPr>
          <w:sz w:val="20"/>
          <w:szCs w:val="20"/>
          <w:color w:val="auto"/>
        </w:rPr>
      </w:pPr>
      <w:r>
        <w:rPr>
          <w:rFonts w:ascii="Arial" w:cs="Arial" w:eastAsia="Arial" w:hAnsi="Arial"/>
          <w:sz w:val="15"/>
          <w:szCs w:val="15"/>
          <w:color w:val="231F20"/>
        </w:rPr>
        <w:t>Phone +507 2 215-7311</w:t>
      </w:r>
    </w:p>
    <w:p>
      <w:pPr>
        <w:ind w:left="180"/>
        <w:spacing w:after="0"/>
        <w:rPr>
          <w:sz w:val="20"/>
          <w:szCs w:val="20"/>
          <w:color w:val="auto"/>
        </w:rPr>
      </w:pPr>
      <w:r>
        <w:rPr>
          <w:rFonts w:ascii="Arial" w:cs="Arial" w:eastAsia="Arial" w:hAnsi="Arial"/>
          <w:sz w:val="15"/>
          <w:szCs w:val="15"/>
          <w:color w:val="auto"/>
        </w:rPr>
        <w:t xml:space="preserve">Postal Box </w:t>
      </w:r>
      <w:r>
        <w:rPr>
          <w:rFonts w:ascii="Arial" w:cs="Arial" w:eastAsia="Arial" w:hAnsi="Arial"/>
          <w:sz w:val="15"/>
          <w:szCs w:val="15"/>
          <w:color w:val="231F20"/>
        </w:rPr>
        <w:t>0819-01233</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Mibanco</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E93CAC"/>
        </w:rPr>
        <w:t>Headquarters, Lima</w:t>
      </w:r>
    </w:p>
    <w:p>
      <w:pPr>
        <w:spacing w:after="0" w:line="18" w:lineRule="exact"/>
        <w:rPr>
          <w:sz w:val="20"/>
          <w:szCs w:val="20"/>
          <w:color w:val="auto"/>
        </w:rPr>
      </w:pPr>
    </w:p>
    <w:p>
      <w:pPr>
        <w:ind w:left="180" w:right="1320"/>
        <w:spacing w:after="0" w:line="258" w:lineRule="auto"/>
        <w:rPr>
          <w:sz w:val="20"/>
          <w:szCs w:val="20"/>
          <w:color w:val="auto"/>
        </w:rPr>
      </w:pPr>
      <w:r>
        <w:rPr>
          <w:rFonts w:ascii="Arial" w:cs="Arial" w:eastAsia="Arial" w:hAnsi="Arial"/>
          <w:sz w:val="15"/>
          <w:szCs w:val="15"/>
          <w:color w:val="231F20"/>
        </w:rPr>
        <w:t>Av. Republica de Panama 4575, Surquillo Lima, Peru Phone +51 1 319-9999</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BCP Bolivia</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E93CAC"/>
        </w:rPr>
        <w:t>Headquarters, La Paz</w:t>
      </w:r>
    </w:p>
    <w:p>
      <w:pPr>
        <w:spacing w:after="0" w:line="18" w:lineRule="exact"/>
        <w:rPr>
          <w:sz w:val="20"/>
          <w:szCs w:val="20"/>
          <w:color w:val="auto"/>
        </w:rPr>
      </w:pPr>
    </w:p>
    <w:p>
      <w:pPr>
        <w:ind w:left="180" w:right="1200"/>
        <w:spacing w:after="0" w:line="258" w:lineRule="auto"/>
        <w:rPr>
          <w:sz w:val="20"/>
          <w:szCs w:val="20"/>
          <w:color w:val="auto"/>
        </w:rPr>
      </w:pPr>
      <w:r>
        <w:rPr>
          <w:rFonts w:ascii="Arial" w:cs="Arial" w:eastAsia="Arial" w:hAnsi="Arial"/>
          <w:sz w:val="15"/>
          <w:szCs w:val="15"/>
          <w:color w:val="231F20"/>
        </w:rPr>
        <w:t>Calle Colon esquina Mercado No. 1308 La Paz, Bolivia Phone + 591 2 217-5000</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ASB Bank Corp</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5"/>
          <w:szCs w:val="15"/>
          <w:color w:val="231F20"/>
        </w:rPr>
        <w:t>Calle 50, Tower Financial Center Piso 12,</w:t>
      </w:r>
    </w:p>
    <w:p>
      <w:pPr>
        <w:ind w:left="100"/>
        <w:spacing w:after="0"/>
        <w:rPr>
          <w:sz w:val="20"/>
          <w:szCs w:val="20"/>
          <w:color w:val="auto"/>
        </w:rPr>
      </w:pPr>
      <w:r>
        <w:rPr>
          <w:rFonts w:ascii="Arial" w:cs="Arial" w:eastAsia="Arial" w:hAnsi="Arial"/>
          <w:sz w:val="15"/>
          <w:szCs w:val="15"/>
          <w:color w:val="231F20"/>
        </w:rPr>
        <w:t>City of Panama</w:t>
      </w:r>
    </w:p>
    <w:p>
      <w:pPr>
        <w:ind w:left="100"/>
        <w:spacing w:after="0"/>
        <w:rPr>
          <w:sz w:val="20"/>
          <w:szCs w:val="20"/>
          <w:color w:val="auto"/>
        </w:rPr>
      </w:pPr>
      <w:r>
        <w:rPr>
          <w:rFonts w:ascii="Arial" w:cs="Arial" w:eastAsia="Arial" w:hAnsi="Arial"/>
          <w:sz w:val="15"/>
          <w:szCs w:val="15"/>
          <w:color w:val="231F20"/>
        </w:rPr>
        <w:t>Panama Republic</w:t>
      </w:r>
    </w:p>
    <w:p>
      <w:pPr>
        <w:ind w:left="100"/>
        <w:spacing w:after="0"/>
        <w:rPr>
          <w:sz w:val="20"/>
          <w:szCs w:val="20"/>
          <w:color w:val="auto"/>
        </w:rPr>
      </w:pPr>
      <w:r>
        <w:rPr>
          <w:rFonts w:ascii="Arial" w:cs="Arial" w:eastAsia="Arial" w:hAnsi="Arial"/>
          <w:sz w:val="15"/>
          <w:szCs w:val="15"/>
          <w:color w:val="231F20"/>
        </w:rPr>
        <w:t>Phone +507 2 340-5000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Grupo Pacífico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-323850</wp:posOffset>
            </wp:positionV>
            <wp:extent cx="715264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E93CAC"/>
        </w:rPr>
        <w:t>Headquarters, Lima</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5"/>
          <w:szCs w:val="15"/>
          <w:color w:val="231F20"/>
        </w:rPr>
        <w:t>Juan de Arona 830, San Isidro Lima 27, Peru</w:t>
      </w:r>
    </w:p>
    <w:p>
      <w:pPr>
        <w:ind w:left="100"/>
        <w:spacing w:after="0"/>
        <w:rPr>
          <w:sz w:val="20"/>
          <w:szCs w:val="20"/>
          <w:color w:val="auto"/>
        </w:rPr>
      </w:pPr>
      <w:r>
        <w:rPr>
          <w:rFonts w:ascii="Arial" w:cs="Arial" w:eastAsia="Arial" w:hAnsi="Arial"/>
          <w:sz w:val="15"/>
          <w:szCs w:val="15"/>
          <w:color w:val="231F20"/>
        </w:rPr>
        <w:t>Phone +51 1 513-5000</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Credicorp Capital Ltd.</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E93CAC"/>
        </w:rPr>
        <w:t>Lima, Peru</w:t>
      </w:r>
    </w:p>
    <w:p>
      <w:pPr>
        <w:spacing w:after="0" w:line="18" w:lineRule="exact"/>
        <w:rPr>
          <w:sz w:val="20"/>
          <w:szCs w:val="20"/>
          <w:color w:val="auto"/>
        </w:rPr>
      </w:pPr>
    </w:p>
    <w:p>
      <w:pPr>
        <w:ind w:left="100" w:right="1360"/>
        <w:spacing w:after="0" w:line="258" w:lineRule="auto"/>
        <w:rPr>
          <w:sz w:val="20"/>
          <w:szCs w:val="20"/>
          <w:color w:val="auto"/>
        </w:rPr>
      </w:pPr>
      <w:r>
        <w:rPr>
          <w:rFonts w:ascii="Arial" w:cs="Arial" w:eastAsia="Arial" w:hAnsi="Arial"/>
          <w:sz w:val="15"/>
          <w:szCs w:val="15"/>
          <w:color w:val="231F20"/>
        </w:rPr>
        <w:t>Av. El Derby 055, Torre 3, piso 7, Santiago de Surco, Lima Phone +51 1 416-3333</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E93CAC"/>
        </w:rPr>
        <w:t>Santiago, Chile</w:t>
      </w:r>
    </w:p>
    <w:p>
      <w:pPr>
        <w:spacing w:after="0" w:line="18" w:lineRule="exact"/>
        <w:rPr>
          <w:sz w:val="20"/>
          <w:szCs w:val="20"/>
          <w:color w:val="auto"/>
        </w:rPr>
      </w:pPr>
    </w:p>
    <w:p>
      <w:pPr>
        <w:ind w:left="100" w:right="1240"/>
        <w:spacing w:after="0" w:line="258" w:lineRule="auto"/>
        <w:rPr>
          <w:sz w:val="20"/>
          <w:szCs w:val="20"/>
          <w:color w:val="auto"/>
        </w:rPr>
      </w:pPr>
      <w:r>
        <w:rPr>
          <w:rFonts w:ascii="Arial" w:cs="Arial" w:eastAsia="Arial" w:hAnsi="Arial"/>
          <w:sz w:val="15"/>
          <w:szCs w:val="15"/>
          <w:color w:val="231F20"/>
        </w:rPr>
        <w:t>Av. Apoquindo 3721, Piso 9, Las Condes, Santiago de Chile Phone +56 2 245-01600</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E93CAC"/>
        </w:rPr>
        <w:t>Bogotá, Colombia</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5"/>
          <w:szCs w:val="15"/>
          <w:color w:val="231F20"/>
        </w:rPr>
        <w:t>Calle 34 N° 6-65, Bogotá</w:t>
      </w:r>
    </w:p>
    <w:p>
      <w:pPr>
        <w:ind w:left="100"/>
        <w:spacing w:after="0"/>
        <w:rPr>
          <w:sz w:val="20"/>
          <w:szCs w:val="20"/>
          <w:color w:val="auto"/>
        </w:rPr>
      </w:pPr>
      <w:r>
        <w:rPr>
          <w:rFonts w:ascii="Arial" w:cs="Arial" w:eastAsia="Arial" w:hAnsi="Arial"/>
          <w:sz w:val="15"/>
          <w:szCs w:val="15"/>
          <w:color w:val="231F20"/>
        </w:rPr>
        <w:t>Phone +01 800 126 660</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Prima AFP</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E93CAC"/>
        </w:rPr>
        <w:t>Headquarters, Lima</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5"/>
          <w:szCs w:val="15"/>
          <w:color w:val="231F20"/>
        </w:rPr>
        <w:t>Calle Chinchon 980, San</w:t>
      </w:r>
    </w:p>
    <w:p>
      <w:pPr>
        <w:ind w:left="100"/>
        <w:spacing w:after="0"/>
        <w:rPr>
          <w:sz w:val="20"/>
          <w:szCs w:val="20"/>
          <w:color w:val="auto"/>
        </w:rPr>
      </w:pPr>
      <w:r>
        <w:rPr>
          <w:rFonts w:ascii="Arial" w:cs="Arial" w:eastAsia="Arial" w:hAnsi="Arial"/>
          <w:sz w:val="15"/>
          <w:szCs w:val="15"/>
          <w:color w:val="231F20"/>
        </w:rPr>
        <w:t>Isidro Lima 27, Peru</w:t>
      </w:r>
    </w:p>
    <w:p>
      <w:pPr>
        <w:ind w:left="100"/>
        <w:spacing w:after="0"/>
        <w:rPr>
          <w:sz w:val="20"/>
          <w:szCs w:val="20"/>
          <w:color w:val="auto"/>
        </w:rPr>
      </w:pPr>
      <w:r>
        <w:rPr>
          <w:rFonts w:ascii="Arial" w:cs="Arial" w:eastAsia="Arial" w:hAnsi="Arial"/>
          <w:sz w:val="15"/>
          <w:szCs w:val="15"/>
          <w:color w:val="231F20"/>
        </w:rPr>
        <w:t>Phone +51 1 615-7272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343344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Relations Credicorp</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E93CAC"/>
        </w:rPr>
        <w:t>Lima, Peru</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5"/>
          <w:szCs w:val="15"/>
          <w:color w:val="231F20"/>
        </w:rPr>
        <w:t>investorrelations@credicorpperu.com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343344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120" w:space="720"/>
            <w:col w:w="5420"/>
          </w:cols>
          <w:pgMar w:left="320" w:top="288" w:right="3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5"/>
          <w:szCs w:val="15"/>
          <w:b w:val="1"/>
          <w:bCs w:val="1"/>
          <w:color w:val="auto"/>
        </w:rPr>
        <w:t>F. Complementary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5264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related to the stock market</w:t>
      </w:r>
    </w:p>
    <w:p>
      <w:pPr>
        <w:spacing w:after="0" w:line="19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Credicorp’s common actions are negotiated in New York’s stock market and in BVL. The following chart shows, for the indicated periods, the maximum and minimum sell prices of the common actions in the BVL. Common actions are quoted in American dollars in the NYSE and in the BVL.</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Quotes 2022</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CREDICORP LTD.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380" w:type="dxa"/>
            <w:vAlign w:val="bottom"/>
            <w:tcBorders>
              <w:top w:val="single" w:sz="8" w:color="auto"/>
              <w:lef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QUOTES 2022</w:t>
            </w:r>
          </w:p>
        </w:tc>
        <w:tc>
          <w:tcPr>
            <w:tcW w:w="760" w:type="dxa"/>
            <w:vAlign w:val="bottom"/>
            <w:tcBorders>
              <w:top w:val="single" w:sz="8" w:color="auto"/>
              <w:right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r>
      <w:tr>
        <w:trPr>
          <w:trHeight w:val="219"/>
        </w:trPr>
        <w:tc>
          <w:tcPr>
            <w:tcW w:w="1380" w:type="dxa"/>
            <w:vAlign w:val="bottom"/>
            <w:tcBorders>
              <w:lef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Average Price</w:t>
            </w:r>
          </w:p>
        </w:tc>
      </w:tr>
      <w:tr>
        <w:trPr>
          <w:trHeight w:val="219"/>
        </w:trPr>
        <w:tc>
          <w:tcPr>
            <w:tcW w:w="1380" w:type="dxa"/>
            <w:vAlign w:val="bottom"/>
            <w:tcBorders>
              <w:left w:val="single" w:sz="8" w:color="auto"/>
            </w:tcBorders>
          </w:tcPr>
          <w:p>
            <w:pPr>
              <w:ind w:left="380"/>
              <w:spacing w:after="0"/>
              <w:rPr>
                <w:sz w:val="20"/>
                <w:szCs w:val="20"/>
                <w:color w:val="auto"/>
              </w:rPr>
            </w:pPr>
            <w:r>
              <w:rPr>
                <w:rFonts w:ascii="Arial" w:cs="Arial" w:eastAsia="Arial" w:hAnsi="Arial"/>
                <w:sz w:val="15"/>
                <w:szCs w:val="15"/>
                <w:b w:val="1"/>
                <w:bCs w:val="1"/>
                <w:color w:val="auto"/>
              </w:rPr>
              <w:t>ISIN Code</w:t>
            </w:r>
          </w:p>
        </w:tc>
        <w:tc>
          <w:tcPr>
            <w:tcW w:w="1100" w:type="dxa"/>
            <w:vAlign w:val="bottom"/>
            <w:tcBorders>
              <w:right w:val="single" w:sz="8" w:color="auto"/>
            </w:tcBorders>
          </w:tcPr>
          <w:p>
            <w:pPr>
              <w:ind w:left="200"/>
              <w:spacing w:after="0"/>
              <w:rPr>
                <w:sz w:val="20"/>
                <w:szCs w:val="20"/>
                <w:color w:val="auto"/>
              </w:rPr>
            </w:pPr>
            <w:r>
              <w:rPr>
                <w:rFonts w:ascii="Arial" w:cs="Arial" w:eastAsia="Arial" w:hAnsi="Arial"/>
                <w:sz w:val="15"/>
                <w:szCs w:val="15"/>
                <w:b w:val="1"/>
                <w:bCs w:val="1"/>
                <w:color w:val="auto"/>
              </w:rPr>
              <w:t>Mnemonic</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Year-Month</w:t>
            </w:r>
          </w:p>
        </w:tc>
        <w:tc>
          <w:tcPr>
            <w:tcW w:w="880" w:type="dxa"/>
            <w:vAlign w:val="bottom"/>
          </w:tcPr>
          <w:p>
            <w:pPr>
              <w:ind w:left="120"/>
              <w:spacing w:after="0"/>
              <w:rPr>
                <w:sz w:val="20"/>
                <w:szCs w:val="20"/>
                <w:color w:val="auto"/>
              </w:rPr>
            </w:pPr>
            <w:r>
              <w:rPr>
                <w:rFonts w:ascii="Arial" w:cs="Arial" w:eastAsia="Arial" w:hAnsi="Arial"/>
                <w:sz w:val="15"/>
                <w:szCs w:val="15"/>
                <w:b w:val="1"/>
                <w:bCs w:val="1"/>
                <w:color w:val="auto"/>
              </w:rPr>
              <w:t>Opening</w:t>
            </w:r>
          </w:p>
        </w:tc>
        <w:tc>
          <w:tcPr>
            <w:tcW w:w="800" w:type="dxa"/>
            <w:vAlign w:val="bottom"/>
          </w:tcPr>
          <w:p>
            <w:pPr>
              <w:ind w:left="120"/>
              <w:spacing w:after="0"/>
              <w:rPr>
                <w:sz w:val="20"/>
                <w:szCs w:val="20"/>
                <w:color w:val="auto"/>
              </w:rPr>
            </w:pPr>
            <w:r>
              <w:rPr>
                <w:rFonts w:ascii="Arial" w:cs="Arial" w:eastAsia="Arial" w:hAnsi="Arial"/>
                <w:sz w:val="15"/>
                <w:szCs w:val="15"/>
                <w:b w:val="1"/>
                <w:bCs w:val="1"/>
                <w:color w:val="auto"/>
              </w:rPr>
              <w:t>Closing</w:t>
            </w:r>
          </w:p>
        </w:tc>
        <w:tc>
          <w:tcPr>
            <w:tcW w:w="740" w:type="dxa"/>
            <w:vAlign w:val="bottom"/>
          </w:tcPr>
          <w:p>
            <w:pPr>
              <w:ind w:left="220"/>
              <w:spacing w:after="0"/>
              <w:rPr>
                <w:sz w:val="20"/>
                <w:szCs w:val="20"/>
                <w:color w:val="auto"/>
              </w:rPr>
            </w:pPr>
            <w:r>
              <w:rPr>
                <w:rFonts w:ascii="Arial" w:cs="Arial" w:eastAsia="Arial" w:hAnsi="Arial"/>
                <w:sz w:val="15"/>
                <w:szCs w:val="15"/>
                <w:b w:val="1"/>
                <w:bCs w:val="1"/>
                <w:color w:val="auto"/>
              </w:rPr>
              <w:t>Max</w:t>
            </w:r>
          </w:p>
        </w:tc>
        <w:tc>
          <w:tcPr>
            <w:tcW w:w="760" w:type="dxa"/>
            <w:vAlign w:val="bottom"/>
            <w:tcBorders>
              <w:right w:val="single" w:sz="8" w:color="auto"/>
            </w:tcBorders>
          </w:tcPr>
          <w:p>
            <w:pPr>
              <w:ind w:left="240"/>
              <w:spacing w:after="0"/>
              <w:rPr>
                <w:sz w:val="20"/>
                <w:szCs w:val="20"/>
                <w:color w:val="auto"/>
              </w:rPr>
            </w:pPr>
            <w:r>
              <w:rPr>
                <w:rFonts w:ascii="Arial" w:cs="Arial" w:eastAsia="Arial" w:hAnsi="Arial"/>
                <w:sz w:val="15"/>
                <w:szCs w:val="15"/>
                <w:b w:val="1"/>
                <w:bCs w:val="1"/>
                <w:color w:val="auto"/>
              </w:rPr>
              <w:t>Min</w:t>
            </w:r>
          </w:p>
        </w:tc>
        <w:tc>
          <w:tcPr>
            <w:tcW w:w="1280" w:type="dxa"/>
            <w:vAlign w:val="bottom"/>
            <w:tcBorders>
              <w:right w:val="single" w:sz="8" w:color="auto"/>
            </w:tcBorders>
          </w:tcPr>
          <w:p>
            <w:pPr>
              <w:spacing w:after="0"/>
              <w:rPr>
                <w:sz w:val="19"/>
                <w:szCs w:val="19"/>
                <w:color w:val="auto"/>
              </w:rPr>
            </w:pPr>
          </w:p>
        </w:tc>
      </w:tr>
      <w:tr>
        <w:trPr>
          <w:trHeight w:val="225"/>
        </w:trPr>
        <w:tc>
          <w:tcPr>
            <w:tcW w:w="1380" w:type="dxa"/>
            <w:vAlign w:val="bottom"/>
            <w:tcBorders>
              <w:left w:val="single" w:sz="8" w:color="auto"/>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w:t>
            </w:r>
          </w:p>
        </w:tc>
      </w:tr>
      <w:tr>
        <w:trPr>
          <w:trHeight w:val="424"/>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2022-01</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124.03</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142.90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146.30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123.70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136.32</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2022-02</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140.93</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150.00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160.00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134.00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150.47</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2022-03</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151.50</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172.72</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181.40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147.67</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173.90</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2022-04</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173.02</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139.45</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173.02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135.00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153.83</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2022-05</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137.36</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141.08</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144.42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118.95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134.92</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2022-06</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141.18</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119.68</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142.86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118.87</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127.07</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2022-07</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119.70</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128.50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130.19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113.95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123.73</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2022-08</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130.46</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129.33</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143.00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128.25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135.29</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2022-09</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127.28</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123.12</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132.55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118.10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129.01</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2022-10</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126.06</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145.80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146.10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126.06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134.02</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2022-11</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150.25</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152.80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158.05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143.15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153.33</w:t>
            </w:r>
          </w:p>
        </w:tc>
      </w:tr>
      <w:tr>
        <w:trPr>
          <w:trHeight w:val="219"/>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rPr>
              <w:t>BM G2519Y 1084</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BAP</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2022-12</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rPr>
              <w:t>150.50</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135.25</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151.70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131.90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135.49</w:t>
            </w:r>
          </w:p>
        </w:tc>
      </w:tr>
      <w:tr>
        <w:trPr>
          <w:trHeight w:val="231"/>
        </w:trPr>
        <w:tc>
          <w:tcPr>
            <w:tcW w:w="1380" w:type="dxa"/>
            <w:vAlign w:val="bottom"/>
            <w:tcBorders>
              <w:left w:val="single" w:sz="8" w:color="auto"/>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74" w:name="page75"/>
    <w:bookmarkEnd w:id="74"/>
    <w:p>
      <w:pPr>
        <w:ind w:left="2820"/>
        <w:spacing w:after="0"/>
        <w:rPr>
          <w:sz w:val="20"/>
          <w:szCs w:val="20"/>
          <w:color w:val="auto"/>
        </w:rPr>
      </w:pPr>
      <w:r>
        <w:rPr>
          <w:rFonts w:ascii="Arial" w:cs="Arial" w:eastAsia="Arial" w:hAnsi="Arial"/>
          <w:sz w:val="37"/>
          <w:szCs w:val="37"/>
          <w:color w:val="auto"/>
        </w:rPr>
        <w:t>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110490</wp:posOffset>
            </wp:positionV>
            <wp:extent cx="4099560" cy="483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99560" cy="48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Arial" w:cs="Arial" w:eastAsia="Arial" w:hAnsi="Arial"/>
          <w:sz w:val="37"/>
          <w:szCs w:val="37"/>
          <w:b w:val="1"/>
          <w:bCs w:val="1"/>
          <w:color w:val="auto"/>
        </w:rPr>
        <w:t>2022</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29845</wp:posOffset>
            </wp:positionV>
            <wp:extent cx="715264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140"/>
          </w:cols>
          <w:pgMar w:left="1440" w:top="313" w:right="319" w:bottom="1440" w:gutter="0" w:footer="0" w:header="0"/>
        </w:sectPr>
      </w:pPr>
    </w:p>
    <w:bookmarkStart w:id="75" w:name="page76"/>
    <w:bookmarkEnd w:id="75"/>
    <w:p>
      <w:pPr>
        <w:spacing w:after="0"/>
        <w:rPr>
          <w:sz w:val="20"/>
          <w:szCs w:val="20"/>
          <w:color w:val="auto"/>
        </w:rPr>
      </w:pPr>
      <w:r>
        <w:rPr>
          <w:rFonts w:ascii="Arial" w:cs="Arial" w:eastAsia="Arial" w:hAnsi="Arial"/>
          <w:sz w:val="28"/>
          <w:szCs w:val="28"/>
          <w:b w:val="1"/>
          <w:bCs w:val="1"/>
          <w:color w:val="auto"/>
        </w:rPr>
        <w:t>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15264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gridSpan w:val="11"/>
          </w:tcPr>
          <w:p>
            <w:pPr>
              <w:spacing w:after="0"/>
              <w:rPr>
                <w:sz w:val="20"/>
                <w:szCs w:val="20"/>
                <w:color w:val="auto"/>
              </w:rPr>
            </w:pPr>
            <w:r>
              <w:rPr>
                <w:rFonts w:ascii="Arial" w:cs="Arial" w:eastAsia="Arial" w:hAnsi="Arial"/>
                <w:sz w:val="15"/>
                <w:szCs w:val="15"/>
                <w:color w:val="0000EE"/>
              </w:rPr>
              <w:t>Letter from the President of the Sustainability Committee</w:t>
            </w:r>
          </w:p>
        </w:tc>
        <w:tc>
          <w:tcPr>
            <w:tcW w:w="90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22"/>
        </w:trPr>
        <w:tc>
          <w:tcPr>
            <w:tcW w:w="13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5"/>
                <w:szCs w:val="15"/>
                <w:color w:val="0000EE"/>
              </w:rPr>
              <w:t>Executive Summary</w:t>
            </w:r>
          </w:p>
        </w:tc>
        <w:tc>
          <w:tcPr>
            <w:tcW w:w="2460" w:type="dxa"/>
            <w:vAlign w:val="bottom"/>
            <w:tcBorders>
              <w:top w:val="single" w:sz="8" w:color="0000EE"/>
            </w:tcBorders>
            <w:gridSpan w:val="4"/>
          </w:tcPr>
          <w:p>
            <w:pPr>
              <w:spacing w:after="0"/>
              <w:rPr>
                <w:sz w:val="19"/>
                <w:szCs w:val="19"/>
                <w:color w:val="auto"/>
              </w:rPr>
            </w:pPr>
          </w:p>
        </w:tc>
        <w:tc>
          <w:tcPr>
            <w:tcW w:w="88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22"/>
        </w:trPr>
        <w:tc>
          <w:tcPr>
            <w:tcW w:w="408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000EE"/>
              </w:rPr>
              <w:t>Milestones in 2022 and sustainability Aspirations 2023-2025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22"/>
        </w:trPr>
        <w:tc>
          <w:tcPr>
            <w:tcW w:w="152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rPr>
              <w:t>Sustainability Strategy</w:t>
            </w:r>
          </w:p>
        </w:tc>
        <w:tc>
          <w:tcPr>
            <w:tcW w:w="3200" w:type="dxa"/>
            <w:vAlign w:val="bottom"/>
            <w:gridSpan w:val="5"/>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22"/>
        </w:trPr>
        <w:tc>
          <w:tcPr>
            <w:tcW w:w="4720" w:type="dxa"/>
            <w:vAlign w:val="bottom"/>
            <w:gridSpan w:val="11"/>
          </w:tcPr>
          <w:p>
            <w:pPr>
              <w:spacing w:after="0"/>
              <w:rPr>
                <w:sz w:val="20"/>
                <w:szCs w:val="20"/>
                <w:color w:val="auto"/>
              </w:rPr>
            </w:pPr>
            <w:r>
              <w:rPr>
                <w:rFonts w:ascii="Arial" w:cs="Arial" w:eastAsia="Arial" w:hAnsi="Arial"/>
                <w:sz w:val="15"/>
                <w:szCs w:val="15"/>
                <w:color w:val="0000EE"/>
              </w:rPr>
              <w:t>Integrating Sustainability</w:t>
            </w:r>
          </w:p>
        </w:tc>
        <w:tc>
          <w:tcPr>
            <w:tcW w:w="90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22"/>
        </w:trPr>
        <w:tc>
          <w:tcPr>
            <w:tcW w:w="13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5"/>
                <w:szCs w:val="15"/>
                <w:color w:val="0000EE"/>
              </w:rPr>
              <w:t>Social Management</w:t>
            </w:r>
          </w:p>
        </w:tc>
        <w:tc>
          <w:tcPr>
            <w:tcW w:w="300" w:type="dxa"/>
            <w:vAlign w:val="bottom"/>
            <w:tcBorders>
              <w:top w:val="single" w:sz="8" w:color="0000EE"/>
            </w:tcBorders>
            <w:gridSpan w:val="3"/>
          </w:tcPr>
          <w:p>
            <w:pPr>
              <w:spacing w:after="0"/>
              <w:rPr>
                <w:sz w:val="19"/>
                <w:szCs w:val="19"/>
                <w:color w:val="auto"/>
              </w:rPr>
            </w:pPr>
          </w:p>
        </w:tc>
        <w:tc>
          <w:tcPr>
            <w:tcW w:w="306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22"/>
        </w:trPr>
        <w:tc>
          <w:tcPr>
            <w:tcW w:w="192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Environmental Management</w:t>
            </w:r>
          </w:p>
        </w:tc>
        <w:tc>
          <w:tcPr>
            <w:tcW w:w="2800" w:type="dxa"/>
            <w:vAlign w:val="bottom"/>
            <w:gridSpan w:val="3"/>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22"/>
        </w:trPr>
        <w:tc>
          <w:tcPr>
            <w:tcW w:w="4720" w:type="dxa"/>
            <w:vAlign w:val="bottom"/>
            <w:gridSpan w:val="11"/>
          </w:tcPr>
          <w:p>
            <w:pPr>
              <w:spacing w:after="0"/>
              <w:rPr>
                <w:sz w:val="20"/>
                <w:szCs w:val="20"/>
                <w:color w:val="auto"/>
              </w:rPr>
            </w:pPr>
            <w:r>
              <w:rPr>
                <w:rFonts w:ascii="Arial" w:cs="Arial" w:eastAsia="Arial" w:hAnsi="Arial"/>
                <w:sz w:val="15"/>
                <w:szCs w:val="15"/>
                <w:color w:val="0000EE"/>
              </w:rPr>
              <w:t>Governance</w:t>
            </w:r>
          </w:p>
        </w:tc>
        <w:tc>
          <w:tcPr>
            <w:tcW w:w="90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222"/>
        </w:trPr>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5"/>
                <w:szCs w:val="15"/>
                <w:color w:val="0000EE"/>
                <w:w w:val="99"/>
              </w:rPr>
              <w:t>Annexes</w:t>
            </w:r>
          </w:p>
        </w:tc>
        <w:tc>
          <w:tcPr>
            <w:tcW w:w="220" w:type="dxa"/>
            <w:vAlign w:val="bottom"/>
            <w:tcBorders>
              <w:top w:val="single" w:sz="8" w:color="0000EE"/>
            </w:tcBorders>
            <w:gridSpan w:val="2"/>
          </w:tcPr>
          <w:p>
            <w:pPr>
              <w:spacing w:after="0"/>
              <w:rPr>
                <w:sz w:val="19"/>
                <w:szCs w:val="19"/>
                <w:color w:val="auto"/>
              </w:rPr>
            </w:pPr>
          </w:p>
        </w:tc>
        <w:tc>
          <w:tcPr>
            <w:tcW w:w="390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155</w:t>
            </w:r>
          </w:p>
        </w:tc>
      </w:tr>
      <w:tr>
        <w:trPr>
          <w:trHeight w:val="222"/>
        </w:trPr>
        <w:tc>
          <w:tcPr>
            <w:tcW w:w="4720" w:type="dxa"/>
            <w:vAlign w:val="bottom"/>
            <w:gridSpan w:val="11"/>
          </w:tcPr>
          <w:p>
            <w:pPr>
              <w:spacing w:after="0"/>
              <w:rPr>
                <w:sz w:val="20"/>
                <w:szCs w:val="20"/>
                <w:color w:val="auto"/>
              </w:rPr>
            </w:pPr>
            <w:r>
              <w:rPr>
                <w:rFonts w:ascii="Arial" w:cs="Arial" w:eastAsia="Arial" w:hAnsi="Arial"/>
                <w:sz w:val="15"/>
                <w:szCs w:val="15"/>
                <w:color w:val="0000EE"/>
              </w:rPr>
              <w:t>GRI Index</w:t>
            </w:r>
          </w:p>
        </w:tc>
        <w:tc>
          <w:tcPr>
            <w:tcW w:w="900" w:type="dxa"/>
            <w:vAlign w:val="bottom"/>
          </w:tcPr>
          <w:p>
            <w:pPr>
              <w:jc w:val="right"/>
              <w:spacing w:after="0"/>
              <w:rPr>
                <w:sz w:val="20"/>
                <w:szCs w:val="20"/>
                <w:color w:val="auto"/>
              </w:rPr>
            </w:pPr>
            <w:r>
              <w:rPr>
                <w:rFonts w:ascii="Arial" w:cs="Arial" w:eastAsia="Arial" w:hAnsi="Arial"/>
                <w:sz w:val="15"/>
                <w:szCs w:val="15"/>
                <w:color w:val="auto"/>
              </w:rPr>
              <w:t>176</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2"/>
        </w:trPr>
        <w:tc>
          <w:tcPr>
            <w:tcW w:w="4720" w:type="dxa"/>
            <w:vAlign w:val="bottom"/>
            <w:gridSpan w:val="11"/>
          </w:tcPr>
          <w:p>
            <w:pPr>
              <w:spacing w:after="0"/>
              <w:rPr>
                <w:sz w:val="20"/>
                <w:szCs w:val="20"/>
                <w:color w:val="auto"/>
              </w:rPr>
            </w:pPr>
            <w:r>
              <w:rPr>
                <w:rFonts w:ascii="Arial" w:cs="Arial" w:eastAsia="Arial" w:hAnsi="Arial"/>
                <w:sz w:val="15"/>
                <w:szCs w:val="15"/>
                <w:color w:val="0000EE"/>
              </w:rPr>
              <w:t>SASB Index</w:t>
            </w:r>
          </w:p>
        </w:tc>
        <w:tc>
          <w:tcPr>
            <w:tcW w:w="90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455" w:right="319" w:bottom="1440" w:gutter="0" w:footer="0" w:header="0"/>
        </w:sectPr>
      </w:pPr>
    </w:p>
    <w:bookmarkStart w:id="76" w:name="page77"/>
    <w:bookmarkEnd w:id="76"/>
    <w:p>
      <w:pPr>
        <w:spacing w:after="0"/>
        <w:rPr>
          <w:sz w:val="20"/>
          <w:szCs w:val="20"/>
          <w:color w:val="auto"/>
        </w:rPr>
      </w:pPr>
      <w:r>
        <w:rPr>
          <w:rFonts w:ascii="Arial" w:cs="Arial" w:eastAsia="Arial" w:hAnsi="Arial"/>
          <w:sz w:val="15"/>
          <w:szCs w:val="15"/>
          <w:b w:val="1"/>
          <w:bCs w:val="1"/>
          <w:color w:val="auto"/>
        </w:rPr>
        <w:t>Letter from the President of the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5264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2-1, 2-2, 2-3, 2-4, 2-5, 2-22</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Dear Readers</w:t>
      </w:r>
    </w:p>
    <w:p>
      <w:pPr>
        <w:jc w:val="both"/>
        <w:spacing w:after="0" w:line="244" w:lineRule="auto"/>
        <w:rPr>
          <w:sz w:val="20"/>
          <w:szCs w:val="20"/>
          <w:color w:val="auto"/>
        </w:rPr>
      </w:pPr>
      <w:r>
        <w:rPr>
          <w:rFonts w:ascii="Arial" w:cs="Arial" w:eastAsia="Arial" w:hAnsi="Arial"/>
          <w:sz w:val="15"/>
          <w:szCs w:val="15"/>
          <w:color w:val="auto"/>
        </w:rPr>
        <w:t>As President of the Sustainability Committee of the Board of Credicorp, it is my pleasure to present our Sustainability Report 2022. This document provides details on the Group’s progress on the sustainability front in 2022, which is aligned with the purpose and vision that we laid out in our Sustainability Strategy 2020-2025. This report has been developed in accordance with GRI and SASB standards.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 complex national and international environment marked by significant uncertainty and inflationary pressures, we feel compelled to reaffirm our commitment to sustainability, which is a cornerstone of our business strategy and management and serves to drive a more prosperous and sustainable future for everyone.</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Our sustainability strategy is aligned with our purpose to contribute to improving lives by accelerating the changes our countries need. To achieve this, we are adopting a new role in society: as an agent of change with relevant influence among our countries, interest groups and other actors in society as we strive to increase the positive impact of our actions and initiatives. This role has taken shape through the transformation process that we initiated three years ago to integrate sustainability in our businesses an in our operating model through initiatives launched from our Platforms and Enablers, which will be discussed in this report.</w:t>
      </w:r>
    </w:p>
    <w:p>
      <w:pPr>
        <w:spacing w:after="0" w:line="16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Social ambit is particularly relevant in the countries in which we operate and it is here that we have reaped the most significant achievements since our strategy’s launch. In this context, we included more than 2.6 million people in 2017-2022 through our mobile wallet Yape, which is Credicorp’s main vehicle for financial inclusion in Peru. In 2022, we published our second consecutive Financial Inclusion Index, which covered 8 countries in the region to help identify gaps, monitor progress and make barriers to financial inclusion in the region visible. In terms of generating opportunities for women, we have implemented the I Crédito Mujer and Mujeres Pa´Lante initiatives at Mibanco Perú and Colombia respectively and reached thousands of women. Additionally, we disbursed S/1.9 million through Mibanco Peru’s Crediagua product to provide access to essential services.</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are aware that financial inclusion must focus on generating responsible behavior and use. To this end, it is crucial to empower people to make better decisions. On this front, we have implemented different financial education initiatives under two modalities: (a) mass communications initiatives with educational content, (b) programs for on-site and online training and (c) education initiatives from a business perspective.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Environmental front is of great importance to Credicorp and its stakeholders. In this light, our financing and investment is of particular interest. Accordingly, we have taken initial steps to become a partner that supports our clients’ transition to cleaner and more sustainable operations. In 2022, we launched our Sustainable Financing Framework and made the first green issues in Peruvian commercial banking for US$ 30 million. Additionally, we placed green loans for more than US$ 163 million. On the investment front, we published our Responsible and Sustainable Investment Policy and continue to advance in our efforts to integrate ESG in our investment processes. I would also like to invite you to review our progress in developing an ESG risk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management framework, where we have made noteworthy progress by approving our first Environmental Taxonomy and developing mechanisms to identify environmental risks in prioritized sectors.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Importantly, we began the base period of our commitment to becoming carbon neutral at our direct operations by 2032 by aligning methods and scopes of measurements across subsidiaries. Initial actions for improvement, which were launched last year, have begun to bear fruit.</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On the Governance front, we seek to align our efforts with best corporate governance practices and continue advancing work relative to ethics, compliance and improving our capacities for control and corporate management. Along these lines, in 2022 we implemented three new policies: our Sustainability Policy, Corporate Policy for Human Rights and the Responsible and Sustainable Investment Policy; released our new Ethics Code; conducted our first diagnostic of risks related to human rights; and rolled out specialized training programs for the internal auditing team.</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We are very satisfied with the progress made in 2022. It reflects not just our achievements, but what is behind this success: effective integration of sustainability at the business level, ad hoc capacity-building, and creation of awareness and positive change in our culture. These elements are the foundation of true transformation that seeks to generate more business-side impact. We will continue to drive these efforts with the conviction that we are creating more prosperous and resilient societies and generating value for our stakeholders.</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Happy reading!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220345</wp:posOffset>
            </wp:positionV>
            <wp:extent cx="1464310" cy="534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4310" cy="53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Maite Aranzábal</w:t>
      </w:r>
    </w:p>
    <w:p>
      <w:pPr>
        <w:spacing w:after="0" w:line="3392" w:lineRule="exact"/>
        <w:rPr>
          <w:sz w:val="20"/>
          <w:szCs w:val="20"/>
          <w:color w:val="auto"/>
        </w:rPr>
      </w:pPr>
    </w:p>
    <w:p>
      <w:pPr>
        <w:sectPr>
          <w:pgSz w:w="11900" w:h="16838" w:orient="portrait"/>
          <w:cols w:equalWidth="0" w:num="2">
            <w:col w:w="5400" w:space="440"/>
            <w:col w:w="5420"/>
          </w:cols>
          <w:pgMar w:left="320" w:top="328" w:right="319" w:bottom="1440" w:gutter="0" w:footer="0" w:header="0"/>
          <w:type w:val="continuous"/>
        </w:sectPr>
      </w:pPr>
    </w:p>
    <w:p>
      <w:pPr>
        <w:spacing w:after="0" w:line="332" w:lineRule="exact"/>
        <w:rPr>
          <w:sz w:val="20"/>
          <w:szCs w:val="20"/>
          <w:color w:val="auto"/>
        </w:rPr>
      </w:pPr>
    </w:p>
    <w:p>
      <w:pPr>
        <w:ind w:left="11080"/>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5"/>
          <w:szCs w:val="15"/>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43344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2-1, 2-2, 2-3, 2-4, 2-5, 2-22</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the initial sections of our Sustainability Report 2022, we provide information on the Milestones achieved this year and discuss our Aspirations for the next 3 years. These aspirations are part of our Sustainability Strategy and include on-going efforts to deepen the focus of our social, environmental and corporate governance objectives.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To identify the material issues that guided the content of this report, we conducted Materiality Analysis 2022, which entailed surveying our main stakeholders. The issues targeted by our sustainability strategy have been consistently aligned with those identified by our stakeholders, which confirms that we are on-track. We will continue to use these issues as north stars to guide our sustainability efforts, in line with our vision and purpose.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Through our lines of business, we seek to be a sustainable financial leader in the region that accelerates the changes our countries need by acting as an Agent of Change whose actions create positive ripple effects in others through initiatives that are aligned with the UN Sustainable Development Goals. We are pioneers in Peru on the Affiliations and Adhesions front, which facilitates our effort to adopt best local and international practices. The achievements this year, which include Awards and Recognition for our initiatives, motivate us to continue implementing our strategy and Integrating Sustainability in everything we do. Additionally, we have improved our ratings on the main sustainability indexes. In 2022, Credicorp was ranked in the leader category of MSCI and rated above average for the global financial sector.</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Our strategy’s implementation is geared toward Integrating Sustainability in our Business Model (products, services, channels, among others) through different work platforms and through Our Operating Model, via different enablers. Some of the enablers that have been prioritized include incorporating sustainability in the culture and DNA of our leaders and employees through our strategy for Change Management; the Integration of ESG Factors in Risk Management; and the integration of ESG criteria in the Finance area and in processes such as sustainability management metrics.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Social Management is crucial in our efforts to achieve our purpose and act as true agents of change. In this regard, the social aspect that generates the greatest impact is Financial Inclusion, which is closely tied to Closing the Gender Gap for Products and Opportunities for Women and with Financial Education. We are convinced that financial inclusion contributes to people’s wellbeing and are working to develop products and services that reduce barriers to accessing the financial system. This constitutes one of the main material issues identified by our stakeholders, and by investors in particular. Additionally, we Promote the Development of Entrepreneurs and Micro, Small and Medium businesses to help small businesses grow and achieve higher levels of inclusion of microbusinesses in particular.</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Another of our main objectives on the social front is Improving our Clients’ Experience by leveraging technology and moreover, striving to ensure greater Simplicity and Transparency, which is the best way to generate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581660</wp:posOffset>
            </wp:positionV>
            <wp:extent cx="715264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It is also important to note that key players in our quest to meet objectives are our Employees, who accompany us in our commitment to develop the workforce of the future. We support our team to increase their effectiveness, skills and impact through our Human Management and Development programs, which emphasize development of Digital Profiles; work to improve the Experience of Our Employees; and promote Gender Equity and Workplace Sustainability. We also have programs for Talent Management and Business Agility and guarantee that our work environment responds to best practices for Occupational Safety and Health.</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have extended our commitment to sustainability to include our value chain through Sustainable Supplier Management, which focuses on Corporate Negotiation and Supplier Management to ensure that our suppliers are Aligned with Our Ethics and Integrity. We apply ESG Assessments of Suppliers and will strengthen this tool over team.</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final component of our social management covers our relations with the community and Our Impact through Social Responsibility Initiatives. These initiatives include our Corporate Volunteer program and the recently launched Programa Voces, which identifies and promotes the development of initiatives created by young people in the region, among Others.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To fulfill our strategic objective to create a more sustainable and inclusive economy, our advances in Environmental Management are also fundamental. Sustainable finance and investment was of interest across a number of stakeholder groups and ranked high on the list of investors. We are working on a corporate environmental strategy and our aspiration is to by our clients’ ally in their transition to more sustainable practices.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Through our Sustainable Finance platform, we work to develop and offer financial solutions that motivate our clients to reduce their environmental impact: green financing, eco-factoring, green bonds, sustainable financial products, among others. In 2022, we published our Corporate Policy for Sustainable and Responsible Investment. We seek to be agents of change in the financial market by directing capital flows to sectors that develop increasingly sustainable practices and by providing advice to clients and the companies in which we invest through the relations front.</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 key enabler in this regard in our ESG Risk Management, which is transversal in scope and involves multi-disciplinary teams with representatives from the Risk. Loan, Business and Sustainability Areas. The focus here is on transition, as opposed to merely identifying exclusions.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Although our operations do not generate major direct environmental impacts, we believe that reducing our direct environmental footprint is an important enabler in the process to integrate sustainable environmental management in our operating model. We have set an objective to reduce our net Greenhouse Gas Emissions (GHG) by 10% every year at our subsidiaries, utilizing 2022 as the base year. The target is to achieve carbon neutrality at all of our own operations in 2032.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75</w:t>
      </w:r>
    </w:p>
    <w:p>
      <w:pPr>
        <w:sectPr>
          <w:pgSz w:w="11900" w:h="16838" w:orient="portrait"/>
          <w:cols w:equalWidth="0" w:num="2">
            <w:col w:w="5400" w:space="440"/>
            <w:col w:w="5420"/>
          </w:cols>
          <w:pgMar w:left="320" w:top="120" w:right="319" w:bottom="1440" w:gutter="0" w:footer="0" w:header="0"/>
        </w:sectPr>
      </w:pPr>
    </w:p>
    <w:bookmarkStart w:id="78" w:name="page79"/>
    <w:bookmarkEnd w:id="78"/>
    <w:p>
      <w:pPr>
        <w:spacing w:after="0"/>
        <w:rPr>
          <w:sz w:val="20"/>
          <w:szCs w:val="20"/>
          <w:color w:val="auto"/>
        </w:rPr>
      </w:pPr>
      <w:r>
        <w:rPr>
          <w:rFonts w:ascii="Arial" w:cs="Arial" w:eastAsia="Arial" w:hAnsi="Arial"/>
          <w:sz w:val="15"/>
          <w:szCs w:val="15"/>
          <w:color w:val="auto"/>
        </w:rPr>
        <w:t>Given that Electricity Consumption is one of our main sources of GHG, over the</w:t>
      </w:r>
    </w:p>
    <w:p>
      <w:pPr>
        <w:spacing w:after="0"/>
        <w:rPr>
          <w:sz w:val="20"/>
          <w:szCs w:val="20"/>
          <w:color w:val="auto"/>
        </w:rPr>
      </w:pPr>
      <w:r>
        <w:rPr>
          <w:rFonts w:ascii="Arial" w:cs="Arial" w:eastAsia="Arial" w:hAnsi="Arial"/>
          <w:sz w:val="15"/>
          <w:szCs w:val="15"/>
          <w:color w:val="auto"/>
        </w:rPr>
        <w:t>last few years we have taken different actions to promote clean energy and</w:t>
      </w:r>
    </w:p>
    <w:p>
      <w:pPr>
        <w:spacing w:after="0"/>
        <w:rPr>
          <w:sz w:val="20"/>
          <w:szCs w:val="20"/>
          <w:color w:val="auto"/>
        </w:rPr>
      </w:pPr>
      <w:r>
        <w:rPr>
          <w:rFonts w:ascii="Arial" w:cs="Arial" w:eastAsia="Arial" w:hAnsi="Arial"/>
          <w:sz w:val="15"/>
          <w:szCs w:val="15"/>
          <w:color w:val="auto"/>
        </w:rPr>
        <w:t>energy efficiency. We also measure and monitor our Water Consumption on an</w:t>
      </w:r>
    </w:p>
    <w:p>
      <w:pPr>
        <w:spacing w:after="0"/>
        <w:rPr>
          <w:sz w:val="20"/>
          <w:szCs w:val="20"/>
          <w:color w:val="auto"/>
        </w:rPr>
      </w:pPr>
      <w:r>
        <w:rPr>
          <w:rFonts w:ascii="Arial" w:cs="Arial" w:eastAsia="Arial" w:hAnsi="Arial"/>
          <w:sz w:val="15"/>
          <w:szCs w:val="15"/>
          <w:color w:val="auto"/>
        </w:rPr>
        <w:t>annual  basis  and  incorporate  efficient  technologies  to  contribute  to  the</w:t>
      </w:r>
    </w:p>
    <w:p>
      <w:pPr>
        <w:spacing w:after="0"/>
        <w:rPr>
          <w:sz w:val="20"/>
          <w:szCs w:val="20"/>
          <w:color w:val="auto"/>
        </w:rPr>
      </w:pPr>
      <w:r>
        <w:rPr>
          <w:rFonts w:ascii="Arial" w:cs="Arial" w:eastAsia="Arial" w:hAnsi="Arial"/>
          <w:sz w:val="15"/>
          <w:szCs w:val="15"/>
          <w:color w:val="auto"/>
        </w:rPr>
        <w:t>responsible use of water at our subsidiaries. Lastly, we have developed a</w:t>
      </w:r>
    </w:p>
    <w:p>
      <w:pPr>
        <w:spacing w:after="0"/>
        <w:rPr>
          <w:sz w:val="20"/>
          <w:szCs w:val="20"/>
          <w:color w:val="auto"/>
        </w:rPr>
      </w:pPr>
      <w:r>
        <w:rPr>
          <w:rFonts w:ascii="Arial" w:cs="Arial" w:eastAsia="Arial" w:hAnsi="Arial"/>
          <w:sz w:val="15"/>
          <w:szCs w:val="15"/>
          <w:color w:val="auto"/>
        </w:rPr>
        <w:t>number of initiatives to reduce Waste generation.</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Finally,  we  have  focused  on  improving  our  Governance  structure  and</w:t>
      </w:r>
    </w:p>
    <w:p>
      <w:pPr>
        <w:spacing w:after="0"/>
        <w:rPr>
          <w:sz w:val="20"/>
          <w:szCs w:val="20"/>
          <w:color w:val="auto"/>
        </w:rPr>
      </w:pPr>
      <w:r>
        <w:rPr>
          <w:rFonts w:ascii="Arial" w:cs="Arial" w:eastAsia="Arial" w:hAnsi="Arial"/>
          <w:sz w:val="15"/>
          <w:szCs w:val="15"/>
          <w:color w:val="auto"/>
        </w:rPr>
        <w:t>encouraging people to do the right thing. In our materiality analysis in 2022,</w:t>
      </w:r>
    </w:p>
    <w:p>
      <w:pPr>
        <w:spacing w:after="0"/>
        <w:rPr>
          <w:sz w:val="20"/>
          <w:szCs w:val="20"/>
          <w:color w:val="auto"/>
        </w:rPr>
      </w:pPr>
      <w:r>
        <w:rPr>
          <w:rFonts w:ascii="Arial" w:cs="Arial" w:eastAsia="Arial" w:hAnsi="Arial"/>
          <w:sz w:val="15"/>
          <w:szCs w:val="15"/>
          <w:color w:val="auto"/>
        </w:rPr>
        <w:t>corporate Governance and business ethics and anti-corruption were identified</w:t>
      </w:r>
    </w:p>
    <w:p>
      <w:pPr>
        <w:spacing w:after="0"/>
        <w:rPr>
          <w:sz w:val="20"/>
          <w:szCs w:val="20"/>
          <w:color w:val="auto"/>
        </w:rPr>
      </w:pPr>
      <w:r>
        <w:rPr>
          <w:rFonts w:ascii="Arial" w:cs="Arial" w:eastAsia="Arial" w:hAnsi="Arial"/>
          <w:sz w:val="15"/>
          <w:szCs w:val="15"/>
          <w:color w:val="auto"/>
        </w:rPr>
        <w:t>as relevant issues by a number of stakeholders. On the Company front,</w:t>
      </w:r>
    </w:p>
    <w:p>
      <w:pPr>
        <w:spacing w:after="0"/>
        <w:rPr>
          <w:sz w:val="20"/>
          <w:szCs w:val="20"/>
          <w:color w:val="auto"/>
        </w:rPr>
      </w:pPr>
      <w:r>
        <w:rPr>
          <w:rFonts w:ascii="Arial" w:cs="Arial" w:eastAsia="Arial" w:hAnsi="Arial"/>
          <w:sz w:val="15"/>
          <w:szCs w:val="15"/>
          <w:color w:val="auto"/>
        </w:rPr>
        <w:t>business ethics and anti-corruption ranked high on the list of priorities given</w:t>
      </w:r>
    </w:p>
    <w:p>
      <w:pPr>
        <w:spacing w:after="0"/>
        <w:rPr>
          <w:sz w:val="20"/>
          <w:szCs w:val="20"/>
          <w:color w:val="auto"/>
        </w:rPr>
      </w:pPr>
      <w:r>
        <w:rPr>
          <w:rFonts w:ascii="Arial" w:cs="Arial" w:eastAsia="Arial" w:hAnsi="Arial"/>
          <w:sz w:val="15"/>
          <w:szCs w:val="15"/>
          <w:color w:val="auto"/>
        </w:rPr>
        <w:t>that they directly impact operations, regulatory compliance and client as well as</w:t>
      </w:r>
    </w:p>
    <w:p>
      <w:pPr>
        <w:spacing w:after="0"/>
        <w:tabs>
          <w:tab w:leader="none" w:pos="840" w:val="left"/>
          <w:tab w:leader="none" w:pos="1600" w:val="left"/>
          <w:tab w:leader="none" w:pos="2000" w:val="left"/>
          <w:tab w:leader="none" w:pos="2940" w:val="left"/>
          <w:tab w:leader="none" w:pos="3560" w:val="left"/>
          <w:tab w:leader="none" w:pos="4280" w:val="left"/>
          <w:tab w:leader="none" w:pos="4860" w:val="left"/>
          <w:tab w:leader="none" w:pos="5160" w:val="left"/>
        </w:tabs>
        <w:rPr>
          <w:sz w:val="20"/>
          <w:szCs w:val="20"/>
          <w:color w:val="auto"/>
        </w:rPr>
      </w:pPr>
      <w:r>
        <w:rPr>
          <w:rFonts w:ascii="Arial" w:cs="Arial" w:eastAsia="Arial" w:hAnsi="Arial"/>
          <w:sz w:val="15"/>
          <w:szCs w:val="15"/>
          <w:color w:val="auto"/>
        </w:rPr>
        <w:t>community</w:t>
        <w:tab/>
        <w:t>relations.</w:t>
        <w:tab/>
        <w:t>The</w:t>
        <w:tab/>
        <w:t>governance</w:t>
        <w:tab/>
        <w:t>section</w:t>
        <w:tab/>
        <w:t>provides</w:t>
        <w:tab/>
        <w:t>details</w:t>
        <w:tab/>
        <w:t>on</w:t>
        <w:tab/>
        <w:t>the</w:t>
      </w:r>
    </w:p>
    <w:p>
      <w:pPr>
        <w:spacing w:after="0"/>
        <w:rPr>
          <w:sz w:val="20"/>
          <w:szCs w:val="20"/>
          <w:color w:val="auto"/>
        </w:rPr>
      </w:pPr>
      <w:r>
        <w:rPr>
          <w:rFonts w:ascii="Arial" w:cs="Arial" w:eastAsia="Arial" w:hAnsi="Arial"/>
          <w:sz w:val="15"/>
          <w:szCs w:val="15"/>
          <w:color w:val="auto"/>
        </w:rPr>
        <w:t>management of and advances relative to corporate governance, including a</w:t>
      </w:r>
    </w:p>
    <w:p>
      <w:pPr>
        <w:spacing w:after="0"/>
        <w:rPr>
          <w:sz w:val="20"/>
          <w:szCs w:val="20"/>
          <w:color w:val="auto"/>
        </w:rPr>
      </w:pPr>
      <w:r>
        <w:rPr>
          <w:rFonts w:ascii="Arial" w:cs="Arial" w:eastAsia="Arial" w:hAnsi="Arial"/>
          <w:sz w:val="15"/>
          <w:szCs w:val="15"/>
          <w:color w:val="auto"/>
        </w:rPr>
        <w:t>description of the Compensation Model for the Board and Executive Segment;</w:t>
      </w:r>
    </w:p>
    <w:p>
      <w:pPr>
        <w:spacing w:after="0"/>
        <w:rPr>
          <w:sz w:val="20"/>
          <w:szCs w:val="20"/>
          <w:color w:val="auto"/>
        </w:rPr>
      </w:pPr>
      <w:r>
        <w:rPr>
          <w:rFonts w:ascii="Arial" w:cs="Arial" w:eastAsia="Arial" w:hAnsi="Arial"/>
          <w:sz w:val="15"/>
          <w:szCs w:val="15"/>
          <w:color w:val="auto"/>
        </w:rPr>
        <w:t>Sustainability Governance, which provides more details on the Teams that</w:t>
      </w:r>
    </w:p>
    <w:p>
      <w:pPr>
        <w:spacing w:after="0"/>
        <w:rPr>
          <w:sz w:val="20"/>
          <w:szCs w:val="20"/>
          <w:color w:val="auto"/>
        </w:rPr>
      </w:pPr>
      <w:r>
        <w:rPr>
          <w:rFonts w:ascii="Arial" w:cs="Arial" w:eastAsia="Arial" w:hAnsi="Arial"/>
          <w:sz w:val="15"/>
          <w:szCs w:val="15"/>
          <w:color w:val="auto"/>
        </w:rPr>
        <w:t>Implement Corporate Compliance Policies and Human Rights Assessment; and</w:t>
      </w:r>
    </w:p>
    <w:p>
      <w:pPr>
        <w:spacing w:after="0"/>
        <w:rPr>
          <w:sz w:val="20"/>
          <w:szCs w:val="20"/>
          <w:color w:val="auto"/>
        </w:rPr>
      </w:pPr>
      <w:r>
        <w:rPr>
          <w:rFonts w:ascii="Arial" w:cs="Arial" w:eastAsia="Arial" w:hAnsi="Arial"/>
          <w:sz w:val="15"/>
          <w:szCs w:val="15"/>
          <w:color w:val="auto"/>
        </w:rPr>
        <w:t>our Systems for Corporate Control and Management, which ensure that our</w:t>
      </w:r>
    </w:p>
    <w:p>
      <w:pPr>
        <w:spacing w:after="0"/>
        <w:rPr>
          <w:sz w:val="20"/>
          <w:szCs w:val="20"/>
          <w:color w:val="auto"/>
        </w:rPr>
      </w:pPr>
      <w:r>
        <w:rPr>
          <w:rFonts w:ascii="Arial" w:cs="Arial" w:eastAsia="Arial" w:hAnsi="Arial"/>
          <w:sz w:val="15"/>
          <w:szCs w:val="15"/>
          <w:color w:val="auto"/>
        </w:rPr>
        <w:t>operating model works effectively and is sustainably developed, and include</w:t>
      </w:r>
    </w:p>
    <w:p>
      <w:pPr>
        <w:spacing w:after="0"/>
        <w:rPr>
          <w:sz w:val="20"/>
          <w:szCs w:val="20"/>
          <w:color w:val="auto"/>
        </w:rPr>
      </w:pPr>
      <w:r>
        <w:rPr>
          <w:rFonts w:ascii="Arial" w:cs="Arial" w:eastAsia="Arial" w:hAnsi="Arial"/>
          <w:sz w:val="15"/>
          <w:szCs w:val="15"/>
          <w:color w:val="auto"/>
        </w:rPr>
        <w:t>details on our Cybersecurity Program.</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All of our efforts aim to heighten transparency and ensure that sustainability is</w:t>
      </w:r>
    </w:p>
    <w:p>
      <w:pPr>
        <w:spacing w:after="0"/>
        <w:rPr>
          <w:sz w:val="20"/>
          <w:szCs w:val="20"/>
          <w:color w:val="auto"/>
        </w:rPr>
      </w:pPr>
      <w:r>
        <w:rPr>
          <w:rFonts w:ascii="Arial" w:cs="Arial" w:eastAsia="Arial" w:hAnsi="Arial"/>
          <w:sz w:val="15"/>
          <w:szCs w:val="15"/>
          <w:color w:val="auto"/>
        </w:rPr>
        <w:t>effectively integrated in the day-to-day of our businesses. We expect to</w:t>
      </w:r>
    </w:p>
    <w:p>
      <w:pPr>
        <w:spacing w:after="0"/>
        <w:rPr>
          <w:sz w:val="20"/>
          <w:szCs w:val="20"/>
          <w:color w:val="auto"/>
        </w:rPr>
      </w:pPr>
      <w:r>
        <w:rPr>
          <w:rFonts w:ascii="Arial" w:cs="Arial" w:eastAsia="Arial" w:hAnsi="Arial"/>
          <w:sz w:val="15"/>
          <w:szCs w:val="15"/>
          <w:color w:val="auto"/>
        </w:rPr>
        <w:t>continue directly and indirectly collaborating, through our role as an agent of</w:t>
      </w:r>
    </w:p>
    <w:p>
      <w:pPr>
        <w:spacing w:after="0"/>
        <w:rPr>
          <w:sz w:val="20"/>
          <w:szCs w:val="20"/>
          <w:color w:val="auto"/>
        </w:rPr>
      </w:pPr>
      <w:r>
        <w:rPr>
          <w:rFonts w:ascii="Arial" w:cs="Arial" w:eastAsia="Arial" w:hAnsi="Arial"/>
          <w:sz w:val="15"/>
          <w:szCs w:val="15"/>
          <w:color w:val="auto"/>
        </w:rPr>
        <w:t>change, in the sustainable development of our countries and our region.</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15" w:lineRule="auto"/>
        <w:rPr>
          <w:sz w:val="20"/>
          <w:szCs w:val="20"/>
          <w:color w:val="auto"/>
        </w:rPr>
      </w:pPr>
      <w:r>
        <w:rPr>
          <w:rFonts w:ascii="Arial" w:cs="Arial" w:eastAsia="Arial" w:hAnsi="Arial"/>
          <w:sz w:val="15"/>
          <w:szCs w:val="15"/>
          <w:color w:val="auto"/>
        </w:rPr>
        <w:t>This Report corresponds to Credicorp Ltd, which is based in Hamilton, Bermuda and includes, in line with the scope of Credicorp’s Corporate Sustainability Policy, information on the main subsidiaries that operate in Peru and other countries, including Colombia, Bolivia, Chile, Panama and the United States</w:t>
      </w:r>
      <w:r>
        <w:rPr>
          <w:rFonts w:ascii="Arial" w:cs="Arial" w:eastAsia="Arial" w:hAnsi="Arial"/>
          <w:sz w:val="25"/>
          <w:szCs w:val="25"/>
          <w:color w:val="auto"/>
          <w:vertAlign w:val="superscript"/>
        </w:rPr>
        <w:t>15</w:t>
      </w:r>
      <w:r>
        <w:rPr>
          <w:rFonts w:ascii="Arial" w:cs="Arial" w:eastAsia="Arial" w:hAnsi="Arial"/>
          <w:sz w:val="15"/>
          <w:szCs w:val="15"/>
          <w:color w:val="auto"/>
        </w:rPr>
        <w:t>. These main subsidiaries are: Banco de Crédito del Perú (BCP), Mibanco Perú, Mibanco Colombia, BCP Bolivia, Pacífico Seguros, Prima AFP and Credicorp Capital. The information presented is consolidated at the Credicorp Ltd. level unless otherwise stated. There is no re-expression of information presented in previous reports. The reporting period extends from January 1 to December 31, 2022.</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current Sustainability Report is annexed to Our Annual Report. These documents are published together in February 2023. It is important to note that we have a governance process to review and approve both documents, which were approved in the last session held by the Board. The information presented in this Report was not verified externally. The financial information herein is derived from the audited financial statements. Additionally, Credicorp’s carbon footprint is audited by an external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42748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73" w:lineRule="exact"/>
        <w:rPr>
          <w:sz w:val="20"/>
          <w:szCs w:val="20"/>
          <w:color w:val="auto"/>
        </w:rPr>
      </w:pPr>
    </w:p>
    <w:p>
      <w:pPr>
        <w:ind w:left="440" w:hanging="171"/>
        <w:spacing w:after="0"/>
        <w:tabs>
          <w:tab w:leader="none" w:pos="440" w:val="left"/>
        </w:tabs>
        <w:numPr>
          <w:ilvl w:val="0"/>
          <w:numId w:val="42"/>
        </w:numPr>
        <w:rPr>
          <w:rFonts w:ascii="Arial" w:cs="Arial" w:eastAsia="Arial" w:hAnsi="Arial"/>
          <w:sz w:val="23"/>
          <w:szCs w:val="23"/>
          <w:color w:val="auto"/>
          <w:vertAlign w:val="superscript"/>
        </w:rPr>
      </w:pPr>
      <w:r>
        <w:rPr>
          <w:rFonts w:ascii="Arial" w:cs="Arial" w:eastAsia="Arial" w:hAnsi="Arial"/>
          <w:sz w:val="14"/>
          <w:szCs w:val="14"/>
          <w:color w:val="auto"/>
        </w:rPr>
        <w:t>Not exhaustive. For more information on the companies of the group, review the “Description of the Company” section in the Annual Report.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color w:val="auto"/>
        </w:rPr>
        <w:t>Milestones in 2022 and sustainability Aspirations 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5264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MILESTONES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sectPr>
      </w:pPr>
    </w:p>
    <w:bookmarkStart w:id="81" w:name="page82"/>
    <w:bookmarkEnd w:id="81"/>
    <w:p>
      <w:pPr>
        <w:spacing w:after="0"/>
        <w:rPr>
          <w:sz w:val="20"/>
          <w:szCs w:val="20"/>
          <w:color w:val="auto"/>
        </w:rPr>
      </w:pPr>
      <w:r>
        <w:rPr>
          <w:rFonts w:ascii="Arial" w:cs="Arial" w:eastAsia="Arial" w:hAnsi="Arial"/>
          <w:sz w:val="15"/>
          <w:szCs w:val="15"/>
          <w:color w:val="201F1E"/>
        </w:rPr>
        <w:t>In addition to our achievements this year, we have developed the following aspirations for the next 3 years, all of which are contemplated in our sustainability strategy.</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0" w:type="dxa"/>
            <w:vAlign w:val="bottom"/>
          </w:tcPr>
          <w:p>
            <w:pPr>
              <w:ind w:left="1900"/>
              <w:spacing w:after="0"/>
              <w:rPr>
                <w:sz w:val="20"/>
                <w:szCs w:val="20"/>
                <w:color w:val="auto"/>
              </w:rPr>
            </w:pPr>
            <w:r>
              <w:rPr>
                <w:rFonts w:ascii="Arial" w:cs="Arial" w:eastAsia="Arial" w:hAnsi="Arial"/>
                <w:sz w:val="22"/>
                <w:szCs w:val="22"/>
                <w:b w:val="1"/>
                <w:bCs w:val="1"/>
                <w:color w:val="auto"/>
              </w:rPr>
              <w:t>ASPIRATIONS 2023-2025</w:t>
            </w:r>
          </w:p>
        </w:tc>
        <w:tc>
          <w:tcPr>
            <w:tcW w:w="0" w:type="dxa"/>
            <w:vAlign w:val="bottom"/>
          </w:tcPr>
          <w:p>
            <w:pPr>
              <w:spacing w:after="0"/>
              <w:rPr>
                <w:sz w:val="1"/>
                <w:szCs w:val="1"/>
                <w:color w:val="auto"/>
              </w:rPr>
            </w:pPr>
          </w:p>
        </w:tc>
      </w:tr>
      <w:tr>
        <w:trPr>
          <w:trHeight w:val="167"/>
        </w:trPr>
        <w:tc>
          <w:tcPr>
            <w:tcW w:w="2240" w:type="dxa"/>
            <w:vAlign w:val="bottom"/>
            <w:tcBorders>
              <w:bottom w:val="single" w:sz="8" w:color="auto"/>
            </w:tcBorders>
          </w:tcPr>
          <w:p>
            <w:pPr>
              <w:spacing w:after="0"/>
              <w:rPr>
                <w:sz w:val="14"/>
                <w:szCs w:val="14"/>
                <w:color w:val="auto"/>
              </w:rPr>
            </w:pPr>
          </w:p>
        </w:tc>
        <w:tc>
          <w:tcPr>
            <w:tcW w:w="902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4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gridSpan w:val="2"/>
          </w:tcPr>
          <w:p>
            <w:pPr>
              <w:ind w:left="80"/>
              <w:spacing w:after="0" w:line="164" w:lineRule="exact"/>
              <w:rPr>
                <w:sz w:val="20"/>
                <w:szCs w:val="20"/>
                <w:color w:val="auto"/>
              </w:rPr>
            </w:pPr>
            <w:r>
              <w:rPr>
                <w:rFonts w:ascii="Arial" w:cs="Arial" w:eastAsia="Arial" w:hAnsi="Arial"/>
                <w:sz w:val="15"/>
                <w:szCs w:val="15"/>
                <w:color w:val="auto"/>
              </w:rPr>
              <w:t>● Design a corporate environmental strategy that defines our ambition and provides a road map that considers structure, strategic</w:t>
            </w:r>
          </w:p>
        </w:tc>
        <w:tc>
          <w:tcPr>
            <w:tcW w:w="0" w:type="dxa"/>
            <w:vAlign w:val="bottom"/>
          </w:tcPr>
          <w:p>
            <w:pPr>
              <w:spacing w:after="0"/>
              <w:rPr>
                <w:sz w:val="1"/>
                <w:szCs w:val="1"/>
                <w:color w:val="auto"/>
              </w:rPr>
            </w:pPr>
          </w:p>
        </w:tc>
      </w:tr>
      <w:tr>
        <w:trPr>
          <w:trHeight w:val="173"/>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7"/>
                <w:szCs w:val="37"/>
                <w:b w:val="1"/>
                <w:bCs w:val="1"/>
                <w:color w:val="9CC2E5"/>
                <w:w w:val="97"/>
              </w:rPr>
              <w:t>E</w:t>
            </w:r>
          </w:p>
        </w:tc>
        <w:tc>
          <w:tcPr>
            <w:tcW w:w="220" w:type="dxa"/>
            <w:vAlign w:val="bottom"/>
          </w:tcPr>
          <w:p>
            <w:pPr>
              <w:spacing w:after="0"/>
              <w:rPr>
                <w:sz w:val="15"/>
                <w:szCs w:val="15"/>
                <w:color w:val="auto"/>
              </w:rPr>
            </w:pPr>
          </w:p>
        </w:tc>
        <w:tc>
          <w:tcPr>
            <w:tcW w:w="8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issues, opportunities to grow our portfolio of sustainable solutions, risk management, reporting.</w:t>
            </w:r>
          </w:p>
        </w:tc>
        <w:tc>
          <w:tcPr>
            <w:tcW w:w="0" w:type="dxa"/>
            <w:vAlign w:val="bottom"/>
          </w:tcPr>
          <w:p>
            <w:pPr>
              <w:spacing w:after="0"/>
              <w:rPr>
                <w:sz w:val="1"/>
                <w:szCs w:val="1"/>
                <w:color w:val="auto"/>
              </w:rPr>
            </w:pPr>
          </w:p>
        </w:tc>
      </w:tr>
      <w:tr>
        <w:trPr>
          <w:trHeight w:val="173"/>
        </w:trPr>
        <w:tc>
          <w:tcPr>
            <w:tcW w:w="2240" w:type="dxa"/>
            <w:vAlign w:val="bottom"/>
            <w:tcBorders>
              <w:left w:val="single" w:sz="8" w:color="auto"/>
              <w:right w:val="single" w:sz="8" w:color="auto"/>
            </w:tcBorders>
            <w:vMerge w:val="continue"/>
          </w:tcPr>
          <w:p>
            <w:pPr>
              <w:spacing w:after="0"/>
              <w:rPr>
                <w:sz w:val="15"/>
                <w:szCs w:val="15"/>
                <w:color w:val="auto"/>
              </w:rPr>
            </w:pPr>
          </w:p>
        </w:tc>
        <w:tc>
          <w:tcPr>
            <w:tcW w:w="220" w:type="dxa"/>
            <w:vAlign w:val="bottom"/>
          </w:tcPr>
          <w:p>
            <w:pPr>
              <w:ind w:left="80"/>
              <w:spacing w:after="0"/>
              <w:rPr>
                <w:sz w:val="20"/>
                <w:szCs w:val="20"/>
                <w:color w:val="auto"/>
              </w:rPr>
            </w:pPr>
            <w:r>
              <w:rPr>
                <w:rFonts w:ascii="Arial" w:cs="Arial" w:eastAsia="Arial" w:hAnsi="Arial"/>
                <w:sz w:val="15"/>
                <w:szCs w:val="15"/>
                <w:color w:val="auto"/>
              </w:rPr>
              <w:t>●</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Continue improving our ESG risk management, including conducting a diagnostic regarding our alignment with TCFD’s</w:t>
            </w:r>
          </w:p>
        </w:tc>
        <w:tc>
          <w:tcPr>
            <w:tcW w:w="0" w:type="dxa"/>
            <w:vAlign w:val="bottom"/>
          </w:tcPr>
          <w:p>
            <w:pPr>
              <w:spacing w:after="0"/>
              <w:rPr>
                <w:sz w:val="1"/>
                <w:szCs w:val="1"/>
                <w:color w:val="auto"/>
              </w:rPr>
            </w:pPr>
          </w:p>
        </w:tc>
      </w:tr>
      <w:tr>
        <w:trPr>
          <w:trHeight w:val="173"/>
        </w:trPr>
        <w:tc>
          <w:tcPr>
            <w:tcW w:w="2240" w:type="dxa"/>
            <w:vAlign w:val="bottom"/>
            <w:tcBorders>
              <w:left w:val="single" w:sz="8" w:color="auto"/>
              <w:right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recommendations and strengthen the teams’ capacities relative to managing the portfolio’s emissions. Execution of plans to</w:t>
            </w:r>
          </w:p>
        </w:tc>
        <w:tc>
          <w:tcPr>
            <w:tcW w:w="0" w:type="dxa"/>
            <w:vAlign w:val="bottom"/>
          </w:tcPr>
          <w:p>
            <w:pPr>
              <w:spacing w:after="0"/>
              <w:rPr>
                <w:sz w:val="1"/>
                <w:szCs w:val="1"/>
                <w:color w:val="auto"/>
              </w:rPr>
            </w:pPr>
          </w:p>
        </w:tc>
      </w:tr>
      <w:tr>
        <w:trPr>
          <w:trHeight w:val="185"/>
        </w:trPr>
        <w:tc>
          <w:tcPr>
            <w:tcW w:w="22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reduce our direct environmental footprint with an eye on becoming carbon-neutral by 2032.</w:t>
            </w: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bottom w:val="single" w:sz="8" w:color="auto"/>
              <w:right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4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gridSpan w:val="2"/>
          </w:tcPr>
          <w:p>
            <w:pPr>
              <w:ind w:left="80"/>
              <w:spacing w:after="0" w:line="164" w:lineRule="exact"/>
              <w:rPr>
                <w:sz w:val="20"/>
                <w:szCs w:val="20"/>
                <w:color w:val="auto"/>
              </w:rPr>
            </w:pPr>
            <w:r>
              <w:rPr>
                <w:rFonts w:ascii="Arial" w:cs="Arial" w:eastAsia="Arial" w:hAnsi="Arial"/>
                <w:sz w:val="15"/>
                <w:szCs w:val="15"/>
                <w:color w:val="auto"/>
              </w:rPr>
              <w:t>● Accelerate financial inclusion through digital wallets (Yape and Soli), microlending (Mibanco) and inclusive insurance (Pacífico</w:t>
            </w:r>
          </w:p>
        </w:tc>
        <w:tc>
          <w:tcPr>
            <w:tcW w:w="0" w:type="dxa"/>
            <w:vAlign w:val="bottom"/>
          </w:tcPr>
          <w:p>
            <w:pPr>
              <w:spacing w:after="0"/>
              <w:rPr>
                <w:sz w:val="1"/>
                <w:szCs w:val="1"/>
                <w:color w:val="auto"/>
              </w:rPr>
            </w:pPr>
          </w:p>
        </w:tc>
      </w:tr>
      <w:tr>
        <w:trPr>
          <w:trHeight w:val="173"/>
        </w:trPr>
        <w:tc>
          <w:tcPr>
            <w:tcW w:w="2240" w:type="dxa"/>
            <w:vAlign w:val="bottom"/>
            <w:tcBorders>
              <w:left w:val="single" w:sz="8" w:color="auto"/>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Seguros).</w:t>
            </w:r>
          </w:p>
        </w:tc>
        <w:tc>
          <w:tcPr>
            <w:tcW w:w="0" w:type="dxa"/>
            <w:vAlign w:val="bottom"/>
          </w:tcPr>
          <w:p>
            <w:pPr>
              <w:spacing w:after="0"/>
              <w:rPr>
                <w:sz w:val="1"/>
                <w:szCs w:val="1"/>
                <w:color w:val="auto"/>
              </w:rPr>
            </w:pPr>
          </w:p>
        </w:tc>
      </w:tr>
      <w:tr>
        <w:trPr>
          <w:trHeight w:val="155"/>
        </w:trPr>
        <w:tc>
          <w:tcPr>
            <w:tcW w:w="2240" w:type="dxa"/>
            <w:vAlign w:val="bottom"/>
            <w:tcBorders>
              <w:left w:val="single" w:sz="8" w:color="auto"/>
              <w:right w:val="single" w:sz="8" w:color="auto"/>
            </w:tcBorders>
          </w:tcPr>
          <w:p>
            <w:pPr>
              <w:spacing w:after="0"/>
              <w:rPr>
                <w:sz w:val="13"/>
                <w:szCs w:val="13"/>
                <w:color w:val="auto"/>
              </w:rPr>
            </w:pPr>
          </w:p>
        </w:tc>
        <w:tc>
          <w:tcPr>
            <w:tcW w:w="9020" w:type="dxa"/>
            <w:vAlign w:val="bottom"/>
            <w:tcBorders>
              <w:right w:val="single" w:sz="8" w:color="auto"/>
            </w:tcBorders>
            <w:gridSpan w:val="2"/>
          </w:tcPr>
          <w:p>
            <w:pPr>
              <w:ind w:left="80"/>
              <w:spacing w:after="0" w:line="155" w:lineRule="exact"/>
              <w:rPr>
                <w:sz w:val="20"/>
                <w:szCs w:val="20"/>
                <w:color w:val="auto"/>
              </w:rPr>
            </w:pPr>
            <w:r>
              <w:rPr>
                <w:rFonts w:ascii="Arial" w:cs="Arial" w:eastAsia="Arial" w:hAnsi="Arial"/>
                <w:sz w:val="15"/>
                <w:szCs w:val="15"/>
                <w:color w:val="auto"/>
              </w:rPr>
              <w:t>● Contribute to including more women in the financial system through products, services and processes with a gender focus (for</w:t>
            </w:r>
          </w:p>
        </w:tc>
        <w:tc>
          <w:tcPr>
            <w:tcW w:w="0" w:type="dxa"/>
            <w:vAlign w:val="bottom"/>
          </w:tcPr>
          <w:p>
            <w:pPr>
              <w:spacing w:after="0"/>
              <w:rPr>
                <w:sz w:val="1"/>
                <w:szCs w:val="1"/>
                <w:color w:val="auto"/>
              </w:rPr>
            </w:pPr>
          </w:p>
        </w:tc>
      </w:tr>
      <w:tr>
        <w:trPr>
          <w:trHeight w:val="173"/>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7"/>
                <w:szCs w:val="37"/>
                <w:b w:val="1"/>
                <w:bCs w:val="1"/>
                <w:color w:val="9CC2E5"/>
                <w:w w:val="97"/>
              </w:rPr>
              <w:t>S</w:t>
            </w:r>
          </w:p>
        </w:tc>
        <w:tc>
          <w:tcPr>
            <w:tcW w:w="220" w:type="dxa"/>
            <w:vAlign w:val="bottom"/>
          </w:tcPr>
          <w:p>
            <w:pPr>
              <w:spacing w:after="0"/>
              <w:rPr>
                <w:sz w:val="15"/>
                <w:szCs w:val="15"/>
                <w:color w:val="auto"/>
              </w:rPr>
            </w:pPr>
          </w:p>
        </w:tc>
        <w:tc>
          <w:tcPr>
            <w:tcW w:w="8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example</w:t>
            </w:r>
            <w:r>
              <w:rPr>
                <w:rFonts w:ascii="Arial" w:cs="Arial" w:eastAsia="Arial" w:hAnsi="Arial"/>
                <w:sz w:val="15"/>
                <w:szCs w:val="15"/>
                <w:b w:val="1"/>
                <w:bCs w:val="1"/>
                <w:color w:val="auto"/>
              </w:rPr>
              <w:t>: Crédito Mujer</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240" w:type="dxa"/>
            <w:vAlign w:val="bottom"/>
            <w:tcBorders>
              <w:left w:val="single" w:sz="8" w:color="auto"/>
              <w:right w:val="single" w:sz="8" w:color="auto"/>
            </w:tcBorders>
            <w:vMerge w:val="continue"/>
          </w:tcPr>
          <w:p>
            <w:pPr>
              <w:spacing w:after="0"/>
              <w:rPr>
                <w:sz w:val="16"/>
                <w:szCs w:val="16"/>
                <w:color w:val="auto"/>
              </w:rPr>
            </w:pPr>
          </w:p>
        </w:tc>
        <w:tc>
          <w:tcPr>
            <w:tcW w:w="902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 xml:space="preserve">● Scale Prima’s pension education program and BCP’s initiative to determine the </w:t>
            </w:r>
            <w:r>
              <w:rPr>
                <w:rFonts w:ascii="Arial" w:cs="Arial" w:eastAsia="Arial" w:hAnsi="Arial"/>
                <w:sz w:val="15"/>
                <w:szCs w:val="15"/>
                <w:b w:val="1"/>
                <w:bCs w:val="1"/>
                <w:color w:val="auto"/>
              </w:rPr>
              <w:t>impact of financial education</w:t>
            </w:r>
            <w:r>
              <w:rPr>
                <w:rFonts w:ascii="Arial" w:cs="Arial" w:eastAsia="Arial" w:hAnsi="Arial"/>
                <w:sz w:val="15"/>
                <w:szCs w:val="15"/>
                <w:color w:val="auto"/>
              </w:rPr>
              <w:t xml:space="preserve"> on modifying</w:t>
            </w:r>
          </w:p>
        </w:tc>
        <w:tc>
          <w:tcPr>
            <w:tcW w:w="0" w:type="dxa"/>
            <w:vAlign w:val="bottom"/>
          </w:tcPr>
          <w:p>
            <w:pPr>
              <w:spacing w:after="0"/>
              <w:rPr>
                <w:sz w:val="1"/>
                <w:szCs w:val="1"/>
                <w:color w:val="auto"/>
              </w:rPr>
            </w:pPr>
          </w:p>
        </w:tc>
      </w:tr>
      <w:tr>
        <w:trPr>
          <w:trHeight w:val="173"/>
        </w:trPr>
        <w:tc>
          <w:tcPr>
            <w:tcW w:w="2240" w:type="dxa"/>
            <w:vAlign w:val="bottom"/>
            <w:tcBorders>
              <w:left w:val="single" w:sz="8" w:color="auto"/>
              <w:right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clients’ undesirable financial behavior.</w:t>
            </w:r>
          </w:p>
        </w:tc>
        <w:tc>
          <w:tcPr>
            <w:tcW w:w="0" w:type="dxa"/>
            <w:vAlign w:val="bottom"/>
          </w:tcPr>
          <w:p>
            <w:pPr>
              <w:spacing w:after="0"/>
              <w:rPr>
                <w:sz w:val="1"/>
                <w:szCs w:val="1"/>
                <w:color w:val="auto"/>
              </w:rPr>
            </w:pPr>
          </w:p>
        </w:tc>
      </w:tr>
      <w:tr>
        <w:trPr>
          <w:trHeight w:val="173"/>
        </w:trPr>
        <w:tc>
          <w:tcPr>
            <w:tcW w:w="2240" w:type="dxa"/>
            <w:vAlign w:val="bottom"/>
            <w:tcBorders>
              <w:left w:val="single" w:sz="8" w:color="auto"/>
              <w:right w:val="single" w:sz="8" w:color="auto"/>
            </w:tcBorders>
          </w:tcPr>
          <w:p>
            <w:pPr>
              <w:spacing w:after="0"/>
              <w:rPr>
                <w:sz w:val="15"/>
                <w:szCs w:val="15"/>
                <w:color w:val="auto"/>
              </w:rPr>
            </w:pPr>
          </w:p>
        </w:tc>
        <w:tc>
          <w:tcPr>
            <w:tcW w:w="220" w:type="dxa"/>
            <w:vAlign w:val="bottom"/>
          </w:tcPr>
          <w:p>
            <w:pPr>
              <w:ind w:left="80"/>
              <w:spacing w:after="0"/>
              <w:rPr>
                <w:sz w:val="20"/>
                <w:szCs w:val="20"/>
                <w:color w:val="auto"/>
              </w:rPr>
            </w:pPr>
            <w:r>
              <w:rPr>
                <w:rFonts w:ascii="Arial" w:cs="Arial" w:eastAsia="Arial" w:hAnsi="Arial"/>
                <w:sz w:val="15"/>
                <w:szCs w:val="15"/>
                <w:color w:val="auto"/>
              </w:rPr>
              <w:t>●</w:t>
            </w:r>
          </w:p>
        </w:tc>
        <w:tc>
          <w:tcPr>
            <w:tcW w:w="88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Strengthen the impact of our financial education initiatives through digitalization, alliances and efforts to develop relevant</w:t>
            </w:r>
          </w:p>
        </w:tc>
        <w:tc>
          <w:tcPr>
            <w:tcW w:w="0" w:type="dxa"/>
            <w:vAlign w:val="bottom"/>
          </w:tcPr>
          <w:p>
            <w:pPr>
              <w:spacing w:after="0"/>
              <w:rPr>
                <w:sz w:val="1"/>
                <w:szCs w:val="1"/>
                <w:color w:val="auto"/>
              </w:rPr>
            </w:pPr>
          </w:p>
        </w:tc>
      </w:tr>
      <w:tr>
        <w:trPr>
          <w:trHeight w:val="155"/>
        </w:trPr>
        <w:tc>
          <w:tcPr>
            <w:tcW w:w="2240" w:type="dxa"/>
            <w:vAlign w:val="bottom"/>
            <w:tcBorders>
              <w:left w:val="single" w:sz="8" w:color="auto"/>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contents for each segment.</w:t>
            </w:r>
          </w:p>
        </w:tc>
        <w:tc>
          <w:tcPr>
            <w:tcW w:w="0" w:type="dxa"/>
            <w:vAlign w:val="bottom"/>
          </w:tcPr>
          <w:p>
            <w:pPr>
              <w:spacing w:after="0"/>
              <w:rPr>
                <w:sz w:val="1"/>
                <w:szCs w:val="1"/>
                <w:color w:val="auto"/>
              </w:rPr>
            </w:pPr>
          </w:p>
        </w:tc>
      </w:tr>
      <w:tr>
        <w:trPr>
          <w:trHeight w:val="203"/>
        </w:trPr>
        <w:tc>
          <w:tcPr>
            <w:tcW w:w="2240" w:type="dxa"/>
            <w:vAlign w:val="bottom"/>
            <w:tcBorders>
              <w:left w:val="single" w:sz="8" w:color="auto"/>
              <w:right w:val="single" w:sz="8" w:color="auto"/>
            </w:tcBorders>
          </w:tcPr>
          <w:p>
            <w:pPr>
              <w:spacing w:after="0"/>
              <w:rPr>
                <w:sz w:val="17"/>
                <w:szCs w:val="17"/>
                <w:color w:val="auto"/>
              </w:rPr>
            </w:pPr>
          </w:p>
        </w:tc>
        <w:tc>
          <w:tcPr>
            <w:tcW w:w="902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 xml:space="preserve">● Implement </w:t>
            </w:r>
            <w:r>
              <w:rPr>
                <w:rFonts w:ascii="Arial" w:cs="Arial" w:eastAsia="Arial" w:hAnsi="Arial"/>
                <w:sz w:val="15"/>
                <w:szCs w:val="15"/>
                <w:b w:val="1"/>
                <w:bCs w:val="1"/>
                <w:color w:val="auto"/>
              </w:rPr>
              <w:t>impact metrics</w:t>
            </w:r>
            <w:r>
              <w:rPr>
                <w:rFonts w:ascii="Arial" w:cs="Arial" w:eastAsia="Arial" w:hAnsi="Arial"/>
                <w:sz w:val="15"/>
                <w:szCs w:val="15"/>
                <w:color w:val="auto"/>
              </w:rPr>
              <w:t xml:space="preserve"> at the subsidiary level (base indicators, measurement and objectives).</w:t>
            </w: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bottom w:val="single" w:sz="8" w:color="auto"/>
              <w:right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40" w:type="dxa"/>
            <w:vAlign w:val="bottom"/>
            <w:tcBorders>
              <w:left w:val="single" w:sz="8" w:color="auto"/>
              <w:right w:val="single" w:sz="8" w:color="auto"/>
            </w:tcBorders>
            <w:vMerge w:val="restart"/>
          </w:tcPr>
          <w:p>
            <w:pPr>
              <w:jc w:val="center"/>
              <w:spacing w:after="0" w:line="302" w:lineRule="exact"/>
              <w:rPr>
                <w:sz w:val="20"/>
                <w:szCs w:val="20"/>
                <w:color w:val="auto"/>
              </w:rPr>
            </w:pPr>
            <w:r>
              <w:rPr>
                <w:rFonts w:ascii="Arial" w:cs="Arial" w:eastAsia="Arial" w:hAnsi="Arial"/>
                <w:sz w:val="35"/>
                <w:szCs w:val="35"/>
                <w:b w:val="1"/>
                <w:bCs w:val="1"/>
                <w:color w:val="9CC2E5"/>
              </w:rPr>
              <w:t>G</w:t>
            </w:r>
          </w:p>
        </w:tc>
        <w:tc>
          <w:tcPr>
            <w:tcW w:w="9020" w:type="dxa"/>
            <w:vAlign w:val="bottom"/>
            <w:tcBorders>
              <w:right w:val="single" w:sz="8" w:color="auto"/>
            </w:tcBorders>
            <w:gridSpan w:val="2"/>
          </w:tcPr>
          <w:p>
            <w:pPr>
              <w:ind w:left="80"/>
              <w:spacing w:after="0" w:line="164" w:lineRule="exact"/>
              <w:rPr>
                <w:sz w:val="20"/>
                <w:szCs w:val="20"/>
                <w:color w:val="auto"/>
              </w:rPr>
            </w:pPr>
            <w:r>
              <w:rPr>
                <w:rFonts w:ascii="Arial" w:cs="Arial" w:eastAsia="Arial" w:hAnsi="Arial"/>
                <w:sz w:val="15"/>
                <w:szCs w:val="15"/>
                <w:color w:val="auto"/>
              </w:rPr>
              <w:t>● Improve our reporting process</w:t>
            </w: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39"/>
        </w:trPr>
        <w:tc>
          <w:tcPr>
            <w:tcW w:w="2240" w:type="dxa"/>
            <w:vAlign w:val="bottom"/>
            <w:tcBorders>
              <w:left w:val="single" w:sz="8" w:color="auto"/>
              <w:right w:val="single" w:sz="8" w:color="auto"/>
            </w:tcBorders>
            <w:vMerge w:val="continue"/>
          </w:tcPr>
          <w:p>
            <w:pPr>
              <w:spacing w:after="0"/>
              <w:rPr>
                <w:sz w:val="12"/>
                <w:szCs w:val="12"/>
                <w:color w:val="auto"/>
              </w:rPr>
            </w:pPr>
          </w:p>
        </w:tc>
        <w:tc>
          <w:tcPr>
            <w:tcW w:w="90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5"/>
                <w:szCs w:val="15"/>
                <w:color w:val="auto"/>
              </w:rPr>
              <w:t>● External assessment of the Board.</w:t>
            </w:r>
          </w:p>
        </w:tc>
        <w:tc>
          <w:tcPr>
            <w:tcW w:w="0" w:type="dxa"/>
            <w:vAlign w:val="bottom"/>
          </w:tcPr>
          <w:p>
            <w:pPr>
              <w:spacing w:after="0"/>
              <w:rPr>
                <w:sz w:val="1"/>
                <w:szCs w:val="1"/>
                <w:color w:val="auto"/>
              </w:rPr>
            </w:pPr>
          </w:p>
        </w:tc>
      </w:tr>
      <w:tr>
        <w:trPr>
          <w:trHeight w:val="46"/>
        </w:trPr>
        <w:tc>
          <w:tcPr>
            <w:tcW w:w="2240" w:type="dxa"/>
            <w:vAlign w:val="bottom"/>
            <w:tcBorders>
              <w:left w:val="single" w:sz="8" w:color="auto"/>
              <w:right w:val="single" w:sz="8" w:color="auto"/>
            </w:tcBorders>
          </w:tcPr>
          <w:p>
            <w:pPr>
              <w:spacing w:after="0"/>
              <w:rPr>
                <w:sz w:val="4"/>
                <w:szCs w:val="4"/>
                <w:color w:val="auto"/>
              </w:rPr>
            </w:pPr>
          </w:p>
        </w:tc>
        <w:tc>
          <w:tcPr>
            <w:tcW w:w="90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bottom w:val="single" w:sz="8" w:color="auto"/>
              <w:right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Arial" w:cs="Arial" w:eastAsia="Arial" w:hAnsi="Arial"/>
                <w:sz w:val="18"/>
                <w:szCs w:val="18"/>
                <w:b w:val="1"/>
                <w:bCs w:val="1"/>
                <w:color w:val="9CC2E5"/>
              </w:rPr>
              <w:t>Transversal</w:t>
            </w:r>
          </w:p>
        </w:tc>
        <w:tc>
          <w:tcPr>
            <w:tcW w:w="9020" w:type="dxa"/>
            <w:vAlign w:val="bottom"/>
            <w:tcBorders>
              <w:right w:val="single" w:sz="8" w:color="auto"/>
            </w:tcBorders>
            <w:gridSpan w:val="2"/>
          </w:tcPr>
          <w:p>
            <w:pPr>
              <w:ind w:left="80"/>
              <w:spacing w:after="0" w:line="164" w:lineRule="exact"/>
              <w:rPr>
                <w:sz w:val="20"/>
                <w:szCs w:val="20"/>
                <w:color w:val="auto"/>
              </w:rPr>
            </w:pPr>
            <w:r>
              <w:rPr>
                <w:rFonts w:ascii="Arial" w:cs="Arial" w:eastAsia="Arial" w:hAnsi="Arial"/>
                <w:sz w:val="15"/>
                <w:szCs w:val="15"/>
                <w:color w:val="auto"/>
              </w:rPr>
              <w:t>● Implement metrics to measure impacts for our subsidiaries’ initiatives (base indicators, measurement and objectives).</w:t>
            </w:r>
          </w:p>
        </w:tc>
        <w:tc>
          <w:tcPr>
            <w:tcW w:w="0" w:type="dxa"/>
            <w:vAlign w:val="bottom"/>
          </w:tcPr>
          <w:p>
            <w:pPr>
              <w:spacing w:after="0"/>
              <w:rPr>
                <w:sz w:val="1"/>
                <w:szCs w:val="1"/>
                <w:color w:val="auto"/>
              </w:rPr>
            </w:pPr>
          </w:p>
        </w:tc>
      </w:tr>
      <w:tr>
        <w:trPr>
          <w:trHeight w:val="0"/>
        </w:trPr>
        <w:tc>
          <w:tcPr>
            <w:tcW w:w="2240" w:type="dxa"/>
            <w:vAlign w:val="bottom"/>
            <w:tcBorders>
              <w:left w:val="single" w:sz="8" w:color="auto"/>
              <w:right w:val="single" w:sz="8" w:color="auto"/>
            </w:tcBorders>
            <w:vMerge w:val="continue"/>
          </w:tcPr>
          <w:p>
            <w:pPr>
              <w:spacing w:after="0" w:line="20" w:lineRule="exact"/>
              <w:rPr>
                <w:sz w:val="1"/>
                <w:szCs w:val="1"/>
                <w:color w:val="auto"/>
              </w:rPr>
            </w:pPr>
          </w:p>
        </w:tc>
        <w:tc>
          <w:tcPr>
            <w:tcW w:w="9020" w:type="dxa"/>
            <w:vAlign w:val="bottom"/>
            <w:tcBorders>
              <w:right w:val="single" w:sz="8" w:color="auto"/>
            </w:tcBorders>
            <w:gridSpan w:val="2"/>
          </w:tcPr>
          <w:p>
            <w:pPr>
              <w:ind w:left="80"/>
              <w:spacing w:after="0" w:line="1" w:lineRule="exact"/>
              <w:rPr>
                <w:sz w:val="20"/>
                <w:szCs w:val="20"/>
                <w:color w:val="auto"/>
              </w:rPr>
            </w:pPr>
            <w:r>
              <w:rPr>
                <w:rFonts w:ascii="Arial" w:cs="Arial" w:eastAsia="Arial" w:hAnsi="Arial"/>
                <w:sz w:val="1"/>
                <w:szCs w:val="1"/>
                <w:color w:val="auto"/>
              </w:rPr>
              <w:t>● Continue integrating ESG factors in investment processes.</w:t>
            </w:r>
          </w:p>
        </w:tc>
        <w:tc>
          <w:tcPr>
            <w:tcW w:w="0" w:type="dxa"/>
            <w:vAlign w:val="bottom"/>
          </w:tcPr>
          <w:p>
            <w:pPr>
              <w:spacing w:after="0" w:line="20" w:lineRule="exact"/>
              <w:rPr>
                <w:sz w:val="1"/>
                <w:szCs w:val="1"/>
                <w:color w:val="auto"/>
              </w:rPr>
            </w:pPr>
          </w:p>
        </w:tc>
      </w:tr>
      <w:tr>
        <w:trPr>
          <w:trHeight w:val="185"/>
        </w:trPr>
        <w:tc>
          <w:tcPr>
            <w:tcW w:w="2240" w:type="dxa"/>
            <w:vAlign w:val="bottom"/>
            <w:tcBorders>
              <w:left w:val="single" w:sz="8" w:color="auto"/>
              <w:right w:val="single" w:sz="8" w:color="auto"/>
            </w:tcBorders>
          </w:tcPr>
          <w:p>
            <w:pPr>
              <w:spacing w:after="0"/>
              <w:rPr>
                <w:sz w:val="16"/>
                <w:szCs w:val="16"/>
                <w:color w:val="auto"/>
              </w:rPr>
            </w:pPr>
          </w:p>
        </w:tc>
        <w:tc>
          <w:tcPr>
            <w:tcW w:w="902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 Achieve a higher level of integration of ESG factors in financial processes</w:t>
            </w:r>
          </w:p>
        </w:tc>
        <w:tc>
          <w:tcPr>
            <w:tcW w:w="0" w:type="dxa"/>
            <w:vAlign w:val="bottom"/>
          </w:tcPr>
          <w:p>
            <w:pPr>
              <w:spacing w:after="0"/>
              <w:rPr>
                <w:sz w:val="1"/>
                <w:szCs w:val="1"/>
                <w:color w:val="auto"/>
              </w:rPr>
            </w:pPr>
          </w:p>
        </w:tc>
      </w:tr>
      <w:tr>
        <w:trPr>
          <w:trHeight w:val="334"/>
        </w:trPr>
        <w:tc>
          <w:tcPr>
            <w:tcW w:w="224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0" w:type="dxa"/>
            <w:vAlign w:val="bottom"/>
          </w:tcPr>
          <w:p>
            <w:pPr>
              <w:ind w:left="8620"/>
              <w:spacing w:after="0"/>
              <w:rPr>
                <w:sz w:val="20"/>
                <w:szCs w:val="20"/>
                <w:color w:val="auto"/>
              </w:rPr>
            </w:pPr>
            <w:r>
              <w:rPr>
                <w:rFonts w:ascii="Arial" w:cs="Arial" w:eastAsia="Arial" w:hAnsi="Arial"/>
                <w:sz w:val="15"/>
                <w:szCs w:val="15"/>
                <w:color w:val="auto"/>
                <w:w w:val="83"/>
              </w:rPr>
              <w:t>79</w:t>
            </w:r>
          </w:p>
        </w:tc>
        <w:tc>
          <w:tcPr>
            <w:tcW w:w="0" w:type="dxa"/>
            <w:vAlign w:val="bottom"/>
          </w:tcPr>
          <w:p>
            <w:pPr>
              <w:spacing w:after="0"/>
              <w:rPr>
                <w:sz w:val="1"/>
                <w:szCs w:val="1"/>
                <w:color w:val="auto"/>
              </w:rPr>
            </w:pPr>
          </w:p>
        </w:tc>
      </w:tr>
      <w:tr>
        <w:trPr>
          <w:trHeight w:val="38"/>
        </w:trPr>
        <w:tc>
          <w:tcPr>
            <w:tcW w:w="2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 w:right="319" w:bottom="1440" w:gutter="0" w:footer="0" w:header="0"/>
        </w:sectPr>
      </w:pPr>
    </w:p>
    <w:bookmarkStart w:id="82" w:name="page83"/>
    <w:bookmarkEnd w:id="82"/>
    <w:p>
      <w:pPr>
        <w:spacing w:after="0"/>
        <w:rPr>
          <w:sz w:val="20"/>
          <w:szCs w:val="20"/>
          <w:color w:val="auto"/>
        </w:rPr>
      </w:pPr>
      <w:r>
        <w:rPr>
          <w:rFonts w:ascii="Arial" w:cs="Arial" w:eastAsia="Arial" w:hAnsi="Arial"/>
          <w:sz w:val="15"/>
          <w:szCs w:val="15"/>
          <w:b w:val="1"/>
          <w:bCs w:val="1"/>
          <w:color w:val="auto"/>
        </w:rPr>
        <w:t>Sustainability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5264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2-24</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SDG </w:t>
      </w:r>
      <w:r>
        <w:rPr>
          <w:rFonts w:ascii="Arial" w:cs="Arial" w:eastAsia="Arial" w:hAnsi="Arial"/>
          <w:sz w:val="15"/>
          <w:szCs w:val="15"/>
          <w:i w:val="1"/>
          <w:iCs w:val="1"/>
          <w:color w:val="auto"/>
        </w:rPr>
        <w:t>5, 8, 9, 10, 13, 16, 17</w:t>
      </w:r>
    </w:p>
    <w:p>
      <w:pPr>
        <w:spacing w:after="0" w:line="191" w:lineRule="exact"/>
        <w:rPr>
          <w:sz w:val="20"/>
          <w:szCs w:val="20"/>
          <w:color w:val="auto"/>
        </w:rPr>
      </w:pPr>
    </w:p>
    <w:p>
      <w:pPr>
        <w:ind w:right="360"/>
        <w:spacing w:after="0" w:line="258" w:lineRule="auto"/>
        <w:rPr>
          <w:sz w:val="20"/>
          <w:szCs w:val="20"/>
          <w:color w:val="auto"/>
        </w:rPr>
      </w:pPr>
      <w:r>
        <w:rPr>
          <w:rFonts w:ascii="Arial" w:cs="Arial" w:eastAsia="Arial" w:hAnsi="Arial"/>
          <w:sz w:val="15"/>
          <w:szCs w:val="15"/>
          <w:color w:val="auto"/>
        </w:rPr>
        <w:t xml:space="preserve">We have developed a Sustainability Strategy 2020-2025, which is aligned with our Purpose, Vision, Stakeholders and priority SDG. For more details on our sustainability strategy, please review </w:t>
      </w:r>
      <w:r>
        <w:rPr>
          <w:rFonts w:ascii="Arial" w:cs="Arial" w:eastAsia="Arial" w:hAnsi="Arial"/>
          <w:sz w:val="15"/>
          <w:szCs w:val="15"/>
          <w:color w:val="3265FF"/>
        </w:rPr>
        <w:t>Our Sustainability Strategy 2020-2025</w:t>
      </w:r>
      <w:r>
        <w:rPr>
          <w:rFonts w:ascii="Arial" w:cs="Arial" w:eastAsia="Arial" w:hAnsi="Arial"/>
          <w:sz w:val="15"/>
          <w:szCs w:val="15"/>
          <w:color w:val="auto"/>
        </w:rPr>
        <w:t xml:space="preserve"> </w:t>
      </w:r>
      <w:r>
        <w:rPr>
          <w:rFonts w:ascii="Arial" w:cs="Arial" w:eastAsia="Arial" w:hAnsi="Arial"/>
          <w:sz w:val="15"/>
          <w:szCs w:val="15"/>
          <w:color w:val="222222"/>
        </w:rPr>
        <w:t>and the section “</w:t>
      </w:r>
      <w:r>
        <w:rPr>
          <w:rFonts w:ascii="Arial" w:cs="Arial" w:eastAsia="Arial" w:hAnsi="Arial"/>
          <w:sz w:val="15"/>
          <w:szCs w:val="15"/>
          <w:i w:val="1"/>
          <w:iCs w:val="1"/>
          <w:color w:val="222222"/>
        </w:rPr>
        <w:t>Governance – Sustainability Governance – Implementation Teams</w:t>
      </w:r>
      <w:r>
        <w:rPr>
          <w:rFonts w:ascii="Arial" w:cs="Arial" w:eastAsia="Arial" w:hAnsi="Arial"/>
          <w:sz w:val="15"/>
          <w:szCs w:val="15"/>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94615</wp:posOffset>
            </wp:positionV>
            <wp:extent cx="5124450" cy="25253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24450" cy="252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3" w:name="page84"/>
    <w:bookmarkEnd w:id="83"/>
    <w:p>
      <w:pPr>
        <w:spacing w:after="0"/>
        <w:rPr>
          <w:sz w:val="20"/>
          <w:szCs w:val="20"/>
          <w:color w:val="auto"/>
        </w:rPr>
      </w:pPr>
      <w:r>
        <w:rPr>
          <w:rFonts w:ascii="Arial" w:cs="Arial" w:eastAsia="Arial" w:hAnsi="Arial"/>
          <w:sz w:val="25"/>
          <w:szCs w:val="25"/>
          <w:b w:val="1"/>
          <w:bCs w:val="1"/>
          <w:color w:val="auto"/>
        </w:rPr>
        <w:t>Materiality Analysis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3-1, 3-2.</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To develop our Sustainability Strategy 2020-2025, we conducted an in-depth materiality analysis in 2020. The results of this work provided highly valuable information on the issues that our stakeholders consider relevant. Our plan is to conduct materiality analyses at a corporate level on a yearly basis with more in-depth analysis every two years. As such, 2022 marked our second period of in-depth assessment. This year’s evaluation was conducted according to the international standards of the Global Reporting Initiative </w:t>
      </w:r>
      <w:r>
        <w:rPr>
          <w:rFonts w:ascii="Arial" w:cs="Arial" w:eastAsia="Arial" w:hAnsi="Arial"/>
          <w:sz w:val="15"/>
          <w:szCs w:val="15"/>
          <w:i w:val="1"/>
          <w:iCs w:val="1"/>
          <w:color w:val="auto"/>
        </w:rPr>
        <w:t>(GRI).</w:t>
      </w:r>
      <w:r>
        <w:rPr>
          <w:rFonts w:ascii="Arial" w:cs="Arial" w:eastAsia="Arial" w:hAnsi="Arial"/>
          <w:sz w:val="15"/>
          <w:szCs w:val="15"/>
          <w:color w:val="auto"/>
        </w:rPr>
        <w:t xml:space="preserve"> Our analysis contemplated multiple objectives: identifying priority issues to be included in the Sustainability Report; validating or adjusting our strategy; and aligning our management with the issues prioritized by our stakeholders.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To determine which issues to cover in our stakeholders’ survey, we perused following: 1) previous materiality analysis; 2) comparative analysis with industry peers and 3) the main guidelines and standards for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99060</wp:posOffset>
            </wp:positionV>
            <wp:extent cx="2927985" cy="5048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27985" cy="504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leaders at the Credicorp Group. The material issues pinpointed were validated and approved by Senior Management and the Board after thorough consideration of their scope and impact.</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Our quantitative and qualitative analysis led us to identify 17 topics that were considered high-impact by at least one of the two groups surveyed: stakeholders on one side and management on the other. The complete list of prioritized topics can be found in our Materiality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100330</wp:posOffset>
            </wp:positionV>
            <wp:extent cx="2927985" cy="17570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27985" cy="1757045"/>
                    </a:xfrm>
                    <a:prstGeom prst="rect">
                      <a:avLst/>
                    </a:prstGeom>
                    <a:noFill/>
                  </pic:spPr>
                </pic:pic>
              </a:graphicData>
            </a:graphic>
          </wp:anchor>
        </w:drawing>
      </w:r>
    </w:p>
    <w:p>
      <w:pPr>
        <w:spacing w:after="0" w:line="1885" w:lineRule="exact"/>
        <w:rPr>
          <w:sz w:val="20"/>
          <w:szCs w:val="20"/>
          <w:color w:val="auto"/>
        </w:rPr>
      </w:pPr>
    </w:p>
    <w:p>
      <w:pPr>
        <w:sectPr>
          <w:pgSz w:w="11900" w:h="16838" w:orient="portrait"/>
          <w:cols w:equalWidth="0" w:num="2">
            <w:col w:w="5400" w:space="440"/>
            <w:col w:w="5420"/>
          </w:cols>
          <w:pgMar w:left="320" w:top="27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We used the information from our initial research to prioritize the issues relevant to Credicorp. We conducted a survey of our main stakeholders and senior management, who provided a base of 1,600 responses relative to materiality. This data served as part of the quantitative phase for materiality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-775335</wp:posOffset>
            </wp:positionV>
            <wp:extent cx="2393950" cy="12153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93950" cy="1215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6"/>
        </w:trPr>
        <w:tc>
          <w:tcPr>
            <w:tcW w:w="5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796</w:t>
            </w:r>
          </w:p>
        </w:tc>
        <w:tc>
          <w:tcPr>
            <w:tcW w:w="1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Clients</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570</w:t>
            </w:r>
          </w:p>
        </w:tc>
        <w:tc>
          <w:tcPr>
            <w:tcW w:w="16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Employees</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120</w:t>
            </w:r>
          </w:p>
        </w:tc>
        <w:tc>
          <w:tcPr>
            <w:tcW w:w="16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Community</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31</w:t>
            </w:r>
          </w:p>
        </w:tc>
        <w:tc>
          <w:tcPr>
            <w:tcW w:w="16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Suppliers</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18</w:t>
            </w:r>
          </w:p>
        </w:tc>
        <w:tc>
          <w:tcPr>
            <w:tcW w:w="16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Investors</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56</w:t>
            </w:r>
          </w:p>
        </w:tc>
        <w:tc>
          <w:tcPr>
            <w:tcW w:w="16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Opinion Leaders</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48</w:t>
            </w:r>
          </w:p>
        </w:tc>
        <w:tc>
          <w:tcPr>
            <w:tcW w:w="16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5"/>
                <w:szCs w:val="15"/>
                <w:color w:val="auto"/>
              </w:rPr>
              <w:t>Executive</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81"/>
        </w:trPr>
        <w:tc>
          <w:tcPr>
            <w:tcW w:w="54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1,639</w:t>
            </w:r>
          </w:p>
        </w:tc>
        <w:tc>
          <w:tcPr>
            <w:tcW w:w="1620" w:type="dxa"/>
            <w:vAlign w:val="bottom"/>
            <w:tcBorders>
              <w:right w:val="single" w:sz="8" w:color="auto"/>
            </w:tcBorders>
            <w:shd w:val="clear" w:color="auto" w:fill="BFBFBF"/>
          </w:tcPr>
          <w:p>
            <w:pPr>
              <w:ind w:left="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7"/>
        </w:trPr>
        <w:tc>
          <w:tcPr>
            <w:tcW w:w="540" w:type="dxa"/>
            <w:vAlign w:val="bottom"/>
            <w:tcBorders>
              <w:left w:val="single" w:sz="8" w:color="auto"/>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shd w:val="clear" w:color="auto" w:fill="BFBFBF"/>
          </w:tcPr>
          <w:p>
            <w:pPr>
              <w:ind w:left="80"/>
              <w:spacing w:after="0" w:line="127" w:lineRule="exact"/>
              <w:rPr>
                <w:sz w:val="20"/>
                <w:szCs w:val="20"/>
                <w:color w:val="auto"/>
              </w:rPr>
            </w:pPr>
            <w:r>
              <w:rPr>
                <w:rFonts w:ascii="Arial" w:cs="Arial" w:eastAsia="Arial" w:hAnsi="Arial"/>
                <w:sz w:val="14"/>
                <w:szCs w:val="14"/>
                <w:b w:val="1"/>
                <w:bCs w:val="1"/>
                <w:color w:val="auto"/>
              </w:rPr>
              <w:t>RESPONSES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utility of focus groups and interviews goes beyond the information they provide to identify material issues. In fact, they serve as input for our analysis of the real or potential impacts of our activity on the economy, environment and individuals, including impacts on Human Rights. This information is in turn utilized by areas across the Group to update our list of aspects that must be monitored.</w:t>
      </w:r>
    </w:p>
    <w:p>
      <w:pPr>
        <w:spacing w:after="0" w:line="933" w:lineRule="exact"/>
        <w:rPr>
          <w:sz w:val="20"/>
          <w:szCs w:val="20"/>
          <w:color w:val="auto"/>
        </w:rPr>
      </w:pPr>
    </w:p>
    <w:p>
      <w:pPr>
        <w:sectPr>
          <w:pgSz w:w="11900" w:h="16838" w:orient="portrait"/>
          <w:cols w:equalWidth="0" w:num="3">
            <w:col w:w="3180" w:space="60"/>
            <w:col w:w="2140" w:space="460"/>
            <w:col w:w="5420"/>
          </w:cols>
          <w:pgMar w:left="320" w:top="279" w:right="319" w:bottom="1440" w:gutter="0" w:footer="0" w:header="0"/>
          <w:type w:val="continuous"/>
        </w:sectPr>
      </w:pPr>
    </w:p>
    <w:p>
      <w:pPr>
        <w:spacing w:after="0"/>
        <w:rPr>
          <w:sz w:val="20"/>
          <w:szCs w:val="20"/>
          <w:color w:val="auto"/>
        </w:rPr>
      </w:pPr>
      <w:r>
        <w:rPr>
          <w:rFonts w:ascii="Arial" w:cs="Arial" w:eastAsia="Arial" w:hAnsi="Arial"/>
          <w:sz w:val="15"/>
          <w:szCs w:val="15"/>
          <w:color w:val="auto"/>
        </w:rPr>
        <w:t>To cover the qualitative phase of materiality determination, we held focus</w:t>
      </w:r>
    </w:p>
    <w:p>
      <w:pPr>
        <w:spacing w:after="0"/>
        <w:rPr>
          <w:sz w:val="20"/>
          <w:szCs w:val="20"/>
          <w:color w:val="auto"/>
        </w:rPr>
      </w:pPr>
      <w:r>
        <w:rPr>
          <w:rFonts w:ascii="Arial" w:cs="Arial" w:eastAsia="Arial" w:hAnsi="Arial"/>
          <w:sz w:val="15"/>
          <w:szCs w:val="15"/>
          <w:color w:val="auto"/>
        </w:rPr>
        <w:t>groups with external stakeholders and conducted 20+ individual interviews with</w:t>
      </w:r>
    </w:p>
    <w:p>
      <w:pPr>
        <w:spacing w:after="0"/>
        <w:rPr>
          <w:sz w:val="20"/>
          <w:szCs w:val="20"/>
          <w:color w:val="auto"/>
        </w:rPr>
      </w:pPr>
      <w:r>
        <w:rPr>
          <w:rFonts w:ascii="Arial" w:cs="Arial" w:eastAsia="Arial" w:hAnsi="Arial"/>
          <w:sz w:val="15"/>
          <w:szCs w:val="15"/>
          <w:color w:val="auto"/>
        </w:rPr>
        <w:t>select investors, the president of the Board of Credicorp, the president of the</w:t>
      </w:r>
    </w:p>
    <w:p>
      <w:pPr>
        <w:spacing w:after="0"/>
        <w:rPr>
          <w:sz w:val="20"/>
          <w:szCs w:val="20"/>
          <w:color w:val="auto"/>
        </w:rPr>
      </w:pPr>
      <w:r>
        <w:rPr>
          <w:rFonts w:ascii="Arial" w:cs="Arial" w:eastAsia="Arial" w:hAnsi="Arial"/>
          <w:sz w:val="15"/>
          <w:szCs w:val="15"/>
          <w:color w:val="auto"/>
        </w:rPr>
        <w:t>Board’s Sustainability Committee, senior management and diverse</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79" w:right="319" w:bottom="1440" w:gutter="0" w:footer="0" w:header="0"/>
          <w:type w:val="continuous"/>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198755</wp:posOffset>
            </wp:positionV>
            <wp:extent cx="2927985" cy="144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2927985" cy="144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results of the Materiality Analysis in 2022 confirm that our strategy in 2020 was well-targeted. This information will be used to guide us down the path we have chosen for 2023-2025 and is linked to our Pillars as follows:</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00" w:type="dxa"/>
            <w:vAlign w:val="bottom"/>
            <w:tcBorders>
              <w:top w:val="single" w:sz="8" w:color="auto"/>
              <w:left w:val="single" w:sz="8" w:color="auto"/>
              <w:right w:val="single" w:sz="8" w:color="auto"/>
            </w:tcBorders>
          </w:tcPr>
          <w:p>
            <w:pPr>
              <w:ind w:left="300"/>
              <w:spacing w:after="0" w:line="166" w:lineRule="exact"/>
              <w:rPr>
                <w:sz w:val="20"/>
                <w:szCs w:val="20"/>
                <w:color w:val="auto"/>
              </w:rPr>
            </w:pPr>
            <w:r>
              <w:rPr>
                <w:rFonts w:ascii="Arial" w:cs="Arial" w:eastAsia="Arial" w:hAnsi="Arial"/>
                <w:sz w:val="15"/>
                <w:szCs w:val="15"/>
                <w:b w:val="1"/>
                <w:bCs w:val="1"/>
                <w:i w:val="1"/>
                <w:iCs w:val="1"/>
                <w:color w:val="auto"/>
              </w:rPr>
              <w:t>Pillars</w:t>
            </w:r>
          </w:p>
        </w:tc>
        <w:tc>
          <w:tcPr>
            <w:tcW w:w="1560" w:type="dxa"/>
            <w:vAlign w:val="bottom"/>
            <w:tcBorders>
              <w:top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rPr>
              <w:t>Create a more</w:t>
            </w:r>
          </w:p>
        </w:tc>
        <w:tc>
          <w:tcPr>
            <w:tcW w:w="1400" w:type="dxa"/>
            <w:vAlign w:val="bottom"/>
            <w:tcBorders>
              <w:top w:val="single" w:sz="8" w:color="auto"/>
              <w:right w:val="single" w:sz="8" w:color="auto"/>
            </w:tcBorders>
          </w:tcPr>
          <w:p>
            <w:pPr>
              <w:ind w:left="80"/>
              <w:spacing w:after="0" w:line="166" w:lineRule="exact"/>
              <w:rPr>
                <w:sz w:val="20"/>
                <w:szCs w:val="20"/>
                <w:color w:val="auto"/>
              </w:rPr>
            </w:pPr>
            <w:r>
              <w:rPr>
                <w:rFonts w:ascii="Arial" w:cs="Arial" w:eastAsia="Arial" w:hAnsi="Arial"/>
                <w:sz w:val="15"/>
                <w:szCs w:val="15"/>
                <w:b w:val="1"/>
                <w:bCs w:val="1"/>
                <w:color w:val="auto"/>
              </w:rPr>
              <w:t>Improve the</w:t>
            </w:r>
          </w:p>
        </w:tc>
        <w:tc>
          <w:tcPr>
            <w:tcW w:w="1340" w:type="dxa"/>
            <w:vAlign w:val="bottom"/>
            <w:tcBorders>
              <w:top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rPr>
              <w:t>Empower our</w:t>
            </w: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sustainable and</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financial health</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people to</w:t>
            </w:r>
          </w:p>
        </w:tc>
        <w:tc>
          <w:tcPr>
            <w:tcW w:w="0" w:type="dxa"/>
            <w:vAlign w:val="bottom"/>
          </w:tcPr>
          <w:p>
            <w:pPr>
              <w:spacing w:after="0"/>
              <w:rPr>
                <w:sz w:val="1"/>
                <w:szCs w:val="1"/>
                <w:color w:val="auto"/>
              </w:rPr>
            </w:pPr>
          </w:p>
        </w:tc>
      </w:tr>
      <w:tr>
        <w:trPr>
          <w:trHeight w:val="192"/>
        </w:trPr>
        <w:tc>
          <w:tcPr>
            <w:tcW w:w="1100" w:type="dxa"/>
            <w:vAlign w:val="bottom"/>
            <w:tcBorders>
              <w:left w:val="single" w:sz="8" w:color="auto"/>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inclusive economy</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of citizens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prosper</w:t>
            </w:r>
          </w:p>
        </w:tc>
        <w:tc>
          <w:tcPr>
            <w:tcW w:w="0" w:type="dxa"/>
            <w:vAlign w:val="bottom"/>
          </w:tcPr>
          <w:p>
            <w:pPr>
              <w:spacing w:after="0"/>
              <w:rPr>
                <w:sz w:val="1"/>
                <w:szCs w:val="1"/>
                <w:color w:val="auto"/>
              </w:rPr>
            </w:pPr>
          </w:p>
        </w:tc>
      </w:tr>
      <w:tr>
        <w:trPr>
          <w:trHeight w:val="146"/>
        </w:trPr>
        <w:tc>
          <w:tcPr>
            <w:tcW w:w="110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i w:val="1"/>
                <w:iCs w:val="1"/>
                <w:color w:val="auto"/>
              </w:rPr>
              <w:t>Material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Economic and</w:t>
            </w:r>
          </w:p>
        </w:tc>
        <w:tc>
          <w:tcPr>
            <w:tcW w:w="14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rPr>
              <w:t>Simplicity,</w:t>
            </w:r>
          </w:p>
        </w:tc>
        <w:tc>
          <w:tcPr>
            <w:tcW w:w="13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rPr>
              <w:t>Diversity</w:t>
            </w:r>
          </w:p>
        </w:tc>
        <w:tc>
          <w:tcPr>
            <w:tcW w:w="0" w:type="dxa"/>
            <w:vAlign w:val="bottom"/>
          </w:tcPr>
          <w:p>
            <w:pPr>
              <w:spacing w:after="0"/>
              <w:rPr>
                <w:sz w:val="1"/>
                <w:szCs w:val="1"/>
                <w:color w:val="auto"/>
              </w:rPr>
            </w:pPr>
          </w:p>
        </w:tc>
      </w:tr>
      <w:tr>
        <w:trPr>
          <w:trHeight w:val="99"/>
        </w:trPr>
        <w:tc>
          <w:tcPr>
            <w:tcW w:w="11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i w:val="1"/>
                <w:iCs w:val="1"/>
                <w:color w:val="auto"/>
              </w:rPr>
              <w:t>Issues</w:t>
            </w:r>
          </w:p>
        </w:tc>
        <w:tc>
          <w:tcPr>
            <w:tcW w:w="15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Transparency</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Inclusion and</w:t>
            </w:r>
          </w:p>
        </w:tc>
        <w:tc>
          <w:tcPr>
            <w:tcW w:w="0" w:type="dxa"/>
            <w:vAlign w:val="bottom"/>
          </w:tcPr>
          <w:p>
            <w:pPr>
              <w:spacing w:after="0"/>
              <w:rPr>
                <w:sz w:val="1"/>
                <w:szCs w:val="1"/>
                <w:color w:val="auto"/>
              </w:rPr>
            </w:pPr>
          </w:p>
        </w:tc>
      </w:tr>
      <w:tr>
        <w:trPr>
          <w:trHeight w:val="92"/>
        </w:trPr>
        <w:tc>
          <w:tcPr>
            <w:tcW w:w="110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Financial</w:t>
            </w:r>
          </w:p>
        </w:tc>
        <w:tc>
          <w:tcPr>
            <w:tcW w:w="14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and Client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Equality of</w:t>
            </w:r>
          </w:p>
        </w:tc>
        <w:tc>
          <w:tcPr>
            <w:tcW w:w="0" w:type="dxa"/>
            <w:vAlign w:val="bottom"/>
          </w:tcPr>
          <w:p>
            <w:pPr>
              <w:spacing w:after="0"/>
              <w:rPr>
                <w:sz w:val="1"/>
                <w:szCs w:val="1"/>
                <w:color w:val="auto"/>
              </w:rPr>
            </w:pPr>
          </w:p>
        </w:tc>
      </w:tr>
      <w:tr>
        <w:trPr>
          <w:trHeight w:val="92"/>
        </w:trPr>
        <w:tc>
          <w:tcPr>
            <w:tcW w:w="110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Performance</w:t>
            </w:r>
          </w:p>
        </w:tc>
        <w:tc>
          <w:tcPr>
            <w:tcW w:w="14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Experience</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Opportunities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Financial Inclusion</w:t>
            </w:r>
          </w:p>
        </w:tc>
        <w:tc>
          <w:tcPr>
            <w:tcW w:w="14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Financial</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Commitment to</w:t>
            </w:r>
          </w:p>
        </w:tc>
        <w:tc>
          <w:tcPr>
            <w:tcW w:w="0" w:type="dxa"/>
            <w:vAlign w:val="bottom"/>
          </w:tcPr>
          <w:p>
            <w:pPr>
              <w:spacing w:after="0"/>
              <w:rPr>
                <w:sz w:val="1"/>
                <w:szCs w:val="1"/>
                <w:color w:val="auto"/>
              </w:rPr>
            </w:pPr>
          </w:p>
        </w:tc>
      </w:tr>
      <w:tr>
        <w:trPr>
          <w:trHeight w:val="93"/>
        </w:trPr>
        <w:tc>
          <w:tcPr>
            <w:tcW w:w="110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Education</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Society</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Comprehensive</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Innovation and</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Employment and</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Talent</w:t>
            </w:r>
          </w:p>
        </w:tc>
        <w:tc>
          <w:tcPr>
            <w:tcW w:w="0" w:type="dxa"/>
            <w:vAlign w:val="bottom"/>
          </w:tcPr>
          <w:p>
            <w:pPr>
              <w:spacing w:after="0"/>
              <w:rPr>
                <w:sz w:val="1"/>
                <w:szCs w:val="1"/>
                <w:color w:val="auto"/>
              </w:rPr>
            </w:pPr>
          </w:p>
        </w:tc>
      </w:tr>
      <w:tr>
        <w:trPr>
          <w:trHeight w:val="92"/>
        </w:trPr>
        <w:tc>
          <w:tcPr>
            <w:tcW w:w="110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Risk Management</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Transformation</w:t>
            </w:r>
          </w:p>
        </w:tc>
        <w:tc>
          <w:tcPr>
            <w:tcW w:w="1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Responsible and</w:t>
            </w:r>
          </w:p>
        </w:tc>
        <w:tc>
          <w:tcPr>
            <w:tcW w:w="14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Sustainable</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Data privacy</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Human Rights</w:t>
            </w:r>
          </w:p>
        </w:tc>
        <w:tc>
          <w:tcPr>
            <w:tcW w:w="0" w:type="dxa"/>
            <w:vAlign w:val="bottom"/>
          </w:tcPr>
          <w:p>
            <w:pPr>
              <w:spacing w:after="0"/>
              <w:rPr>
                <w:sz w:val="1"/>
                <w:szCs w:val="1"/>
                <w:color w:val="auto"/>
              </w:rPr>
            </w:pPr>
          </w:p>
        </w:tc>
      </w:tr>
      <w:tr>
        <w:trPr>
          <w:trHeight w:val="93"/>
        </w:trPr>
        <w:tc>
          <w:tcPr>
            <w:tcW w:w="110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Finance and</w:t>
            </w:r>
          </w:p>
        </w:tc>
        <w:tc>
          <w:tcPr>
            <w:tcW w:w="14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right w:val="single" w:sz="8" w:color="auto"/>
            </w:tcBorders>
          </w:tcPr>
          <w:p>
            <w:pPr>
              <w:spacing w:after="0"/>
              <w:rPr>
                <w:sz w:val="6"/>
                <w:szCs w:val="6"/>
                <w:color w:val="auto"/>
              </w:rPr>
            </w:pPr>
          </w:p>
        </w:tc>
        <w:tc>
          <w:tcPr>
            <w:tcW w:w="156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Investment</w:t>
            </w:r>
          </w:p>
        </w:tc>
        <w:tc>
          <w:tcPr>
            <w:tcW w:w="14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Cybersecurity</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Regulatory</w:t>
            </w:r>
          </w:p>
        </w:tc>
        <w:tc>
          <w:tcPr>
            <w:tcW w:w="0" w:type="dxa"/>
            <w:vAlign w:val="bottom"/>
          </w:tcPr>
          <w:p>
            <w:pPr>
              <w:spacing w:after="0"/>
              <w:rPr>
                <w:sz w:val="1"/>
                <w:szCs w:val="1"/>
                <w:color w:val="auto"/>
              </w:rPr>
            </w:pPr>
          </w:p>
        </w:tc>
      </w:tr>
      <w:tr>
        <w:trPr>
          <w:trHeight w:val="93"/>
        </w:trPr>
        <w:tc>
          <w:tcPr>
            <w:tcW w:w="110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Anti-competitive</w:t>
            </w: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practices</w:t>
            </w: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Governance</w:t>
            </w: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Business Ethics</w:t>
            </w: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and Anti-</w:t>
            </w: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corruption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Our Visions of Leadership as an Agent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12065</wp:posOffset>
            </wp:positionV>
            <wp:extent cx="342582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165" w:lineRule="exact"/>
        <w:rPr>
          <w:sz w:val="20"/>
          <w:szCs w:val="20"/>
          <w:color w:val="auto"/>
        </w:rPr>
      </w:pPr>
    </w:p>
    <w:p>
      <w:pPr>
        <w:jc w:val="center"/>
        <w:ind w:left="80"/>
        <w:spacing w:after="0" w:line="251" w:lineRule="auto"/>
        <w:rPr>
          <w:sz w:val="20"/>
          <w:szCs w:val="20"/>
          <w:color w:val="auto"/>
        </w:rPr>
      </w:pPr>
      <w:r>
        <w:rPr>
          <w:rFonts w:ascii="Arial" w:cs="Arial" w:eastAsia="Arial" w:hAnsi="Arial"/>
          <w:sz w:val="15"/>
          <w:szCs w:val="15"/>
          <w:b w:val="1"/>
          <w:bCs w:val="1"/>
          <w:i w:val="1"/>
          <w:iCs w:val="1"/>
          <w:color w:val="4472C4"/>
        </w:rPr>
        <w:t>ON THE ROAD TO FULFILLING OUR VISION TO BE A SUSTAINABLE FINANCIAL LEADER IN THE REGION, WE SEEK TO HAVE A POSITIVE IMPACT ON OUR EMPLOYEES, CLIENTS, SUPPLIERS, PEERS AND THE COMMUNITY TO GENERATE MULTIPLYING EFFECTS AND ACT AS AN AGENT OF CHANGE IN THE COUNTRIES IN WHICH WE OPERATE</w:t>
      </w:r>
    </w:p>
    <w:p>
      <w:pPr>
        <w:spacing w:after="0" w:line="154" w:lineRule="exact"/>
        <w:rPr>
          <w:sz w:val="20"/>
          <w:szCs w:val="20"/>
          <w:color w:val="auto"/>
        </w:rPr>
      </w:pPr>
    </w:p>
    <w:p>
      <w:pPr>
        <w:jc w:val="both"/>
        <w:ind w:right="20"/>
        <w:spacing w:after="0" w:line="243" w:lineRule="auto"/>
        <w:rPr>
          <w:sz w:val="20"/>
          <w:szCs w:val="20"/>
          <w:color w:val="auto"/>
        </w:rPr>
      </w:pPr>
      <w:r>
        <w:rPr>
          <w:rFonts w:ascii="Arial" w:cs="Arial" w:eastAsia="Arial" w:hAnsi="Arial"/>
          <w:sz w:val="15"/>
          <w:szCs w:val="15"/>
          <w:color w:val="auto"/>
        </w:rPr>
        <w:t>Through our four lines of business (universal banking, insurance and pensions, microfinance and investment banking and wealth management), we seek to become a leader that motivates and influences others to join us on the road to sustainability. As we have seen throughout this Report, as we move to consolidate our path toward sustainability, we also strive to trigger positive change in others by bolstering their capacities to transform themselves and consequently, the world around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102870</wp:posOffset>
            </wp:positionV>
            <wp:extent cx="2927985" cy="24009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2798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94" w:right="31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198755</wp:posOffset>
            </wp:positionV>
            <wp:extent cx="2927985" cy="1684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2927985"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By positively impacting our clients, employees and other stakeholders and leveraging the power of the platforms and initiatives included in our strategic objectives, we aim to become a leader that drives (and helps drive) the changes that our countries need. At the same time, we seek to align our initiatives with the main goals that we have prioritized from the 2030 Agenda for Sustainable Development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3036570</wp:posOffset>
            </wp:positionV>
            <wp:extent cx="142748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6"/>
        </w:trPr>
        <w:tc>
          <w:tcPr>
            <w:tcW w:w="980" w:type="dxa"/>
            <w:vAlign w:val="bottom"/>
            <w:tcBorders>
              <w:top w:val="single" w:sz="8" w:color="auto"/>
              <w:left w:val="single" w:sz="8" w:color="auto"/>
              <w:right w:val="single" w:sz="8" w:color="auto"/>
            </w:tcBorders>
            <w:shd w:val="clear" w:color="auto" w:fill="F2F2F2"/>
          </w:tcPr>
          <w:p>
            <w:pPr>
              <w:jc w:val="center"/>
              <w:spacing w:after="0" w:line="166" w:lineRule="exact"/>
              <w:rPr>
                <w:sz w:val="20"/>
                <w:szCs w:val="20"/>
                <w:color w:val="auto"/>
              </w:rPr>
            </w:pPr>
            <w:r>
              <w:rPr>
                <w:rFonts w:ascii="Arial" w:cs="Arial" w:eastAsia="Arial" w:hAnsi="Arial"/>
                <w:sz w:val="15"/>
                <w:szCs w:val="15"/>
                <w:b w:val="1"/>
                <w:bCs w:val="1"/>
                <w:color w:val="auto"/>
              </w:rPr>
              <w:t>SDG and</w:t>
            </w:r>
          </w:p>
        </w:tc>
        <w:tc>
          <w:tcPr>
            <w:tcW w:w="1800" w:type="dxa"/>
            <w:vAlign w:val="bottom"/>
            <w:tcBorders>
              <w:top w:val="single" w:sz="8" w:color="auto"/>
              <w:right w:val="single" w:sz="8" w:color="auto"/>
            </w:tcBorders>
            <w:shd w:val="clear" w:color="auto" w:fill="F2F2F2"/>
          </w:tcPr>
          <w:p>
            <w:pPr>
              <w:ind w:left="280"/>
              <w:spacing w:after="0" w:line="166" w:lineRule="exact"/>
              <w:rPr>
                <w:sz w:val="20"/>
                <w:szCs w:val="20"/>
                <w:color w:val="auto"/>
              </w:rPr>
            </w:pPr>
            <w:r>
              <w:rPr>
                <w:rFonts w:ascii="Arial" w:cs="Arial" w:eastAsia="Arial" w:hAnsi="Arial"/>
                <w:sz w:val="15"/>
                <w:szCs w:val="15"/>
                <w:b w:val="1"/>
                <w:bCs w:val="1"/>
                <w:color w:val="auto"/>
              </w:rPr>
              <w:t>PLATFORM AND</w:t>
            </w:r>
          </w:p>
        </w:tc>
        <w:tc>
          <w:tcPr>
            <w:tcW w:w="8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SDG</w:t>
            </w:r>
          </w:p>
        </w:tc>
        <w:tc>
          <w:tcPr>
            <w:tcW w:w="180" w:type="dxa"/>
            <w:vAlign w:val="bottom"/>
            <w:tcBorders>
              <w:top w:val="single" w:sz="8" w:color="auto"/>
            </w:tcBorders>
            <w:shd w:val="clear" w:color="auto" w:fill="F2F2F2"/>
          </w:tcPr>
          <w:p>
            <w:pPr>
              <w:spacing w:after="0"/>
              <w:rPr>
                <w:sz w:val="14"/>
                <w:szCs w:val="14"/>
                <w:color w:val="auto"/>
              </w:rPr>
            </w:pPr>
          </w:p>
        </w:tc>
        <w:tc>
          <w:tcPr>
            <w:tcW w:w="1640" w:type="dxa"/>
            <w:vAlign w:val="bottom"/>
            <w:tcBorders>
              <w:top w:val="single" w:sz="8" w:color="auto"/>
              <w:right w:val="single" w:sz="8" w:color="auto"/>
            </w:tcBorders>
            <w:shd w:val="clear" w:color="auto" w:fill="F2F2F2"/>
          </w:tcPr>
          <w:p>
            <w:pPr>
              <w:ind w:left="160"/>
              <w:spacing w:after="0" w:line="166" w:lineRule="exact"/>
              <w:rPr>
                <w:sz w:val="20"/>
                <w:szCs w:val="20"/>
                <w:color w:val="auto"/>
              </w:rPr>
            </w:pPr>
            <w:r>
              <w:rPr>
                <w:rFonts w:ascii="Arial" w:cs="Arial" w:eastAsia="Arial" w:hAnsi="Arial"/>
                <w:sz w:val="15"/>
                <w:szCs w:val="15"/>
                <w:b w:val="1"/>
                <w:bCs w:val="1"/>
                <w:color w:val="auto"/>
              </w:rPr>
              <w:t>PLATFORM OR</w:t>
            </w:r>
          </w:p>
        </w:tc>
        <w:tc>
          <w:tcPr>
            <w:tcW w:w="0" w:type="dxa"/>
            <w:vAlign w:val="bottom"/>
          </w:tcPr>
          <w:p>
            <w:pPr>
              <w:spacing w:after="0"/>
              <w:rPr>
                <w:sz w:val="1"/>
                <w:szCs w:val="1"/>
                <w:color w:val="auto"/>
              </w:rPr>
            </w:pPr>
          </w:p>
        </w:tc>
      </w:tr>
      <w:tr>
        <w:trPr>
          <w:trHeight w:val="111"/>
        </w:trPr>
        <w:tc>
          <w:tcPr>
            <w:tcW w:w="98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Objectives</w:t>
            </w:r>
          </w:p>
        </w:tc>
        <w:tc>
          <w:tcPr>
            <w:tcW w:w="1800" w:type="dxa"/>
            <w:vAlign w:val="bottom"/>
            <w:tcBorders>
              <w:right w:val="single" w:sz="8" w:color="auto"/>
            </w:tcBorders>
            <w:vMerge w:val="restart"/>
            <w:shd w:val="clear" w:color="auto" w:fill="F2F2F2"/>
          </w:tcPr>
          <w:p>
            <w:pPr>
              <w:ind w:left="500"/>
              <w:spacing w:after="0"/>
              <w:rPr>
                <w:sz w:val="20"/>
                <w:szCs w:val="20"/>
                <w:color w:val="auto"/>
              </w:rPr>
            </w:pPr>
            <w:r>
              <w:rPr>
                <w:rFonts w:ascii="Arial" w:cs="Arial" w:eastAsia="Arial" w:hAnsi="Arial"/>
                <w:sz w:val="15"/>
                <w:szCs w:val="15"/>
                <w:b w:val="1"/>
                <w:bCs w:val="1"/>
                <w:color w:val="auto"/>
              </w:rPr>
              <w:t>INITIATIVE</w:t>
            </w:r>
          </w:p>
        </w:tc>
        <w:tc>
          <w:tcPr>
            <w:tcW w:w="820" w:type="dxa"/>
            <w:vAlign w:val="bottom"/>
            <w:tcBorders>
              <w:right w:val="single" w:sz="8" w:color="auto"/>
            </w:tcBorders>
            <w:vMerge w:val="continue"/>
            <w:shd w:val="clear" w:color="auto" w:fill="F2F2F2"/>
          </w:tcPr>
          <w:p>
            <w:pPr>
              <w:spacing w:after="0"/>
              <w:rPr>
                <w:sz w:val="9"/>
                <w:szCs w:val="9"/>
                <w:color w:val="auto"/>
              </w:rPr>
            </w:pPr>
          </w:p>
        </w:tc>
        <w:tc>
          <w:tcPr>
            <w:tcW w:w="180" w:type="dxa"/>
            <w:vAlign w:val="bottom"/>
            <w:shd w:val="clear" w:color="auto" w:fill="F2F2F2"/>
          </w:tcPr>
          <w:p>
            <w:pPr>
              <w:spacing w:after="0"/>
              <w:rPr>
                <w:sz w:val="9"/>
                <w:szCs w:val="9"/>
                <w:color w:val="auto"/>
              </w:rPr>
            </w:pPr>
          </w:p>
        </w:tc>
        <w:tc>
          <w:tcPr>
            <w:tcW w:w="1640" w:type="dxa"/>
            <w:vAlign w:val="bottom"/>
            <w:tcBorders>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b w:val="1"/>
                <w:bCs w:val="1"/>
                <w:color w:val="auto"/>
              </w:rPr>
              <w:t>INITIATIVE</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bottom w:val="single" w:sz="8" w:color="auto"/>
              <w:right w:val="single" w:sz="8" w:color="auto"/>
            </w:tcBorders>
            <w:vMerge w:val="continue"/>
            <w:shd w:val="clear" w:color="auto" w:fill="F2F2F2"/>
          </w:tcPr>
          <w:p>
            <w:pPr>
              <w:spacing w:after="0"/>
              <w:rPr>
                <w:sz w:val="7"/>
                <w:szCs w:val="7"/>
                <w:color w:val="auto"/>
              </w:rPr>
            </w:pPr>
          </w:p>
        </w:tc>
        <w:tc>
          <w:tcPr>
            <w:tcW w:w="1800" w:type="dxa"/>
            <w:vAlign w:val="bottom"/>
            <w:tcBorders>
              <w:bottom w:val="single" w:sz="8" w:color="auto"/>
              <w:right w:val="single" w:sz="8" w:color="auto"/>
            </w:tcBorders>
            <w:vMerge w:val="continue"/>
            <w:shd w:val="clear" w:color="auto" w:fill="F2F2F2"/>
          </w:tcPr>
          <w:p>
            <w:pPr>
              <w:spacing w:after="0"/>
              <w:rPr>
                <w:sz w:val="7"/>
                <w:szCs w:val="7"/>
                <w:color w:val="auto"/>
              </w:rPr>
            </w:pPr>
          </w:p>
        </w:tc>
        <w:tc>
          <w:tcPr>
            <w:tcW w:w="820" w:type="dxa"/>
            <w:vAlign w:val="bottom"/>
            <w:tcBorders>
              <w:bottom w:val="single" w:sz="8" w:color="auto"/>
              <w:right w:val="single" w:sz="8" w:color="auto"/>
            </w:tcBorders>
            <w:shd w:val="clear" w:color="auto" w:fill="F2F2F2"/>
          </w:tcPr>
          <w:p>
            <w:pPr>
              <w:spacing w:after="0"/>
              <w:rPr>
                <w:sz w:val="7"/>
                <w:szCs w:val="7"/>
                <w:color w:val="auto"/>
              </w:rPr>
            </w:pPr>
          </w:p>
        </w:tc>
        <w:tc>
          <w:tcPr>
            <w:tcW w:w="180" w:type="dxa"/>
            <w:vAlign w:val="bottom"/>
            <w:tcBorders>
              <w:bottom w:val="single" w:sz="8" w:color="auto"/>
            </w:tcBorders>
            <w:shd w:val="clear" w:color="auto" w:fill="F2F2F2"/>
          </w:tcPr>
          <w:p>
            <w:pPr>
              <w:spacing w:after="0"/>
              <w:rPr>
                <w:sz w:val="7"/>
                <w:szCs w:val="7"/>
                <w:color w:val="auto"/>
              </w:rPr>
            </w:pPr>
          </w:p>
        </w:tc>
        <w:tc>
          <w:tcPr>
            <w:tcW w:w="1640" w:type="dxa"/>
            <w:vAlign w:val="bottom"/>
            <w:tcBorders>
              <w:bottom w:val="single" w:sz="8" w:color="auto"/>
              <w:right w:val="single" w:sz="8" w:color="auto"/>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98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 Internal Gender</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Equity Program</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Internal Gender</w:t>
            </w:r>
          </w:p>
        </w:tc>
        <w:tc>
          <w:tcPr>
            <w:tcW w:w="82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 Opportunities and</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Equity Program</w:t>
            </w:r>
          </w:p>
        </w:tc>
        <w:tc>
          <w:tcPr>
            <w:tcW w:w="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products for women</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5.1 5.2 y</w:t>
            </w: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Opportunities and</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10.2 y</w:t>
            </w:r>
          </w:p>
        </w:tc>
        <w:tc>
          <w:tcPr>
            <w:tcW w:w="18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 Financial inclusion</w:t>
            </w:r>
          </w:p>
        </w:tc>
        <w:tc>
          <w:tcPr>
            <w:tcW w:w="0" w:type="dxa"/>
            <w:vAlign w:val="bottom"/>
          </w:tcPr>
          <w:p>
            <w:pPr>
              <w:spacing w:after="0"/>
              <w:rPr>
                <w:sz w:val="1"/>
                <w:szCs w:val="1"/>
                <w:color w:val="auto"/>
              </w:rPr>
            </w:pPr>
          </w:p>
        </w:tc>
      </w:tr>
      <w:tr>
        <w:trPr>
          <w:trHeight w:val="139"/>
        </w:trPr>
        <w:tc>
          <w:tcPr>
            <w:tcW w:w="980" w:type="dxa"/>
            <w:vAlign w:val="bottom"/>
            <w:tcBorders>
              <w:left w:val="single" w:sz="8" w:color="auto"/>
              <w:right w:val="single" w:sz="8" w:color="auto"/>
            </w:tcBorders>
            <w:vMerge w:val="continue"/>
          </w:tcPr>
          <w:p>
            <w:pPr>
              <w:spacing w:after="0"/>
              <w:rPr>
                <w:sz w:val="12"/>
                <w:szCs w:val="12"/>
                <w:color w:val="auto"/>
              </w:rPr>
            </w:pPr>
          </w:p>
        </w:tc>
        <w:tc>
          <w:tcPr>
            <w:tcW w:w="1800" w:type="dxa"/>
            <w:vAlign w:val="bottom"/>
            <w:tcBorders>
              <w:right w:val="single" w:sz="8" w:color="auto"/>
            </w:tcBorders>
          </w:tcPr>
          <w:p>
            <w:pPr>
              <w:ind w:left="220"/>
              <w:spacing w:after="0" w:line="139" w:lineRule="exact"/>
              <w:rPr>
                <w:sz w:val="20"/>
                <w:szCs w:val="20"/>
                <w:color w:val="auto"/>
              </w:rPr>
            </w:pPr>
            <w:r>
              <w:rPr>
                <w:rFonts w:ascii="Arial" w:cs="Arial" w:eastAsia="Arial" w:hAnsi="Arial"/>
                <w:sz w:val="15"/>
                <w:szCs w:val="15"/>
                <w:color w:val="auto"/>
              </w:rPr>
              <w:t>products for women</w:t>
            </w:r>
          </w:p>
        </w:tc>
        <w:tc>
          <w:tcPr>
            <w:tcW w:w="82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gridSpan w:val="2"/>
          </w:tcPr>
          <w:p>
            <w:pPr>
              <w:ind w:left="60"/>
              <w:spacing w:after="0" w:line="139" w:lineRule="exact"/>
              <w:rPr>
                <w:sz w:val="20"/>
                <w:szCs w:val="20"/>
                <w:color w:val="auto"/>
              </w:rPr>
            </w:pPr>
            <w:r>
              <w:rPr>
                <w:rFonts w:ascii="Arial" w:cs="Arial" w:eastAsia="Arial" w:hAnsi="Arial"/>
                <w:sz w:val="15"/>
                <w:szCs w:val="15"/>
                <w:color w:val="auto"/>
              </w:rPr>
              <w:t>● Sustainable finance</w:t>
            </w:r>
          </w:p>
        </w:tc>
        <w:tc>
          <w:tcPr>
            <w:tcW w:w="0" w:type="dxa"/>
            <w:vAlign w:val="bottom"/>
          </w:tcPr>
          <w:p>
            <w:pPr>
              <w:spacing w:after="0"/>
              <w:rPr>
                <w:sz w:val="1"/>
                <w:szCs w:val="1"/>
                <w:color w:val="auto"/>
              </w:rPr>
            </w:pPr>
          </w:p>
        </w:tc>
      </w:tr>
      <w:tr>
        <w:trPr>
          <w:trHeight w:val="207"/>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5.5</w:t>
            </w:r>
          </w:p>
        </w:tc>
        <w:tc>
          <w:tcPr>
            <w:tcW w:w="1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10.5</w:t>
            </w:r>
          </w:p>
        </w:tc>
        <w:tc>
          <w:tcPr>
            <w:tcW w:w="18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 Social Responsibility</w:t>
            </w:r>
          </w:p>
        </w:tc>
        <w:tc>
          <w:tcPr>
            <w:tcW w:w="0" w:type="dxa"/>
            <w:vAlign w:val="bottom"/>
          </w:tcPr>
          <w:p>
            <w:pPr>
              <w:spacing w:after="0"/>
              <w:rPr>
                <w:sz w:val="1"/>
                <w:szCs w:val="1"/>
                <w:color w:val="auto"/>
              </w:rPr>
            </w:pPr>
          </w:p>
        </w:tc>
      </w:tr>
      <w:tr>
        <w:trPr>
          <w:trHeight w:val="174"/>
        </w:trPr>
        <w:tc>
          <w:tcPr>
            <w:tcW w:w="98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5"/>
                <w:szCs w:val="15"/>
                <w:color w:val="auto"/>
              </w:rPr>
              <w:t>● Compliance Policies</w:t>
            </w:r>
          </w:p>
        </w:tc>
        <w:tc>
          <w:tcPr>
            <w:tcW w:w="0" w:type="dxa"/>
            <w:vAlign w:val="bottom"/>
          </w:tcPr>
          <w:p>
            <w:pPr>
              <w:spacing w:after="0"/>
              <w:rPr>
                <w:sz w:val="1"/>
                <w:szCs w:val="1"/>
                <w:color w:val="auto"/>
              </w:rPr>
            </w:pPr>
          </w:p>
        </w:tc>
      </w:tr>
      <w:tr>
        <w:trPr>
          <w:trHeight w:val="164"/>
        </w:trPr>
        <w:tc>
          <w:tcPr>
            <w:tcW w:w="98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80" w:type="dxa"/>
            <w:vAlign w:val="bottom"/>
          </w:tcPr>
          <w:p>
            <w:pPr>
              <w:ind w:left="60"/>
              <w:spacing w:after="0" w:line="164" w:lineRule="exact"/>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tcPr>
          <w:p>
            <w:pPr>
              <w:ind w:left="140"/>
              <w:spacing w:after="0" w:line="164" w:lineRule="exact"/>
              <w:rPr>
                <w:sz w:val="20"/>
                <w:szCs w:val="20"/>
                <w:color w:val="auto"/>
              </w:rPr>
            </w:pPr>
            <w:r>
              <w:rPr>
                <w:rFonts w:ascii="Arial" w:cs="Arial" w:eastAsia="Arial" w:hAnsi="Arial"/>
                <w:sz w:val="15"/>
                <w:szCs w:val="15"/>
                <w:color w:val="auto"/>
              </w:rPr>
              <w:t>ESG Risk</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 Help for small</w:t>
            </w:r>
          </w:p>
        </w:tc>
        <w:tc>
          <w:tcPr>
            <w:tcW w:w="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auto"/>
              </w:rPr>
              <w:t>(Climate)</w:t>
            </w:r>
          </w:p>
        </w:tc>
        <w:tc>
          <w:tcPr>
            <w:tcW w:w="0" w:type="dxa"/>
            <w:vAlign w:val="bottom"/>
          </w:tcPr>
          <w:p>
            <w:pPr>
              <w:spacing w:after="0"/>
              <w:rPr>
                <w:sz w:val="1"/>
                <w:szCs w:val="1"/>
                <w:color w:val="auto"/>
              </w:rPr>
            </w:pPr>
          </w:p>
        </w:tc>
      </w:tr>
      <w:tr>
        <w:trPr>
          <w:trHeight w:val="92"/>
        </w:trPr>
        <w:tc>
          <w:tcPr>
            <w:tcW w:w="98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5"/>
                <w:szCs w:val="15"/>
                <w:color w:val="auto"/>
              </w:rPr>
              <w:t>businesses to grow</w:t>
            </w:r>
          </w:p>
        </w:tc>
        <w:tc>
          <w:tcPr>
            <w:tcW w:w="8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color w:val="auto"/>
              </w:rPr>
              <w:t>Assets under</w:t>
            </w:r>
          </w:p>
        </w:tc>
        <w:tc>
          <w:tcPr>
            <w:tcW w:w="0" w:type="dxa"/>
            <w:vAlign w:val="bottom"/>
          </w:tcPr>
          <w:p>
            <w:pPr>
              <w:spacing w:after="0"/>
              <w:rPr>
                <w:sz w:val="1"/>
                <w:szCs w:val="1"/>
                <w:color w:val="auto"/>
              </w:rPr>
            </w:pPr>
          </w:p>
        </w:tc>
      </w:tr>
      <w:tr>
        <w:trPr>
          <w:trHeight w:val="92"/>
        </w:trPr>
        <w:tc>
          <w:tcPr>
            <w:tcW w:w="98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 Financial inclusion</w:t>
            </w:r>
          </w:p>
        </w:tc>
        <w:tc>
          <w:tcPr>
            <w:tcW w:w="82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92"/>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8.2 8. 3</w:t>
            </w:r>
          </w:p>
        </w:tc>
        <w:tc>
          <w:tcPr>
            <w:tcW w:w="1800" w:type="dxa"/>
            <w:vAlign w:val="bottom"/>
            <w:tcBorders>
              <w:right w:val="single" w:sz="8" w:color="auto"/>
            </w:tcBorders>
            <w:vMerge w:val="restart"/>
          </w:tcPr>
          <w:p>
            <w:pPr>
              <w:ind w:left="80"/>
              <w:spacing w:after="0" w:line="161" w:lineRule="exact"/>
              <w:rPr>
                <w:sz w:val="20"/>
                <w:szCs w:val="20"/>
                <w:color w:val="auto"/>
              </w:rPr>
            </w:pPr>
            <w:r>
              <w:rPr>
                <w:rFonts w:ascii="Arial" w:cs="Arial" w:eastAsia="Arial" w:hAnsi="Arial"/>
                <w:sz w:val="15"/>
                <w:szCs w:val="15"/>
                <w:color w:val="auto"/>
              </w:rPr>
              <w:t>● Financial education</w:t>
            </w:r>
          </w:p>
        </w:tc>
        <w:tc>
          <w:tcPr>
            <w:tcW w:w="8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980" w:type="dxa"/>
            <w:vAlign w:val="bottom"/>
            <w:tcBorders>
              <w:left w:val="single" w:sz="8" w:color="auto"/>
              <w:right w:val="single" w:sz="8" w:color="auto"/>
            </w:tcBorders>
            <w:vMerge w:val="continue"/>
          </w:tcPr>
          <w:p>
            <w:pPr>
              <w:spacing w:after="0"/>
              <w:rPr>
                <w:sz w:val="6"/>
                <w:szCs w:val="6"/>
                <w:color w:val="auto"/>
              </w:rPr>
            </w:pPr>
          </w:p>
        </w:tc>
        <w:tc>
          <w:tcPr>
            <w:tcW w:w="1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Borders>
              <w:right w:val="single" w:sz="8" w:color="auto"/>
            </w:tcBorders>
            <w:vMerge w:val="restart"/>
          </w:tcPr>
          <w:p>
            <w:pPr>
              <w:ind w:left="160"/>
              <w:spacing w:after="0" w:line="139" w:lineRule="exact"/>
              <w:rPr>
                <w:sz w:val="20"/>
                <w:szCs w:val="20"/>
                <w:color w:val="auto"/>
              </w:rPr>
            </w:pPr>
            <w:r>
              <w:rPr>
                <w:rFonts w:ascii="Arial" w:cs="Arial" w:eastAsia="Arial" w:hAnsi="Arial"/>
                <w:sz w:val="15"/>
                <w:szCs w:val="15"/>
                <w:color w:val="auto"/>
              </w:rPr>
              <w:t>(AuMs)</w:t>
            </w:r>
          </w:p>
        </w:tc>
        <w:tc>
          <w:tcPr>
            <w:tcW w:w="0" w:type="dxa"/>
            <w:vAlign w:val="bottom"/>
          </w:tcPr>
          <w:p>
            <w:pPr>
              <w:spacing w:after="0"/>
              <w:rPr>
                <w:sz w:val="1"/>
                <w:szCs w:val="1"/>
                <w:color w:val="auto"/>
              </w:rPr>
            </w:pPr>
          </w:p>
        </w:tc>
      </w:tr>
      <w:tr>
        <w:trPr>
          <w:trHeight w:val="70"/>
        </w:trPr>
        <w:tc>
          <w:tcPr>
            <w:tcW w:w="980" w:type="dxa"/>
            <w:vAlign w:val="bottom"/>
            <w:tcBorders>
              <w:left w:val="single" w:sz="8" w:color="auto"/>
              <w:right w:val="single" w:sz="8" w:color="auto"/>
            </w:tcBorders>
            <w:vMerge w:val="continue"/>
          </w:tcPr>
          <w:p>
            <w:pPr>
              <w:spacing w:after="0"/>
              <w:rPr>
                <w:sz w:val="6"/>
                <w:szCs w:val="6"/>
                <w:color w:val="auto"/>
              </w:rPr>
            </w:pPr>
          </w:p>
        </w:tc>
        <w:tc>
          <w:tcPr>
            <w:tcW w:w="1800" w:type="dxa"/>
            <w:vAlign w:val="bottom"/>
            <w:tcBorders>
              <w:right w:val="single" w:sz="8" w:color="auto"/>
            </w:tcBorders>
            <w:vMerge w:val="restart"/>
          </w:tcPr>
          <w:p>
            <w:pPr>
              <w:ind w:left="80"/>
              <w:spacing w:after="0" w:line="185" w:lineRule="exact"/>
              <w:rPr>
                <w:sz w:val="20"/>
                <w:szCs w:val="20"/>
                <w:color w:val="auto"/>
              </w:rPr>
            </w:pPr>
            <w:r>
              <w:rPr>
                <w:rFonts w:ascii="Arial" w:cs="Arial" w:eastAsia="Arial" w:hAnsi="Arial"/>
                <w:sz w:val="13"/>
                <w:szCs w:val="13"/>
                <w:color w:val="auto"/>
              </w:rPr>
              <w:t>● Sustainable AuMs</w:t>
            </w:r>
            <w:r>
              <w:rPr>
                <w:rFonts w:ascii="Arial" w:cs="Arial" w:eastAsia="Arial" w:hAnsi="Arial"/>
                <w:sz w:val="21"/>
                <w:szCs w:val="21"/>
                <w:color w:val="auto"/>
                <w:vertAlign w:val="superscript"/>
              </w:rPr>
              <w:t>16</w:t>
            </w:r>
          </w:p>
        </w:tc>
        <w:tc>
          <w:tcPr>
            <w:tcW w:w="82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980" w:type="dxa"/>
            <w:vAlign w:val="bottom"/>
            <w:tcBorders>
              <w:left w:val="single" w:sz="8" w:color="auto"/>
              <w:right w:val="single" w:sz="8" w:color="auto"/>
            </w:tcBorders>
            <w:vMerge w:val="restart"/>
          </w:tcPr>
          <w:p>
            <w:pPr>
              <w:jc w:val="right"/>
              <w:ind w:right="323"/>
              <w:spacing w:after="0"/>
              <w:rPr>
                <w:sz w:val="20"/>
                <w:szCs w:val="20"/>
                <w:color w:val="auto"/>
              </w:rPr>
            </w:pPr>
            <w:r>
              <w:rPr>
                <w:rFonts w:ascii="Arial" w:cs="Arial" w:eastAsia="Arial" w:hAnsi="Arial"/>
                <w:sz w:val="15"/>
                <w:szCs w:val="15"/>
                <w:b w:val="1"/>
                <w:bCs w:val="1"/>
                <w:color w:val="auto"/>
              </w:rPr>
              <w:t>8.4</w:t>
            </w:r>
          </w:p>
        </w:tc>
        <w:tc>
          <w:tcPr>
            <w:tcW w:w="1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13.1</w:t>
            </w:r>
          </w:p>
        </w:tc>
        <w:tc>
          <w:tcPr>
            <w:tcW w:w="1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color w:val="auto"/>
              </w:rPr>
              <w:t>Sustainable</w:t>
            </w:r>
          </w:p>
        </w:tc>
        <w:tc>
          <w:tcPr>
            <w:tcW w:w="0" w:type="dxa"/>
            <w:vAlign w:val="bottom"/>
          </w:tcPr>
          <w:p>
            <w:pPr>
              <w:spacing w:after="0"/>
              <w:rPr>
                <w:sz w:val="1"/>
                <w:szCs w:val="1"/>
                <w:color w:val="auto"/>
              </w:rPr>
            </w:pPr>
          </w:p>
        </w:tc>
      </w:tr>
      <w:tr>
        <w:trPr>
          <w:trHeight w:val="58"/>
        </w:trPr>
        <w:tc>
          <w:tcPr>
            <w:tcW w:w="980" w:type="dxa"/>
            <w:vAlign w:val="bottom"/>
            <w:tcBorders>
              <w:left w:val="single" w:sz="8" w:color="auto"/>
              <w:right w:val="single" w:sz="8" w:color="auto"/>
            </w:tcBorders>
            <w:vMerge w:val="continue"/>
          </w:tcPr>
          <w:p>
            <w:pPr>
              <w:spacing w:after="0"/>
              <w:rPr>
                <w:sz w:val="5"/>
                <w:szCs w:val="5"/>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 Social Responsibility</w:t>
            </w:r>
          </w:p>
        </w:tc>
        <w:tc>
          <w:tcPr>
            <w:tcW w:w="820" w:type="dxa"/>
            <w:vAlign w:val="bottom"/>
            <w:tcBorders>
              <w:right w:val="single" w:sz="8" w:color="auto"/>
            </w:tcBorders>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980" w:type="dxa"/>
            <w:vAlign w:val="bottom"/>
            <w:tcBorders>
              <w:left w:val="single" w:sz="8" w:color="auto"/>
              <w:right w:val="single" w:sz="8" w:color="auto"/>
            </w:tcBorders>
            <w:vMerge w:val="restart"/>
          </w:tcPr>
          <w:p>
            <w:pPr>
              <w:jc w:val="right"/>
              <w:ind w:right="63"/>
              <w:spacing w:after="0"/>
              <w:rPr>
                <w:sz w:val="20"/>
                <w:szCs w:val="20"/>
                <w:color w:val="auto"/>
              </w:rPr>
            </w:pPr>
            <w:r>
              <w:rPr>
                <w:rFonts w:ascii="Arial" w:cs="Arial" w:eastAsia="Arial" w:hAnsi="Arial"/>
                <w:sz w:val="15"/>
                <w:szCs w:val="15"/>
                <w:b w:val="1"/>
                <w:bCs w:val="1"/>
                <w:color w:val="auto"/>
              </w:rPr>
              <w:t>8.5 8.6 8.8</w:t>
            </w:r>
          </w:p>
        </w:tc>
        <w:tc>
          <w:tcPr>
            <w:tcW w:w="1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13.2</w:t>
            </w:r>
          </w:p>
        </w:tc>
        <w:tc>
          <w:tcPr>
            <w:tcW w:w="180" w:type="dxa"/>
            <w:vAlign w:val="bottom"/>
          </w:tcPr>
          <w:p>
            <w:pPr>
              <w:spacing w:after="0"/>
              <w:rPr>
                <w:sz w:val="9"/>
                <w:szCs w:val="9"/>
                <w:color w:val="auto"/>
              </w:rPr>
            </w:pPr>
          </w:p>
        </w:tc>
        <w:tc>
          <w:tcPr>
            <w:tcW w:w="1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auto"/>
              </w:rPr>
              <w:t>Finance</w:t>
            </w:r>
          </w:p>
        </w:tc>
        <w:tc>
          <w:tcPr>
            <w:tcW w:w="0" w:type="dxa"/>
            <w:vAlign w:val="bottom"/>
          </w:tcPr>
          <w:p>
            <w:pPr>
              <w:spacing w:after="0"/>
              <w:rPr>
                <w:sz w:val="1"/>
                <w:szCs w:val="1"/>
                <w:color w:val="auto"/>
              </w:rPr>
            </w:pPr>
          </w:p>
        </w:tc>
      </w:tr>
      <w:tr>
        <w:trPr>
          <w:trHeight w:val="58"/>
        </w:trPr>
        <w:tc>
          <w:tcPr>
            <w:tcW w:w="980" w:type="dxa"/>
            <w:vAlign w:val="bottom"/>
            <w:tcBorders>
              <w:left w:val="single" w:sz="8" w:color="auto"/>
              <w:right w:val="single" w:sz="8" w:color="auto"/>
            </w:tcBorders>
            <w:vMerge w:val="continue"/>
          </w:tcPr>
          <w:p>
            <w:pPr>
              <w:spacing w:after="0"/>
              <w:rPr>
                <w:sz w:val="5"/>
                <w:szCs w:val="5"/>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 Compliance Policies</w:t>
            </w:r>
          </w:p>
        </w:tc>
        <w:tc>
          <w:tcPr>
            <w:tcW w:w="820" w:type="dxa"/>
            <w:vAlign w:val="bottom"/>
            <w:tcBorders>
              <w:right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8.10</w:t>
            </w:r>
          </w:p>
        </w:tc>
        <w:tc>
          <w:tcPr>
            <w:tcW w:w="1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color w:val="auto"/>
              </w:rPr>
              <w:t>Direct</w:t>
            </w:r>
          </w:p>
        </w:tc>
        <w:tc>
          <w:tcPr>
            <w:tcW w:w="0" w:type="dxa"/>
            <w:vAlign w:val="bottom"/>
          </w:tcPr>
          <w:p>
            <w:pPr>
              <w:spacing w:after="0"/>
              <w:rPr>
                <w:sz w:val="1"/>
                <w:szCs w:val="1"/>
                <w:color w:val="auto"/>
              </w:rPr>
            </w:pPr>
          </w:p>
        </w:tc>
      </w:tr>
      <w:tr>
        <w:trPr>
          <w:trHeight w:val="92"/>
        </w:trPr>
        <w:tc>
          <w:tcPr>
            <w:tcW w:w="98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 Human Rights</w:t>
            </w:r>
          </w:p>
        </w:tc>
        <w:tc>
          <w:tcPr>
            <w:tcW w:w="82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98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auto"/>
              </w:rPr>
              <w:t>Environmental</w:t>
            </w:r>
          </w:p>
        </w:tc>
        <w:tc>
          <w:tcPr>
            <w:tcW w:w="0" w:type="dxa"/>
            <w:vAlign w:val="bottom"/>
          </w:tcPr>
          <w:p>
            <w:pPr>
              <w:spacing w:after="0"/>
              <w:rPr>
                <w:sz w:val="1"/>
                <w:szCs w:val="1"/>
                <w:color w:val="auto"/>
              </w:rPr>
            </w:pPr>
          </w:p>
        </w:tc>
      </w:tr>
      <w:tr>
        <w:trPr>
          <w:trHeight w:val="80"/>
        </w:trPr>
        <w:tc>
          <w:tcPr>
            <w:tcW w:w="980" w:type="dxa"/>
            <w:vAlign w:val="bottom"/>
            <w:tcBorders>
              <w:left w:val="single" w:sz="8" w:color="auto"/>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8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Impact</w:t>
            </w:r>
          </w:p>
        </w:tc>
        <w:tc>
          <w:tcPr>
            <w:tcW w:w="0" w:type="dxa"/>
            <w:vAlign w:val="bottom"/>
          </w:tcPr>
          <w:p>
            <w:pPr>
              <w:spacing w:after="0"/>
              <w:rPr>
                <w:sz w:val="1"/>
                <w:szCs w:val="1"/>
                <w:color w:val="auto"/>
              </w:rPr>
            </w:pPr>
          </w:p>
        </w:tc>
      </w:tr>
      <w:tr>
        <w:trPr>
          <w:trHeight w:val="291"/>
        </w:trPr>
        <w:tc>
          <w:tcPr>
            <w:tcW w:w="98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Human Rights</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Simplicity and</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Helping businesses</w:t>
            </w:r>
          </w:p>
        </w:tc>
        <w:tc>
          <w:tcPr>
            <w:tcW w:w="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Transparency</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grow</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16.2</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Internal Gender</w:t>
            </w:r>
          </w:p>
        </w:tc>
        <w:tc>
          <w:tcPr>
            <w:tcW w:w="0" w:type="dxa"/>
            <w:vAlign w:val="bottom"/>
          </w:tcPr>
          <w:p>
            <w:pPr>
              <w:spacing w:after="0"/>
              <w:rPr>
                <w:sz w:val="1"/>
                <w:szCs w:val="1"/>
                <w:color w:val="auto"/>
              </w:rPr>
            </w:pPr>
          </w:p>
        </w:tc>
      </w:tr>
      <w:tr>
        <w:trPr>
          <w:trHeight w:val="139"/>
        </w:trPr>
        <w:tc>
          <w:tcPr>
            <w:tcW w:w="98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ind w:left="100"/>
              <w:spacing w:after="0" w:line="139" w:lineRule="exact"/>
              <w:rPr>
                <w:sz w:val="20"/>
                <w:szCs w:val="20"/>
                <w:color w:val="auto"/>
              </w:rPr>
            </w:pPr>
            <w:r>
              <w:rPr>
                <w:rFonts w:ascii="Arial" w:cs="Arial" w:eastAsia="Arial" w:hAnsi="Arial"/>
                <w:sz w:val="15"/>
                <w:szCs w:val="15"/>
                <w:color w:val="auto"/>
              </w:rPr>
              <w:t>● Financial Inclusion</w:t>
            </w:r>
          </w:p>
        </w:tc>
        <w:tc>
          <w:tcPr>
            <w:tcW w:w="8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Borders>
              <w:right w:val="single" w:sz="8" w:color="auto"/>
            </w:tcBorders>
          </w:tcPr>
          <w:p>
            <w:pPr>
              <w:ind w:left="160"/>
              <w:spacing w:after="0" w:line="139" w:lineRule="exact"/>
              <w:rPr>
                <w:sz w:val="20"/>
                <w:szCs w:val="20"/>
                <w:color w:val="auto"/>
              </w:rPr>
            </w:pPr>
            <w:r>
              <w:rPr>
                <w:rFonts w:ascii="Arial" w:cs="Arial" w:eastAsia="Arial" w:hAnsi="Arial"/>
                <w:sz w:val="15"/>
                <w:szCs w:val="15"/>
                <w:color w:val="auto"/>
              </w:rPr>
              <w:t>Equity Program</w:t>
            </w:r>
          </w:p>
        </w:tc>
        <w:tc>
          <w:tcPr>
            <w:tcW w:w="0" w:type="dxa"/>
            <w:vAlign w:val="bottom"/>
          </w:tcPr>
          <w:p>
            <w:pPr>
              <w:spacing w:after="0"/>
              <w:rPr>
                <w:sz w:val="1"/>
                <w:szCs w:val="1"/>
                <w:color w:val="auto"/>
              </w:rPr>
            </w:pPr>
          </w:p>
        </w:tc>
      </w:tr>
      <w:tr>
        <w:trPr>
          <w:trHeight w:val="154"/>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9.3 9.4</w:t>
            </w:r>
          </w:p>
        </w:tc>
        <w:tc>
          <w:tcPr>
            <w:tcW w:w="1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 Sustainable finance</w:t>
            </w:r>
          </w:p>
        </w:tc>
        <w:tc>
          <w:tcPr>
            <w:tcW w:w="8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rPr>
              <w:t>16.4</w:t>
            </w:r>
          </w:p>
        </w:tc>
        <w:tc>
          <w:tcPr>
            <w:tcW w:w="1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53"/>
        </w:trPr>
        <w:tc>
          <w:tcPr>
            <w:tcW w:w="980" w:type="dxa"/>
            <w:vAlign w:val="bottom"/>
            <w:tcBorders>
              <w:left w:val="single" w:sz="8" w:color="auto"/>
              <w:right w:val="single" w:sz="8" w:color="auto"/>
            </w:tcBorders>
            <w:vMerge w:val="continue"/>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8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15"/>
                <w:szCs w:val="15"/>
                <w:b w:val="1"/>
                <w:bCs w:val="1"/>
                <w:color w:val="auto"/>
              </w:rPr>
              <w:t>16.5</w:t>
            </w:r>
          </w:p>
        </w:tc>
        <w:tc>
          <w:tcPr>
            <w:tcW w:w="180" w:type="dxa"/>
            <w:vAlign w:val="bottom"/>
            <w:vMerge w:val="continue"/>
          </w:tcPr>
          <w:p>
            <w:pPr>
              <w:spacing w:after="0"/>
              <w:rPr>
                <w:sz w:val="4"/>
                <w:szCs w:val="4"/>
                <w:color w:val="auto"/>
              </w:rPr>
            </w:pPr>
          </w:p>
        </w:tc>
        <w:tc>
          <w:tcPr>
            <w:tcW w:w="16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98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ind w:left="100"/>
              <w:spacing w:after="0" w:line="139" w:lineRule="exact"/>
              <w:rPr>
                <w:sz w:val="20"/>
                <w:szCs w:val="20"/>
                <w:color w:val="auto"/>
              </w:rPr>
            </w:pPr>
            <w:r>
              <w:rPr>
                <w:rFonts w:ascii="Arial" w:cs="Arial" w:eastAsia="Arial" w:hAnsi="Arial"/>
                <w:sz w:val="15"/>
                <w:szCs w:val="15"/>
                <w:color w:val="auto"/>
              </w:rPr>
              <w:t>● Sustainable AuMs</w:t>
            </w:r>
          </w:p>
        </w:tc>
        <w:tc>
          <w:tcPr>
            <w:tcW w:w="8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Borders>
              <w:right w:val="single" w:sz="8" w:color="auto"/>
            </w:tcBorders>
          </w:tcPr>
          <w:p>
            <w:pPr>
              <w:ind w:left="160"/>
              <w:spacing w:after="0" w:line="139" w:lineRule="exact"/>
              <w:rPr>
                <w:sz w:val="20"/>
                <w:szCs w:val="20"/>
                <w:color w:val="auto"/>
              </w:rPr>
            </w:pPr>
            <w:r>
              <w:rPr>
                <w:rFonts w:ascii="Arial" w:cs="Arial" w:eastAsia="Arial" w:hAnsi="Arial"/>
                <w:sz w:val="15"/>
                <w:szCs w:val="15"/>
                <w:color w:val="auto"/>
              </w:rPr>
              <w:t>Governance</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16.6</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16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Compliance and</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16.7</w:t>
            </w:r>
          </w:p>
        </w:tc>
        <w:tc>
          <w:tcPr>
            <w:tcW w:w="180" w:type="dxa"/>
            <w:vAlign w:val="bottom"/>
          </w:tcPr>
          <w:p>
            <w:pPr>
              <w:spacing w:after="0"/>
              <w:rPr>
                <w:sz w:val="19"/>
                <w:szCs w:val="19"/>
                <w:color w:val="auto"/>
              </w:rPr>
            </w:pPr>
          </w:p>
        </w:tc>
        <w:tc>
          <w:tcPr>
            <w:tcW w:w="16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Ethics</w:t>
            </w:r>
          </w:p>
        </w:tc>
        <w:tc>
          <w:tcPr>
            <w:tcW w:w="0" w:type="dxa"/>
            <w:vAlign w:val="bottom"/>
          </w:tcPr>
          <w:p>
            <w:pPr>
              <w:spacing w:after="0"/>
              <w:rPr>
                <w:sz w:val="1"/>
                <w:szCs w:val="1"/>
                <w:color w:val="auto"/>
              </w:rPr>
            </w:pPr>
          </w:p>
        </w:tc>
      </w:tr>
      <w:tr>
        <w:trPr>
          <w:trHeight w:val="127"/>
        </w:trPr>
        <w:tc>
          <w:tcPr>
            <w:tcW w:w="9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98"/>
        </w:trPr>
        <w:tc>
          <w:tcPr>
            <w:tcW w:w="98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 Sustainable Finance</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restart"/>
          </w:tcPr>
          <w:p>
            <w:pPr>
              <w:jc w:val="right"/>
              <w:ind w:right="183"/>
              <w:spacing w:after="0"/>
              <w:rPr>
                <w:sz w:val="20"/>
                <w:szCs w:val="20"/>
                <w:color w:val="auto"/>
              </w:rPr>
            </w:pPr>
            <w:r>
              <w:rPr>
                <w:rFonts w:ascii="Arial" w:cs="Arial" w:eastAsia="Arial" w:hAnsi="Arial"/>
                <w:sz w:val="15"/>
                <w:szCs w:val="15"/>
                <w:b w:val="1"/>
                <w:bCs w:val="1"/>
                <w:color w:val="auto"/>
              </w:rPr>
              <w:t>17.3</w:t>
            </w:r>
          </w:p>
        </w:tc>
        <w:tc>
          <w:tcPr>
            <w:tcW w:w="18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 Financial Inclusion</w:t>
            </w:r>
          </w:p>
        </w:tc>
        <w:tc>
          <w:tcPr>
            <w:tcW w:w="0" w:type="dxa"/>
            <w:vAlign w:val="bottom"/>
          </w:tcPr>
          <w:p>
            <w:pPr>
              <w:spacing w:after="0"/>
              <w:rPr>
                <w:sz w:val="1"/>
                <w:szCs w:val="1"/>
                <w:color w:val="auto"/>
              </w:rPr>
            </w:pPr>
          </w:p>
        </w:tc>
      </w:tr>
      <w:tr>
        <w:trPr>
          <w:trHeight w:val="143"/>
        </w:trPr>
        <w:tc>
          <w:tcPr>
            <w:tcW w:w="98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gridSpan w:val="2"/>
          </w:tcPr>
          <w:p>
            <w:pPr>
              <w:ind w:left="60"/>
              <w:spacing w:after="0" w:line="144" w:lineRule="exact"/>
              <w:rPr>
                <w:sz w:val="20"/>
                <w:szCs w:val="20"/>
                <w:color w:val="auto"/>
              </w:rPr>
            </w:pPr>
            <w:r>
              <w:rPr>
                <w:rFonts w:ascii="Arial" w:cs="Arial" w:eastAsia="Arial" w:hAnsi="Arial"/>
                <w:sz w:val="15"/>
                <w:szCs w:val="15"/>
                <w:color w:val="auto"/>
              </w:rPr>
              <w:t>● Financial Education</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17.10</w:t>
            </w:r>
          </w:p>
        </w:tc>
        <w:tc>
          <w:tcPr>
            <w:tcW w:w="18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 Social Responsibility</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17.16</w:t>
            </w:r>
          </w:p>
        </w:tc>
        <w:tc>
          <w:tcPr>
            <w:tcW w:w="18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 Compliance and</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17.17</w:t>
            </w:r>
          </w:p>
        </w:tc>
        <w:tc>
          <w:tcPr>
            <w:tcW w:w="180" w:type="dxa"/>
            <w:vAlign w:val="bottom"/>
          </w:tcPr>
          <w:p>
            <w:pPr>
              <w:spacing w:after="0"/>
              <w:rPr>
                <w:sz w:val="15"/>
                <w:szCs w:val="15"/>
                <w:color w:val="auto"/>
              </w:rPr>
            </w:pP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ethics</w:t>
            </w: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17.18</w:t>
            </w:r>
          </w:p>
        </w:tc>
        <w:tc>
          <w:tcPr>
            <w:tcW w:w="18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8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17.19</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-4237990</wp:posOffset>
            </wp:positionV>
            <wp:extent cx="365760" cy="365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5760" cy="365760"/>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-4245610</wp:posOffset>
            </wp:positionV>
            <wp:extent cx="365760" cy="3657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5760" cy="36576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-3352165</wp:posOffset>
            </wp:positionV>
            <wp:extent cx="365760" cy="365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5760" cy="36576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-3249930</wp:posOffset>
            </wp:positionV>
            <wp:extent cx="365760" cy="3657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5760" cy="365760"/>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-1983105</wp:posOffset>
            </wp:positionV>
            <wp:extent cx="365760" cy="3733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5760" cy="37338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-2195830</wp:posOffset>
            </wp:positionV>
            <wp:extent cx="365760" cy="3657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5760" cy="3657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-1090295</wp:posOffset>
            </wp:positionV>
            <wp:extent cx="365760" cy="3733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5760" cy="373380"/>
                    </a:xfrm>
                    <a:prstGeom prst="rect">
                      <a:avLst/>
                    </a:prstGeom>
                    <a:noFill/>
                  </pic:spPr>
                </pic:pic>
              </a:graphicData>
            </a:graphic>
          </wp:anchor>
        </w:drawing>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Given that our strategy and initiatives are constantly evolving, we periodically assess the alignment of our sustainability strategy and its initiatives with the SDGs we have prioritized. In this way, we help ensure that our sustainability strategy continues to reflect our commitment to the UN Sustainable Development Agenda and generates meaningful contributions to the same.</w:t>
      </w:r>
    </w:p>
    <w:p>
      <w:pPr>
        <w:spacing w:after="0" w:line="200" w:lineRule="exact"/>
        <w:rPr>
          <w:sz w:val="20"/>
          <w:szCs w:val="20"/>
          <w:color w:val="auto"/>
        </w:rPr>
      </w:pPr>
    </w:p>
    <w:p>
      <w:pPr>
        <w:sectPr>
          <w:pgSz w:w="11900" w:h="16838" w:orient="portrait"/>
          <w:cols w:equalWidth="0" w:num="2">
            <w:col w:w="5400" w:space="440"/>
            <w:col w:w="5420"/>
          </w:cols>
          <w:pgMar w:left="320" w:top="292" w:right="319" w:bottom="1440" w:gutter="0" w:footer="0" w:header="0"/>
        </w:sectPr>
      </w:pPr>
    </w:p>
    <w:p>
      <w:pPr>
        <w:spacing w:after="0" w:line="201" w:lineRule="exact"/>
        <w:rPr>
          <w:sz w:val="20"/>
          <w:szCs w:val="20"/>
          <w:color w:val="auto"/>
        </w:rPr>
      </w:pPr>
    </w:p>
    <w:p>
      <w:pPr>
        <w:ind w:left="440" w:hanging="171"/>
        <w:spacing w:after="0"/>
        <w:tabs>
          <w:tab w:leader="none" w:pos="44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AuMs: Assets under management</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25"/>
          <w:szCs w:val="25"/>
          <w:b w:val="1"/>
          <w:bCs w:val="1"/>
          <w:color w:val="auto"/>
        </w:rPr>
        <w:t>Affiliations and Adhesions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5264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2-23, 2-28</w:t>
      </w:r>
    </w:p>
    <w:p>
      <w:pPr>
        <w:spacing w:after="0" w:line="179"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 addition to our commitment to Agenda 2030, at the end of 2022, we were affiliated with the following local and international initiatives through Credicorp or our subsidiaries.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80" w:type="dxa"/>
            <w:vAlign w:val="bottom"/>
            <w:tcBorders>
              <w:top w:val="single" w:sz="8" w:color="auto"/>
              <w:left w:val="single" w:sz="8" w:color="auto"/>
              <w:bottom w:val="single" w:sz="8" w:color="auto"/>
            </w:tcBorders>
          </w:tcPr>
          <w:p>
            <w:pPr>
              <w:spacing w:after="0"/>
              <w:rPr>
                <w:sz w:val="19"/>
                <w:szCs w:val="19"/>
                <w:color w:val="auto"/>
              </w:rPr>
            </w:pPr>
          </w:p>
        </w:tc>
        <w:tc>
          <w:tcPr>
            <w:tcW w:w="3660" w:type="dxa"/>
            <w:vAlign w:val="bottom"/>
            <w:tcBorders>
              <w:top w:val="single" w:sz="8" w:color="auto"/>
              <w:bottom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Organization</w:t>
            </w:r>
          </w:p>
        </w:tc>
        <w:tc>
          <w:tcPr>
            <w:tcW w:w="29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Date of Adherence</w:t>
            </w:r>
          </w:p>
        </w:tc>
        <w:tc>
          <w:tcPr>
            <w:tcW w:w="46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Reason for Adherence</w:t>
            </w:r>
          </w:p>
        </w:tc>
      </w:tr>
      <w:tr>
        <w:trPr>
          <w:trHeight w:val="215"/>
        </w:trPr>
        <w:tc>
          <w:tcPr>
            <w:tcW w:w="80" w:type="dxa"/>
            <w:vAlign w:val="bottom"/>
            <w:tcBorders>
              <w:left w:val="single" w:sz="8" w:color="auto"/>
            </w:tcBorders>
          </w:tcPr>
          <w:p>
            <w:pPr>
              <w:spacing w:after="0"/>
              <w:rPr>
                <w:sz w:val="18"/>
                <w:szCs w:val="18"/>
                <w:color w:val="auto"/>
              </w:rPr>
            </w:pPr>
          </w:p>
        </w:tc>
        <w:tc>
          <w:tcPr>
            <w:tcW w:w="3660" w:type="dxa"/>
            <w:vAlign w:val="bottom"/>
            <w:tcBorders>
              <w:right w:val="single" w:sz="8" w:color="auto"/>
            </w:tcBorders>
            <w:gridSpan w:val="5"/>
          </w:tcPr>
          <w:p>
            <w:pPr>
              <w:spacing w:after="0"/>
              <w:rPr>
                <w:sz w:val="20"/>
                <w:szCs w:val="20"/>
                <w:color w:val="auto"/>
              </w:rPr>
            </w:pPr>
            <w:r>
              <w:rPr>
                <w:rFonts w:ascii="Arial" w:cs="Arial" w:eastAsia="Arial" w:hAnsi="Arial"/>
                <w:sz w:val="15"/>
                <w:szCs w:val="15"/>
                <w:b w:val="1"/>
                <w:bCs w:val="1"/>
                <w:color w:val="auto"/>
              </w:rPr>
              <w:t>Carbon Disclosure Project (CDP)</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 – 2010</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Allows us to identify gaps to combat climate change.</w:t>
            </w:r>
          </w:p>
        </w:tc>
      </w:tr>
      <w:tr>
        <w:trPr>
          <w:trHeight w:val="169"/>
        </w:trPr>
        <w:tc>
          <w:tcPr>
            <w:tcW w:w="80" w:type="dxa"/>
            <w:vAlign w:val="bottom"/>
            <w:tcBorders>
              <w:left w:val="single" w:sz="8" w:color="auto"/>
            </w:tcBorders>
          </w:tcPr>
          <w:p>
            <w:pPr>
              <w:spacing w:after="0"/>
              <w:rPr>
                <w:sz w:val="14"/>
                <w:szCs w:val="14"/>
                <w:color w:val="auto"/>
              </w:rPr>
            </w:pPr>
          </w:p>
        </w:tc>
        <w:tc>
          <w:tcPr>
            <w:tcW w:w="15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https://www.cdp.net/es</w:t>
            </w:r>
          </w:p>
        </w:tc>
        <w:tc>
          <w:tcPr>
            <w:tcW w:w="2080" w:type="dxa"/>
            <w:vAlign w:val="bottom"/>
            <w:tcBorders>
              <w:right w:val="single" w:sz="8" w:color="auto"/>
            </w:tcBorders>
            <w:gridSpan w:val="4"/>
          </w:tcPr>
          <w:p>
            <w:pPr>
              <w:spacing w:after="0"/>
              <w:rPr>
                <w:sz w:val="14"/>
                <w:szCs w:val="14"/>
                <w:color w:val="auto"/>
              </w:rPr>
            </w:pPr>
          </w:p>
        </w:tc>
        <w:tc>
          <w:tcPr>
            <w:tcW w:w="29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5"/>
                <w:szCs w:val="15"/>
                <w:b w:val="1"/>
                <w:bCs w:val="1"/>
                <w:color w:val="auto"/>
              </w:rPr>
              <w:t>1º Peruvian signatory company of</w:t>
            </w:r>
          </w:p>
        </w:tc>
        <w:tc>
          <w:tcPr>
            <w:tcW w:w="4600" w:type="dxa"/>
            <w:vAlign w:val="bottom"/>
            <w:tcBorders>
              <w:right w:val="single" w:sz="8" w:color="auto"/>
            </w:tcBorders>
          </w:tcPr>
          <w:p>
            <w:pPr>
              <w:spacing w:after="0"/>
              <w:rPr>
                <w:sz w:val="14"/>
                <w:szCs w:val="14"/>
                <w:color w:val="auto"/>
              </w:rPr>
            </w:pPr>
          </w:p>
        </w:tc>
      </w:tr>
      <w:tr>
        <w:trPr>
          <w:trHeight w:val="175"/>
        </w:trPr>
        <w:tc>
          <w:tcPr>
            <w:tcW w:w="80" w:type="dxa"/>
            <w:vAlign w:val="bottom"/>
            <w:tcBorders>
              <w:left w:val="single" w:sz="8" w:color="auto"/>
            </w:tcBorders>
          </w:tcPr>
          <w:p>
            <w:pPr>
              <w:spacing w:after="0"/>
              <w:rPr>
                <w:sz w:val="15"/>
                <w:szCs w:val="15"/>
                <w:color w:val="auto"/>
              </w:rPr>
            </w:pPr>
          </w:p>
        </w:tc>
        <w:tc>
          <w:tcPr>
            <w:tcW w:w="366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Largest coalition of investors in the world. Gathers</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CDP</w:t>
            </w:r>
          </w:p>
        </w:tc>
        <w:tc>
          <w:tcPr>
            <w:tcW w:w="4600" w:type="dxa"/>
            <w:vAlign w:val="bottom"/>
            <w:tcBorders>
              <w:right w:val="single" w:sz="8" w:color="auto"/>
            </w:tcBorders>
          </w:tcPr>
          <w:p>
            <w:pPr>
              <w:spacing w:after="0"/>
              <w:rPr>
                <w:sz w:val="15"/>
                <w:szCs w:val="15"/>
                <w:color w:val="auto"/>
              </w:rPr>
            </w:pPr>
          </w:p>
        </w:tc>
      </w:tr>
      <w:tr>
        <w:trPr>
          <w:trHeight w:val="157"/>
        </w:trPr>
        <w:tc>
          <w:tcPr>
            <w:tcW w:w="80" w:type="dxa"/>
            <w:vAlign w:val="bottom"/>
            <w:tcBorders>
              <w:left w:val="single" w:sz="8" w:color="auto"/>
            </w:tcBorders>
          </w:tcPr>
          <w:p>
            <w:pPr>
              <w:spacing w:after="0"/>
              <w:rPr>
                <w:sz w:val="13"/>
                <w:szCs w:val="13"/>
                <w:color w:val="auto"/>
              </w:rPr>
            </w:pPr>
          </w:p>
        </w:tc>
        <w:tc>
          <w:tcPr>
            <w:tcW w:w="3660" w:type="dxa"/>
            <w:vAlign w:val="bottom"/>
            <w:tcBorders>
              <w:right w:val="single" w:sz="8" w:color="auto"/>
            </w:tcBorders>
            <w:gridSpan w:val="5"/>
          </w:tcPr>
          <w:p>
            <w:pPr>
              <w:spacing w:after="0" w:line="157" w:lineRule="exact"/>
              <w:rPr>
                <w:sz w:val="20"/>
                <w:szCs w:val="20"/>
                <w:color w:val="auto"/>
              </w:rPr>
            </w:pPr>
            <w:r>
              <w:rPr>
                <w:rFonts w:ascii="Arial" w:cs="Arial" w:eastAsia="Arial" w:hAnsi="Arial"/>
                <w:sz w:val="15"/>
                <w:szCs w:val="15"/>
                <w:color w:val="auto"/>
              </w:rPr>
              <w:t>and disseminates information on companies’</w:t>
            </w:r>
          </w:p>
        </w:tc>
        <w:tc>
          <w:tcPr>
            <w:tcW w:w="292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rPr>
              <w:t>Rating 2022:</w:t>
            </w:r>
          </w:p>
        </w:tc>
        <w:tc>
          <w:tcPr>
            <w:tcW w:w="4600" w:type="dxa"/>
            <w:vAlign w:val="bottom"/>
            <w:tcBorders>
              <w:right w:val="single" w:sz="8" w:color="auto"/>
            </w:tcBorders>
          </w:tcPr>
          <w:p>
            <w:pPr>
              <w:spacing w:after="0"/>
              <w:rPr>
                <w:sz w:val="13"/>
                <w:szCs w:val="13"/>
                <w:color w:val="auto"/>
              </w:rPr>
            </w:pPr>
          </w:p>
        </w:tc>
      </w:tr>
      <w:tr>
        <w:trPr>
          <w:trHeight w:val="201"/>
        </w:trPr>
        <w:tc>
          <w:tcPr>
            <w:tcW w:w="80" w:type="dxa"/>
            <w:vAlign w:val="bottom"/>
            <w:tcBorders>
              <w:left w:val="single" w:sz="8" w:color="auto"/>
            </w:tcBorders>
          </w:tcPr>
          <w:p>
            <w:pPr>
              <w:spacing w:after="0"/>
              <w:rPr>
                <w:sz w:val="17"/>
                <w:szCs w:val="17"/>
                <w:color w:val="auto"/>
              </w:rPr>
            </w:pPr>
          </w:p>
        </w:tc>
        <w:tc>
          <w:tcPr>
            <w:tcW w:w="366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environmental impact.</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C - </w:t>
            </w:r>
            <w:r>
              <w:rPr>
                <w:rFonts w:ascii="Arial" w:cs="Arial" w:eastAsia="Arial" w:hAnsi="Arial"/>
                <w:sz w:val="15"/>
                <w:szCs w:val="15"/>
                <w:i w:val="1"/>
                <w:iCs w:val="1"/>
                <w:color w:val="auto"/>
              </w:rPr>
              <w:t>Awareness.</w:t>
            </w:r>
          </w:p>
        </w:tc>
        <w:tc>
          <w:tcPr>
            <w:tcW w:w="4600" w:type="dxa"/>
            <w:vAlign w:val="bottom"/>
            <w:tcBorders>
              <w:right w:val="single" w:sz="8" w:color="auto"/>
            </w:tcBorders>
          </w:tcPr>
          <w:p>
            <w:pPr>
              <w:spacing w:after="0"/>
              <w:rPr>
                <w:sz w:val="17"/>
                <w:szCs w:val="17"/>
                <w:color w:val="auto"/>
              </w:rPr>
            </w:pPr>
          </w:p>
        </w:tc>
      </w:tr>
      <w:tr>
        <w:trPr>
          <w:trHeight w:val="334"/>
        </w:trPr>
        <w:tc>
          <w:tcPr>
            <w:tcW w:w="80" w:type="dxa"/>
            <w:vAlign w:val="bottom"/>
            <w:tcBorders>
              <w:lef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 Capital Asset Management -</w:t>
            </w:r>
          </w:p>
        </w:tc>
        <w:tc>
          <w:tcPr>
            <w:tcW w:w="4600" w:type="dxa"/>
            <w:vAlign w:val="bottom"/>
            <w:tcBorders>
              <w:right w:val="single" w:sz="8" w:color="auto"/>
            </w:tcBorders>
          </w:tcPr>
          <w:p>
            <w:pPr>
              <w:spacing w:after="0"/>
              <w:rPr>
                <w:sz w:val="24"/>
                <w:szCs w:val="24"/>
                <w:color w:val="auto"/>
              </w:rPr>
            </w:pPr>
          </w:p>
        </w:tc>
      </w:tr>
      <w:tr>
        <w:trPr>
          <w:trHeight w:val="174"/>
        </w:trPr>
        <w:tc>
          <w:tcPr>
            <w:tcW w:w="80" w:type="dxa"/>
            <w:vAlign w:val="bottom"/>
            <w:tcBorders>
              <w:left w:val="single" w:sz="8" w:color="auto"/>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2021</w:t>
            </w:r>
          </w:p>
        </w:tc>
        <w:tc>
          <w:tcPr>
            <w:tcW w:w="4600" w:type="dxa"/>
            <w:vAlign w:val="bottom"/>
            <w:tcBorders>
              <w:bottom w:val="single" w:sz="8" w:color="auto"/>
              <w:right w:val="single" w:sz="8" w:color="auto"/>
            </w:tcBorders>
          </w:tcPr>
          <w:p>
            <w:pPr>
              <w:spacing w:after="0"/>
              <w:rPr>
                <w:sz w:val="15"/>
                <w:szCs w:val="15"/>
                <w:color w:val="auto"/>
              </w:rPr>
            </w:pPr>
          </w:p>
        </w:tc>
      </w:tr>
      <w:tr>
        <w:trPr>
          <w:trHeight w:val="233"/>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UN Global Compact Global</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 - 2022</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Shows our commitment to sustainability and Human Rights in a</w:t>
            </w:r>
          </w:p>
        </w:tc>
      </w:tr>
      <w:tr>
        <w:trPr>
          <w:trHeight w:val="151"/>
        </w:trPr>
        <w:tc>
          <w:tcPr>
            <w:tcW w:w="3740" w:type="dxa"/>
            <w:vAlign w:val="bottom"/>
            <w:tcBorders>
              <w:left w:val="single" w:sz="8" w:color="auto"/>
              <w:right w:val="single" w:sz="8" w:color="auto"/>
            </w:tcBorders>
            <w:gridSpan w:val="6"/>
          </w:tcPr>
          <w:p>
            <w:pPr>
              <w:ind w:left="80"/>
              <w:spacing w:after="0" w:line="151" w:lineRule="exact"/>
              <w:rPr>
                <w:sz w:val="20"/>
                <w:szCs w:val="20"/>
                <w:color w:val="auto"/>
              </w:rPr>
            </w:pPr>
            <w:r>
              <w:rPr>
                <w:rFonts w:ascii="Arial" w:cs="Arial" w:eastAsia="Arial" w:hAnsi="Arial"/>
                <w:sz w:val="15"/>
                <w:szCs w:val="15"/>
                <w:color w:val="auto"/>
              </w:rPr>
              <w:t>https://www.unglobalcompact.org/</w:t>
            </w:r>
          </w:p>
        </w:tc>
        <w:tc>
          <w:tcPr>
            <w:tcW w:w="292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5"/>
                <w:szCs w:val="15"/>
                <w:color w:val="auto"/>
              </w:rPr>
              <w:t>BCP Bolivia – 2020</w:t>
            </w:r>
          </w:p>
        </w:tc>
        <w:tc>
          <w:tcPr>
            <w:tcW w:w="46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5"/>
                <w:szCs w:val="15"/>
                <w:color w:val="auto"/>
              </w:rPr>
              <w:t>public and visible way and allows us to be part of a global</w:t>
            </w:r>
          </w:p>
        </w:tc>
      </w:tr>
      <w:tr>
        <w:trPr>
          <w:trHeight w:val="175"/>
        </w:trPr>
        <w:tc>
          <w:tcPr>
            <w:tcW w:w="80" w:type="dxa"/>
            <w:vAlign w:val="bottom"/>
            <w:tcBorders>
              <w:left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Prima AFP – 2013</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network for learning and innovation.</w:t>
            </w:r>
          </w:p>
        </w:tc>
      </w:tr>
      <w:tr>
        <w:trPr>
          <w:trHeight w:val="173"/>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color w:val="auto"/>
              </w:rPr>
              <w:t>+ 20 years +162 countries +21,000 member</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BCP – 2009</w:t>
            </w:r>
          </w:p>
        </w:tc>
        <w:tc>
          <w:tcPr>
            <w:tcW w:w="4600" w:type="dxa"/>
            <w:vAlign w:val="bottom"/>
            <w:tcBorders>
              <w:right w:val="single" w:sz="8" w:color="auto"/>
            </w:tcBorders>
          </w:tcPr>
          <w:p>
            <w:pPr>
              <w:spacing w:after="0"/>
              <w:rPr>
                <w:sz w:val="15"/>
                <w:szCs w:val="15"/>
                <w:color w:val="auto"/>
              </w:rPr>
            </w:pPr>
          </w:p>
        </w:tc>
      </w:tr>
      <w:tr>
        <w:trPr>
          <w:trHeight w:val="185"/>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color w:val="auto"/>
              </w:rPr>
              <w:t>organizations</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Pacífico Seguros – 2008</w:t>
            </w:r>
          </w:p>
        </w:tc>
        <w:tc>
          <w:tcPr>
            <w:tcW w:w="4600" w:type="dxa"/>
            <w:vAlign w:val="bottom"/>
            <w:tcBorders>
              <w:right w:val="single" w:sz="8" w:color="auto"/>
            </w:tcBorders>
          </w:tcPr>
          <w:p>
            <w:pPr>
              <w:spacing w:after="0"/>
              <w:rPr>
                <w:sz w:val="16"/>
                <w:szCs w:val="16"/>
                <w:color w:val="auto"/>
              </w:rPr>
            </w:pPr>
          </w:p>
        </w:tc>
      </w:tr>
      <w:tr>
        <w:trPr>
          <w:trHeight w:val="231"/>
        </w:trPr>
        <w:tc>
          <w:tcPr>
            <w:tcW w:w="80" w:type="dxa"/>
            <w:vAlign w:val="bottom"/>
            <w:tcBorders>
              <w:left w:val="single" w:sz="8" w:color="auto"/>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spacing w:after="0"/>
              <w:rPr>
                <w:sz w:val="20"/>
                <w:szCs w:val="20"/>
                <w:color w:val="auto"/>
              </w:rPr>
            </w:pPr>
          </w:p>
        </w:tc>
      </w:tr>
      <w:tr>
        <w:trPr>
          <w:trHeight w:val="233"/>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Perú Sostenible</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 – 2021</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Exchange of good practices, learning and achievements with</w:t>
            </w:r>
          </w:p>
        </w:tc>
      </w:tr>
      <w:tr>
        <w:trPr>
          <w:trHeight w:val="151"/>
        </w:trPr>
        <w:tc>
          <w:tcPr>
            <w:tcW w:w="3740" w:type="dxa"/>
            <w:vAlign w:val="bottom"/>
            <w:tcBorders>
              <w:left w:val="single" w:sz="8" w:color="auto"/>
              <w:right w:val="single" w:sz="8" w:color="auto"/>
            </w:tcBorders>
            <w:gridSpan w:val="6"/>
          </w:tcPr>
          <w:p>
            <w:pPr>
              <w:ind w:left="80"/>
              <w:spacing w:after="0" w:line="151" w:lineRule="exact"/>
              <w:rPr>
                <w:sz w:val="20"/>
                <w:szCs w:val="20"/>
                <w:color w:val="auto"/>
              </w:rPr>
            </w:pPr>
            <w:r>
              <w:rPr>
                <w:rFonts w:ascii="Arial" w:cs="Arial" w:eastAsia="Arial" w:hAnsi="Arial"/>
                <w:sz w:val="15"/>
                <w:szCs w:val="15"/>
                <w:color w:val="auto"/>
              </w:rPr>
              <w:t>https://perusostenible.org/</w:t>
            </w:r>
          </w:p>
        </w:tc>
        <w:tc>
          <w:tcPr>
            <w:tcW w:w="2920" w:type="dxa"/>
            <w:vAlign w:val="bottom"/>
            <w:tcBorders>
              <w:righ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5"/>
                <w:szCs w:val="15"/>
                <w:color w:val="auto"/>
              </w:rPr>
              <w:t>national and international leaders from all sectors.</w:t>
            </w:r>
          </w:p>
        </w:tc>
      </w:tr>
      <w:tr>
        <w:trPr>
          <w:trHeight w:val="175"/>
        </w:trPr>
        <w:tc>
          <w:tcPr>
            <w:tcW w:w="80" w:type="dxa"/>
            <w:vAlign w:val="bottom"/>
            <w:tcBorders>
              <w:left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Mibanco Perú – 2021</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2022 – Perú Sostenible Event: exchange regarding the</w:t>
            </w:r>
          </w:p>
        </w:tc>
      </w:tr>
      <w:tr>
        <w:trPr>
          <w:trHeight w:val="173"/>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color w:val="auto"/>
              </w:rPr>
              <w:t>Largest network of companies in Peru that promote</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Pacífico Seguros – 2012</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challenges of and progress toward complying with the 17 SDG</w:t>
            </w:r>
          </w:p>
        </w:tc>
      </w:tr>
      <w:tr>
        <w:trPr>
          <w:trHeight w:val="173"/>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color w:val="auto"/>
              </w:rPr>
              <w:t>Sustainable Development.</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Prima AFP – 2012</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Our CEO, Gianfranco Ferrari co-presided this event</w:t>
            </w:r>
          </w:p>
        </w:tc>
      </w:tr>
      <w:tr>
        <w:trPr>
          <w:trHeight w:val="173"/>
        </w:trPr>
        <w:tc>
          <w:tcPr>
            <w:tcW w:w="80" w:type="dxa"/>
            <w:vAlign w:val="bottom"/>
            <w:tcBorders>
              <w:left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BCP – 2009</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We invited a global expert to a dialogue about sustainability in</w:t>
            </w:r>
          </w:p>
        </w:tc>
      </w:tr>
      <w:tr>
        <w:trPr>
          <w:trHeight w:val="185"/>
        </w:trPr>
        <w:tc>
          <w:tcPr>
            <w:tcW w:w="80" w:type="dxa"/>
            <w:vAlign w:val="bottom"/>
            <w:tcBorders>
              <w:lef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the financial sector.</w:t>
            </w:r>
          </w:p>
        </w:tc>
      </w:tr>
      <w:tr>
        <w:trPr>
          <w:trHeight w:val="162"/>
        </w:trPr>
        <w:tc>
          <w:tcPr>
            <w:tcW w:w="80" w:type="dxa"/>
            <w:vAlign w:val="bottom"/>
            <w:tcBorders>
              <w:left w:val="single" w:sz="8" w:color="auto"/>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4600" w:type="dxa"/>
            <w:vAlign w:val="bottom"/>
            <w:tcBorders>
              <w:bottom w:val="single" w:sz="8" w:color="auto"/>
              <w:right w:val="single" w:sz="8" w:color="auto"/>
            </w:tcBorders>
          </w:tcPr>
          <w:p>
            <w:pPr>
              <w:spacing w:after="0"/>
              <w:rPr>
                <w:sz w:val="14"/>
                <w:szCs w:val="14"/>
                <w:color w:val="auto"/>
              </w:rPr>
            </w:pPr>
          </w:p>
        </w:tc>
      </w:tr>
      <w:tr>
        <w:trPr>
          <w:trHeight w:val="233"/>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Nexos +1</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 – 2021</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We are working with other companies to take on challenges</w:t>
            </w:r>
          </w:p>
        </w:tc>
      </w:tr>
      <w:tr>
        <w:trPr>
          <w:trHeight w:val="151"/>
        </w:trPr>
        <w:tc>
          <w:tcPr>
            <w:tcW w:w="3740" w:type="dxa"/>
            <w:vAlign w:val="bottom"/>
            <w:tcBorders>
              <w:left w:val="single" w:sz="8" w:color="auto"/>
              <w:right w:val="single" w:sz="8" w:color="auto"/>
            </w:tcBorders>
            <w:gridSpan w:val="6"/>
          </w:tcPr>
          <w:p>
            <w:pPr>
              <w:ind w:left="80"/>
              <w:spacing w:after="0" w:line="151" w:lineRule="exact"/>
              <w:rPr>
                <w:sz w:val="20"/>
                <w:szCs w:val="20"/>
                <w:color w:val="auto"/>
              </w:rPr>
            </w:pPr>
            <w:r>
              <w:rPr>
                <w:rFonts w:ascii="Arial" w:cs="Arial" w:eastAsia="Arial" w:hAnsi="Arial"/>
                <w:sz w:val="15"/>
                <w:szCs w:val="15"/>
                <w:color w:val="auto"/>
              </w:rPr>
              <w:t>https://nexosmasuno.com/</w:t>
            </w:r>
          </w:p>
        </w:tc>
        <w:tc>
          <w:tcPr>
            <w:tcW w:w="2920" w:type="dxa"/>
            <w:vAlign w:val="bottom"/>
            <w:tcBorders>
              <w:righ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5"/>
                <w:szCs w:val="15"/>
                <w:color w:val="auto"/>
              </w:rPr>
              <w:t>related to combatting climate change as we seek to harness</w:t>
            </w:r>
          </w:p>
        </w:tc>
      </w:tr>
      <w:tr>
        <w:trPr>
          <w:trHeight w:val="175"/>
        </w:trPr>
        <w:tc>
          <w:tcPr>
            <w:tcW w:w="80" w:type="dxa"/>
            <w:vAlign w:val="bottom"/>
            <w:tcBorders>
              <w:left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Pacífico Seguros – 2021</w:t>
            </w:r>
          </w:p>
        </w:tc>
        <w:tc>
          <w:tcPr>
            <w:tcW w:w="4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opportunities</w:t>
            </w:r>
          </w:p>
        </w:tc>
      </w:tr>
      <w:tr>
        <w:trPr>
          <w:trHeight w:val="173"/>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color w:val="auto"/>
              </w:rPr>
              <w:t>Nexos+1 promotes business transformation to</w:t>
            </w: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Prima AFP – 2018</w:t>
            </w:r>
          </w:p>
        </w:tc>
        <w:tc>
          <w:tcPr>
            <w:tcW w:w="4600" w:type="dxa"/>
            <w:vAlign w:val="bottom"/>
            <w:tcBorders>
              <w:right w:val="single" w:sz="8" w:color="auto"/>
            </w:tcBorders>
          </w:tcPr>
          <w:p>
            <w:pPr>
              <w:spacing w:after="0"/>
              <w:rPr>
                <w:sz w:val="15"/>
                <w:szCs w:val="15"/>
                <w:color w:val="auto"/>
              </w:rPr>
            </w:pPr>
          </w:p>
        </w:tc>
      </w:tr>
      <w:tr>
        <w:trPr>
          <w:trHeight w:val="185"/>
        </w:trPr>
        <w:tc>
          <w:tcPr>
            <w:tcW w:w="374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5"/>
                <w:szCs w:val="15"/>
                <w:color w:val="auto"/>
              </w:rPr>
              <w:t>combat climate change in Latin America.</w:t>
            </w:r>
          </w:p>
        </w:tc>
        <w:tc>
          <w:tcPr>
            <w:tcW w:w="2920" w:type="dxa"/>
            <w:vAlign w:val="bottom"/>
            <w:tcBorders>
              <w:right w:val="single" w:sz="8" w:color="auto"/>
            </w:tcBorders>
          </w:tcPr>
          <w:p>
            <w:pPr>
              <w:spacing w:after="0"/>
              <w:rPr>
                <w:sz w:val="16"/>
                <w:szCs w:val="16"/>
                <w:color w:val="auto"/>
              </w:rPr>
            </w:pPr>
          </w:p>
        </w:tc>
        <w:tc>
          <w:tcPr>
            <w:tcW w:w="4600" w:type="dxa"/>
            <w:vAlign w:val="bottom"/>
            <w:tcBorders>
              <w:right w:val="single" w:sz="8" w:color="auto"/>
            </w:tcBorders>
          </w:tcPr>
          <w:p>
            <w:pPr>
              <w:spacing w:after="0"/>
              <w:rPr>
                <w:sz w:val="16"/>
                <w:szCs w:val="16"/>
                <w:color w:val="auto"/>
              </w:rPr>
            </w:pPr>
          </w:p>
        </w:tc>
      </w:tr>
      <w:tr>
        <w:trPr>
          <w:trHeight w:val="58"/>
        </w:trPr>
        <w:tc>
          <w:tcPr>
            <w:tcW w:w="80" w:type="dxa"/>
            <w:vAlign w:val="bottom"/>
            <w:tcBorders>
              <w:left w:val="single" w:sz="8" w:color="auto"/>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4600" w:type="dxa"/>
            <w:vAlign w:val="bottom"/>
            <w:tcBorders>
              <w:bottom w:val="single" w:sz="8" w:color="auto"/>
              <w:right w:val="single" w:sz="8" w:color="auto"/>
            </w:tcBorders>
          </w:tcPr>
          <w:p>
            <w:pPr>
              <w:spacing w:after="0"/>
              <w:rPr>
                <w:sz w:val="5"/>
                <w:szCs w:val="5"/>
                <w:color w:val="auto"/>
              </w:rPr>
            </w:pPr>
          </w:p>
        </w:tc>
      </w:tr>
      <w:tr>
        <w:trPr>
          <w:trHeight w:val="545"/>
        </w:trPr>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0" w:type="dxa"/>
            <w:vAlign w:val="bottom"/>
          </w:tcPr>
          <w:p>
            <w:pPr>
              <w:ind w:left="4420"/>
              <w:spacing w:after="0"/>
              <w:rPr>
                <w:sz w:val="20"/>
                <w:szCs w:val="20"/>
                <w:color w:val="auto"/>
              </w:rPr>
            </w:pPr>
            <w:r>
              <w:rPr>
                <w:rFonts w:ascii="Arial" w:cs="Arial" w:eastAsia="Arial" w:hAnsi="Arial"/>
                <w:sz w:val="15"/>
                <w:szCs w:val="15"/>
                <w:color w:val="auto"/>
                <w:w w:val="83"/>
              </w:rPr>
              <w:t>84</w:t>
            </w:r>
          </w:p>
        </w:tc>
      </w:tr>
      <w:tr>
        <w:trPr>
          <w:trHeight w:val="38"/>
        </w:trPr>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279" w:right="319" w:bottom="1440" w:gutter="0" w:footer="0" w:header="0"/>
        </w:sectPr>
      </w:pPr>
    </w:p>
    <w:bookmarkStart w:id="87" w:name="page88"/>
    <w:bookmarkEnd w:id="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620" w:type="dxa"/>
            <w:vAlign w:val="bottom"/>
            <w:tcBorders>
              <w:top w:val="single" w:sz="8" w:color="auto"/>
              <w:left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Es Hoy</w:t>
            </w:r>
          </w:p>
        </w:tc>
        <w:tc>
          <w:tcPr>
            <w:tcW w:w="6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tcBorders>
            <w:gridSpan w:val="3"/>
          </w:tcPr>
          <w:p>
            <w:pPr>
              <w:ind w:left="80"/>
              <w:spacing w:after="0"/>
              <w:rPr>
                <w:sz w:val="20"/>
                <w:szCs w:val="20"/>
                <w:color w:val="auto"/>
              </w:rPr>
            </w:pPr>
            <w:r>
              <w:rPr>
                <w:rFonts w:ascii="Arial" w:cs="Arial" w:eastAsia="Arial" w:hAnsi="Arial"/>
                <w:sz w:val="15"/>
                <w:szCs w:val="15"/>
                <w:color w:val="auto"/>
              </w:rPr>
              <w:t>Credicorp – 2021</w:t>
            </w:r>
          </w:p>
        </w:tc>
        <w:tc>
          <w:tcPr>
            <w:tcW w:w="4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500" w:type="dxa"/>
            <w:vAlign w:val="bottom"/>
            <w:tcBorders>
              <w:top w:val="single" w:sz="8" w:color="auto"/>
              <w:right w:val="single" w:sz="8" w:color="auto"/>
            </w:tcBorders>
          </w:tcPr>
          <w:p>
            <w:pPr>
              <w:spacing w:after="0"/>
              <w:rPr>
                <w:sz w:val="21"/>
                <w:szCs w:val="21"/>
                <w:color w:val="auto"/>
              </w:rPr>
            </w:pPr>
          </w:p>
        </w:tc>
        <w:tc>
          <w:tcPr>
            <w:tcW w:w="4600" w:type="dxa"/>
            <w:vAlign w:val="bottom"/>
            <w:tcBorders>
              <w:top w:val="single" w:sz="8" w:color="auto"/>
              <w:right w:val="single" w:sz="8" w:color="auto"/>
            </w:tcBorders>
            <w:gridSpan w:val="8"/>
          </w:tcPr>
          <w:p>
            <w:pPr>
              <w:ind w:left="60"/>
              <w:spacing w:after="0"/>
              <w:rPr>
                <w:sz w:val="20"/>
                <w:szCs w:val="20"/>
                <w:color w:val="auto"/>
              </w:rPr>
            </w:pPr>
            <w:r>
              <w:rPr>
                <w:rFonts w:ascii="Arial" w:cs="Arial" w:eastAsia="Arial" w:hAnsi="Arial"/>
                <w:sz w:val="15"/>
                <w:szCs w:val="15"/>
                <w:color w:val="auto"/>
              </w:rPr>
              <w:t>Our CEO Gianfranco Ferrari is a member of the Directing</w:t>
            </w:r>
          </w:p>
        </w:tc>
        <w:tc>
          <w:tcPr>
            <w:tcW w:w="0" w:type="dxa"/>
            <w:vAlign w:val="bottom"/>
          </w:tcPr>
          <w:p>
            <w:pPr>
              <w:spacing w:after="0"/>
              <w:rPr>
                <w:sz w:val="1"/>
                <w:szCs w:val="1"/>
                <w:color w:val="auto"/>
              </w:rPr>
            </w:pPr>
          </w:p>
        </w:tc>
      </w:tr>
      <w:tr>
        <w:trPr>
          <w:trHeight w:val="151"/>
        </w:trPr>
        <w:tc>
          <w:tcPr>
            <w:tcW w:w="1620" w:type="dxa"/>
            <w:vAlign w:val="bottom"/>
            <w:tcBorders>
              <w:left w:val="single" w:sz="8" w:color="auto"/>
            </w:tcBorders>
            <w:gridSpan w:val="4"/>
          </w:tcPr>
          <w:p>
            <w:pPr>
              <w:ind w:left="80"/>
              <w:spacing w:after="0" w:line="151" w:lineRule="exact"/>
              <w:rPr>
                <w:sz w:val="20"/>
                <w:szCs w:val="20"/>
                <w:color w:val="auto"/>
              </w:rPr>
            </w:pPr>
            <w:r>
              <w:rPr>
                <w:rFonts w:ascii="Arial" w:cs="Arial" w:eastAsia="Arial" w:hAnsi="Arial"/>
                <w:sz w:val="15"/>
                <w:szCs w:val="15"/>
                <w:color w:val="auto"/>
              </w:rPr>
              <w:t>https://eshoy.pe/</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4600" w:type="dxa"/>
            <w:vAlign w:val="bottom"/>
            <w:tcBorders>
              <w:right w:val="single" w:sz="8" w:color="auto"/>
            </w:tcBorders>
            <w:gridSpan w:val="8"/>
          </w:tcPr>
          <w:p>
            <w:pPr>
              <w:ind w:left="60"/>
              <w:spacing w:after="0" w:line="151" w:lineRule="exact"/>
              <w:rPr>
                <w:sz w:val="20"/>
                <w:szCs w:val="20"/>
                <w:color w:val="auto"/>
              </w:rPr>
            </w:pPr>
            <w:r>
              <w:rPr>
                <w:rFonts w:ascii="Arial" w:cs="Arial" w:eastAsia="Arial" w:hAnsi="Arial"/>
                <w:sz w:val="15"/>
                <w:szCs w:val="15"/>
                <w:color w:val="auto"/>
              </w:rPr>
              <w:t>Council. The general managers of BCP, Mibanco and Credicorp</w:t>
            </w:r>
          </w:p>
        </w:tc>
        <w:tc>
          <w:tcPr>
            <w:tcW w:w="0" w:type="dxa"/>
            <w:vAlign w:val="bottom"/>
          </w:tcPr>
          <w:p>
            <w:pPr>
              <w:spacing w:after="0"/>
              <w:rPr>
                <w:sz w:val="1"/>
                <w:szCs w:val="1"/>
                <w:color w:val="auto"/>
              </w:rPr>
            </w:pPr>
          </w:p>
        </w:tc>
      </w:tr>
      <w:tr>
        <w:trPr>
          <w:trHeight w:val="175"/>
        </w:trPr>
        <w:tc>
          <w:tcPr>
            <w:tcW w:w="80" w:type="dxa"/>
            <w:vAlign w:val="bottom"/>
            <w:tcBorders>
              <w:left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840" w:type="dxa"/>
            <w:vAlign w:val="bottom"/>
            <w:gridSpan w:val="4"/>
          </w:tcPr>
          <w:p>
            <w:pPr>
              <w:ind w:left="80"/>
              <w:spacing w:after="0"/>
              <w:rPr>
                <w:sz w:val="20"/>
                <w:szCs w:val="20"/>
                <w:color w:val="auto"/>
              </w:rPr>
            </w:pPr>
            <w:r>
              <w:rPr>
                <w:rFonts w:ascii="Arial" w:cs="Arial" w:eastAsia="Arial" w:hAnsi="Arial"/>
                <w:sz w:val="15"/>
                <w:szCs w:val="15"/>
                <w:color w:val="auto"/>
              </w:rPr>
              <w:t>Mibanco Perú– 2022</w:t>
            </w:r>
          </w:p>
        </w:tc>
        <w:tc>
          <w:tcPr>
            <w:tcW w:w="5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600" w:type="dxa"/>
            <w:vAlign w:val="bottom"/>
            <w:tcBorders>
              <w:right w:val="single" w:sz="8" w:color="auto"/>
            </w:tcBorders>
            <w:gridSpan w:val="8"/>
          </w:tcPr>
          <w:p>
            <w:pPr>
              <w:ind w:left="60"/>
              <w:spacing w:after="0"/>
              <w:rPr>
                <w:sz w:val="20"/>
                <w:szCs w:val="20"/>
                <w:color w:val="auto"/>
              </w:rPr>
            </w:pPr>
            <w:r>
              <w:rPr>
                <w:rFonts w:ascii="Arial" w:cs="Arial" w:eastAsia="Arial" w:hAnsi="Arial"/>
                <w:sz w:val="15"/>
                <w:szCs w:val="15"/>
                <w:color w:val="auto"/>
              </w:rPr>
              <w:t>Capital are also part of this organization.</w:t>
            </w:r>
          </w:p>
        </w:tc>
        <w:tc>
          <w:tcPr>
            <w:tcW w:w="0" w:type="dxa"/>
            <w:vAlign w:val="bottom"/>
          </w:tcPr>
          <w:p>
            <w:pPr>
              <w:spacing w:after="0"/>
              <w:rPr>
                <w:sz w:val="1"/>
                <w:szCs w:val="1"/>
                <w:color w:val="auto"/>
              </w:rPr>
            </w:pPr>
          </w:p>
        </w:tc>
      </w:tr>
      <w:tr>
        <w:trPr>
          <w:trHeight w:val="173"/>
        </w:trPr>
        <w:tc>
          <w:tcPr>
            <w:tcW w:w="3320" w:type="dxa"/>
            <w:vAlign w:val="bottom"/>
            <w:tcBorders>
              <w:left w:val="single" w:sz="8" w:color="auto"/>
            </w:tcBorders>
            <w:gridSpan w:val="8"/>
          </w:tcPr>
          <w:p>
            <w:pPr>
              <w:ind w:left="80"/>
              <w:spacing w:after="0"/>
              <w:rPr>
                <w:sz w:val="20"/>
                <w:szCs w:val="20"/>
                <w:color w:val="auto"/>
              </w:rPr>
            </w:pPr>
            <w:r>
              <w:rPr>
                <w:rFonts w:ascii="Arial" w:cs="Arial" w:eastAsia="Arial" w:hAnsi="Arial"/>
                <w:sz w:val="15"/>
                <w:szCs w:val="15"/>
                <w:color w:val="auto"/>
              </w:rPr>
              <w:t>Movement of business leaders committed to</w:t>
            </w: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840" w:type="dxa"/>
            <w:vAlign w:val="bottom"/>
            <w:gridSpan w:val="4"/>
          </w:tcPr>
          <w:p>
            <w:pPr>
              <w:ind w:left="80"/>
              <w:spacing w:after="0"/>
              <w:rPr>
                <w:sz w:val="20"/>
                <w:szCs w:val="20"/>
                <w:color w:val="auto"/>
              </w:rPr>
            </w:pPr>
            <w:r>
              <w:rPr>
                <w:rFonts w:ascii="Arial" w:cs="Arial" w:eastAsia="Arial" w:hAnsi="Arial"/>
                <w:sz w:val="15"/>
                <w:szCs w:val="15"/>
                <w:color w:val="auto"/>
              </w:rPr>
              <w:t>Credicorp Capital – 2022</w:t>
            </w:r>
          </w:p>
        </w:tc>
        <w:tc>
          <w:tcPr>
            <w:tcW w:w="5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20" w:type="dxa"/>
            <w:vAlign w:val="bottom"/>
            <w:tcBorders>
              <w:left w:val="single" w:sz="8" w:color="auto"/>
            </w:tcBorders>
            <w:gridSpan w:val="8"/>
          </w:tcPr>
          <w:p>
            <w:pPr>
              <w:ind w:left="80"/>
              <w:spacing w:after="0"/>
              <w:rPr>
                <w:sz w:val="20"/>
                <w:szCs w:val="20"/>
                <w:color w:val="auto"/>
              </w:rPr>
            </w:pPr>
            <w:r>
              <w:rPr>
                <w:rFonts w:ascii="Arial" w:cs="Arial" w:eastAsia="Arial" w:hAnsi="Arial"/>
                <w:sz w:val="15"/>
                <w:szCs w:val="15"/>
                <w:color w:val="auto"/>
              </w:rPr>
              <w:t>working for an inclusive, prosperous and</w:t>
            </w: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BCP – 2021</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20" w:type="dxa"/>
            <w:vAlign w:val="bottom"/>
            <w:tcBorders>
              <w:left w:val="single" w:sz="8" w:color="auto"/>
            </w:tcBorders>
            <w:gridSpan w:val="8"/>
          </w:tcPr>
          <w:p>
            <w:pPr>
              <w:ind w:left="80"/>
              <w:spacing w:after="0"/>
              <w:rPr>
                <w:sz w:val="20"/>
                <w:szCs w:val="20"/>
                <w:color w:val="auto"/>
              </w:rPr>
            </w:pPr>
            <w:r>
              <w:rPr>
                <w:rFonts w:ascii="Arial" w:cs="Arial" w:eastAsia="Arial" w:hAnsi="Arial"/>
                <w:sz w:val="15"/>
                <w:szCs w:val="15"/>
                <w:color w:val="auto"/>
              </w:rPr>
              <w:t>sustainable Peru. 38 members +15 industrial</w:t>
            </w: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20" w:type="dxa"/>
            <w:vAlign w:val="bottom"/>
            <w:tcBorders>
              <w:left w:val="single" w:sz="8" w:color="auto"/>
            </w:tcBorders>
            <w:gridSpan w:val="4"/>
          </w:tcPr>
          <w:p>
            <w:pPr>
              <w:ind w:left="80"/>
              <w:spacing w:after="0"/>
              <w:rPr>
                <w:sz w:val="20"/>
                <w:szCs w:val="20"/>
                <w:color w:val="auto"/>
              </w:rPr>
            </w:pPr>
            <w:r>
              <w:rPr>
                <w:rFonts w:ascii="Arial" w:cs="Arial" w:eastAsia="Arial" w:hAnsi="Arial"/>
                <w:sz w:val="15"/>
                <w:szCs w:val="15"/>
                <w:color w:val="auto"/>
              </w:rPr>
              <w:t>sectors.</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90" w:type="dxa"/>
            <w:vAlign w:val="bottom"/>
          </w:tcPr>
          <w:p>
            <w:pPr>
              <w:spacing w:after="0"/>
              <w:rPr>
                <w:sz w:val="16"/>
                <w:szCs w:val="16"/>
                <w:color w:val="auto"/>
              </w:rPr>
            </w:pPr>
          </w:p>
        </w:tc>
        <w:tc>
          <w:tcPr>
            <w:tcW w:w="55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90" w:type="dxa"/>
            <w:vAlign w:val="bottom"/>
            <w:tcBorders>
              <w:bottom w:val="single" w:sz="8" w:color="auto"/>
            </w:tcBorders>
          </w:tcPr>
          <w:p>
            <w:pPr>
              <w:spacing w:after="0"/>
              <w:rPr>
                <w:sz w:val="5"/>
                <w:szCs w:val="5"/>
                <w:color w:val="auto"/>
              </w:rPr>
            </w:pPr>
          </w:p>
        </w:tc>
        <w:tc>
          <w:tcPr>
            <w:tcW w:w="55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tcBorders>
            <w:gridSpan w:val="8"/>
            <w:vMerge w:val="restart"/>
          </w:tcPr>
          <w:p>
            <w:pPr>
              <w:ind w:left="80"/>
              <w:spacing w:after="0"/>
              <w:rPr>
                <w:sz w:val="20"/>
                <w:szCs w:val="20"/>
                <w:color w:val="auto"/>
              </w:rPr>
            </w:pPr>
            <w:r>
              <w:rPr>
                <w:rFonts w:ascii="Arial" w:cs="Arial" w:eastAsia="Arial" w:hAnsi="Arial"/>
                <w:sz w:val="15"/>
                <w:szCs w:val="15"/>
                <w:b w:val="1"/>
                <w:bCs w:val="1"/>
                <w:color w:val="auto"/>
              </w:rPr>
              <w:t>Executive Board for Green Taxonomy</w:t>
            </w:r>
          </w:p>
        </w:tc>
        <w:tc>
          <w:tcPr>
            <w:tcW w:w="3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80" w:type="dxa"/>
            <w:vAlign w:val="bottom"/>
            <w:gridSpan w:val="3"/>
          </w:tcPr>
          <w:p>
            <w:pPr>
              <w:ind w:left="80"/>
              <w:spacing w:after="0" w:line="164" w:lineRule="exact"/>
              <w:rPr>
                <w:sz w:val="20"/>
                <w:szCs w:val="20"/>
                <w:color w:val="auto"/>
              </w:rPr>
            </w:pPr>
            <w:r>
              <w:rPr>
                <w:rFonts w:ascii="Arial" w:cs="Arial" w:eastAsia="Arial" w:hAnsi="Arial"/>
                <w:sz w:val="15"/>
                <w:szCs w:val="15"/>
                <w:color w:val="auto"/>
              </w:rPr>
              <w:t>Credicorp – 2022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4600" w:type="dxa"/>
            <w:vAlign w:val="bottom"/>
            <w:tcBorders>
              <w:right w:val="single" w:sz="8" w:color="auto"/>
            </w:tcBorders>
            <w:gridSpan w:val="8"/>
          </w:tcPr>
          <w:p>
            <w:pPr>
              <w:ind w:left="60"/>
              <w:spacing w:after="0" w:line="164" w:lineRule="exact"/>
              <w:rPr>
                <w:sz w:val="20"/>
                <w:szCs w:val="20"/>
                <w:color w:val="auto"/>
              </w:rPr>
            </w:pPr>
            <w:r>
              <w:rPr>
                <w:rFonts w:ascii="Arial" w:cs="Arial" w:eastAsia="Arial" w:hAnsi="Arial"/>
                <w:sz w:val="15"/>
                <w:szCs w:val="15"/>
                <w:color w:val="auto"/>
              </w:rPr>
              <w:t>Active follow-up on the implementation of the Roadmap for</w:t>
            </w:r>
          </w:p>
        </w:tc>
        <w:tc>
          <w:tcPr>
            <w:tcW w:w="0" w:type="dxa"/>
            <w:vAlign w:val="bottom"/>
          </w:tcPr>
          <w:p>
            <w:pPr>
              <w:spacing w:after="0"/>
              <w:rPr>
                <w:sz w:val="1"/>
                <w:szCs w:val="1"/>
                <w:color w:val="auto"/>
              </w:rPr>
            </w:pPr>
          </w:p>
        </w:tc>
      </w:tr>
      <w:tr>
        <w:trPr>
          <w:trHeight w:val="51"/>
        </w:trPr>
        <w:tc>
          <w:tcPr>
            <w:tcW w:w="3320" w:type="dxa"/>
            <w:vAlign w:val="bottom"/>
            <w:tcBorders>
              <w:left w:val="single" w:sz="8" w:color="auto"/>
            </w:tcBorders>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4600" w:type="dxa"/>
            <w:vAlign w:val="bottom"/>
            <w:tcBorders>
              <w:right w:val="single" w:sz="8" w:color="auto"/>
            </w:tcBorders>
            <w:gridSpan w:val="8"/>
            <w:vMerge w:val="restart"/>
          </w:tcPr>
          <w:p>
            <w:pPr>
              <w:ind w:left="60"/>
              <w:spacing w:after="0"/>
              <w:rPr>
                <w:sz w:val="20"/>
                <w:szCs w:val="20"/>
                <w:color w:val="auto"/>
              </w:rPr>
            </w:pPr>
            <w:r>
              <w:rPr>
                <w:rFonts w:ascii="Arial" w:cs="Arial" w:eastAsia="Arial" w:hAnsi="Arial"/>
                <w:sz w:val="15"/>
                <w:szCs w:val="15"/>
                <w:color w:val="auto"/>
              </w:rPr>
              <w:t>Green Finances and an initiative to drive the adoption of a</w:t>
            </w:r>
          </w:p>
        </w:tc>
        <w:tc>
          <w:tcPr>
            <w:tcW w:w="0" w:type="dxa"/>
            <w:vAlign w:val="bottom"/>
          </w:tcPr>
          <w:p>
            <w:pPr>
              <w:spacing w:after="0"/>
              <w:rPr>
                <w:sz w:val="1"/>
                <w:szCs w:val="1"/>
                <w:color w:val="auto"/>
              </w:rPr>
            </w:pPr>
          </w:p>
        </w:tc>
      </w:tr>
      <w:tr>
        <w:trPr>
          <w:trHeight w:val="122"/>
        </w:trPr>
        <w:tc>
          <w:tcPr>
            <w:tcW w:w="2540" w:type="dxa"/>
            <w:vAlign w:val="bottom"/>
            <w:tcBorders>
              <w:left w:val="single" w:sz="8" w:color="auto"/>
            </w:tcBorders>
            <w:gridSpan w:val="6"/>
            <w:vMerge w:val="restart"/>
          </w:tcPr>
          <w:p>
            <w:pPr>
              <w:ind w:left="80"/>
              <w:spacing w:after="0"/>
              <w:rPr>
                <w:sz w:val="20"/>
                <w:szCs w:val="20"/>
                <w:color w:val="auto"/>
              </w:rPr>
            </w:pPr>
            <w:r>
              <w:rPr>
                <w:rFonts w:ascii="Arial" w:cs="Arial" w:eastAsia="Arial" w:hAnsi="Arial"/>
                <w:sz w:val="15"/>
                <w:szCs w:val="15"/>
                <w:b w:val="1"/>
                <w:bCs w:val="1"/>
                <w:color w:val="auto"/>
              </w:rPr>
              <w:t>Green Protocol (Protocolo Verde)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600" w:type="dxa"/>
            <w:vAlign w:val="bottom"/>
            <w:tcBorders>
              <w:right w:val="single" w:sz="8" w:color="auto"/>
            </w:tcBorders>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540" w:type="dxa"/>
            <w:vAlign w:val="bottom"/>
            <w:tcBorders>
              <w:left w:val="single" w:sz="8" w:color="auto"/>
            </w:tcBorders>
            <w:gridSpan w:val="6"/>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4600" w:type="dxa"/>
            <w:vAlign w:val="bottom"/>
            <w:tcBorders>
              <w:right w:val="single" w:sz="8" w:color="auto"/>
            </w:tcBorders>
            <w:gridSpan w:val="8"/>
            <w:vMerge w:val="restart"/>
          </w:tcPr>
          <w:p>
            <w:pPr>
              <w:ind w:left="60"/>
              <w:spacing w:after="0"/>
              <w:rPr>
                <w:sz w:val="20"/>
                <w:szCs w:val="20"/>
                <w:color w:val="auto"/>
              </w:rPr>
            </w:pPr>
            <w:r>
              <w:rPr>
                <w:rFonts w:ascii="Arial" w:cs="Arial" w:eastAsia="Arial" w:hAnsi="Arial"/>
                <w:sz w:val="15"/>
                <w:szCs w:val="15"/>
                <w:color w:val="auto"/>
              </w:rPr>
              <w:t>national Green Taxonomy, which is currently under development.</w:t>
            </w:r>
          </w:p>
        </w:tc>
        <w:tc>
          <w:tcPr>
            <w:tcW w:w="0" w:type="dxa"/>
            <w:vAlign w:val="bottom"/>
          </w:tcPr>
          <w:p>
            <w:pPr>
              <w:spacing w:after="0"/>
              <w:rPr>
                <w:sz w:val="1"/>
                <w:szCs w:val="1"/>
                <w:color w:val="auto"/>
              </w:rPr>
            </w:pPr>
          </w:p>
        </w:tc>
      </w:tr>
      <w:tr>
        <w:trPr>
          <w:trHeight w:val="116"/>
        </w:trPr>
        <w:tc>
          <w:tcPr>
            <w:tcW w:w="3320" w:type="dxa"/>
            <w:vAlign w:val="bottom"/>
            <w:tcBorders>
              <w:left w:val="single" w:sz="8" w:color="auto"/>
            </w:tcBorders>
            <w:gridSpan w:val="8"/>
            <w:vMerge w:val="restart"/>
          </w:tcPr>
          <w:p>
            <w:pPr>
              <w:ind w:left="80"/>
              <w:spacing w:after="0"/>
              <w:rPr>
                <w:sz w:val="20"/>
                <w:szCs w:val="20"/>
                <w:color w:val="auto"/>
              </w:rPr>
            </w:pPr>
            <w:r>
              <w:rPr>
                <w:rFonts w:ascii="Arial" w:cs="Arial" w:eastAsia="Arial" w:hAnsi="Arial"/>
                <w:sz w:val="15"/>
                <w:szCs w:val="15"/>
                <w:color w:val="auto"/>
              </w:rPr>
              <w:t>Participative space driven by the Ministry of the</w:t>
            </w:r>
          </w:p>
        </w:tc>
        <w:tc>
          <w:tcPr>
            <w:tcW w:w="3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600" w:type="dxa"/>
            <w:vAlign w:val="bottom"/>
            <w:tcBorders>
              <w:right w:val="single" w:sz="8" w:color="auto"/>
            </w:tcBorders>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3320" w:type="dxa"/>
            <w:vAlign w:val="bottom"/>
            <w:tcBorders>
              <w:left w:val="single" w:sz="8" w:color="auto"/>
            </w:tcBorders>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90" w:type="dxa"/>
            <w:vAlign w:val="bottom"/>
          </w:tcPr>
          <w:p>
            <w:pPr>
              <w:spacing w:after="0"/>
              <w:rPr>
                <w:sz w:val="4"/>
                <w:szCs w:val="4"/>
                <w:color w:val="auto"/>
              </w:rPr>
            </w:pPr>
          </w:p>
        </w:tc>
        <w:tc>
          <w:tcPr>
            <w:tcW w:w="55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620" w:type="dxa"/>
            <w:vAlign w:val="bottom"/>
            <w:tcBorders>
              <w:left w:val="single" w:sz="8" w:color="auto"/>
            </w:tcBorders>
            <w:gridSpan w:val="4"/>
          </w:tcPr>
          <w:p>
            <w:pPr>
              <w:ind w:left="80"/>
              <w:spacing w:after="0"/>
              <w:rPr>
                <w:sz w:val="20"/>
                <w:szCs w:val="20"/>
                <w:color w:val="auto"/>
              </w:rPr>
            </w:pPr>
            <w:r>
              <w:rPr>
                <w:rFonts w:ascii="Arial" w:cs="Arial" w:eastAsia="Arial" w:hAnsi="Arial"/>
                <w:sz w:val="15"/>
                <w:szCs w:val="15"/>
                <w:color w:val="auto"/>
              </w:rPr>
              <w:t>Environment in Peru.</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90" w:type="dxa"/>
            <w:vAlign w:val="bottom"/>
          </w:tcPr>
          <w:p>
            <w:pPr>
              <w:spacing w:after="0"/>
              <w:rPr>
                <w:sz w:val="16"/>
                <w:szCs w:val="16"/>
                <w:color w:val="auto"/>
              </w:rPr>
            </w:pPr>
          </w:p>
        </w:tc>
        <w:tc>
          <w:tcPr>
            <w:tcW w:w="55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90" w:type="dxa"/>
            <w:vAlign w:val="bottom"/>
            <w:tcBorders>
              <w:bottom w:val="single" w:sz="8" w:color="auto"/>
            </w:tcBorders>
          </w:tcPr>
          <w:p>
            <w:pPr>
              <w:spacing w:after="0"/>
              <w:rPr>
                <w:sz w:val="20"/>
                <w:szCs w:val="20"/>
                <w:color w:val="auto"/>
              </w:rPr>
            </w:pPr>
          </w:p>
        </w:tc>
        <w:tc>
          <w:tcPr>
            <w:tcW w:w="55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90" w:type="dxa"/>
            <w:vAlign w:val="bottom"/>
            <w:tcBorders>
              <w:bottom w:val="single" w:sz="8" w:color="auto"/>
            </w:tcBorders>
          </w:tcPr>
          <w:p>
            <w:pPr>
              <w:spacing w:after="0"/>
              <w:rPr>
                <w:sz w:val="17"/>
                <w:szCs w:val="17"/>
                <w:color w:val="auto"/>
              </w:rPr>
            </w:pPr>
          </w:p>
        </w:tc>
        <w:tc>
          <w:tcPr>
            <w:tcW w:w="55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20" w:type="dxa"/>
            <w:vAlign w:val="bottom"/>
            <w:tcBorders>
              <w:bottom w:val="single" w:sz="8" w:color="auto"/>
            </w:tcBorders>
            <w:shd w:val="clear" w:color="auto" w:fill="FFC000"/>
          </w:tcPr>
          <w:p>
            <w:pPr>
              <w:spacing w:after="0"/>
              <w:rPr>
                <w:sz w:val="11"/>
                <w:szCs w:val="11"/>
                <w:color w:val="auto"/>
              </w:rPr>
            </w:pPr>
          </w:p>
        </w:tc>
        <w:tc>
          <w:tcPr>
            <w:tcW w:w="420" w:type="dxa"/>
            <w:vAlign w:val="bottom"/>
            <w:tcBorders>
              <w:bottom w:val="single" w:sz="8" w:color="auto"/>
              <w:right w:val="single" w:sz="8" w:color="FFC000"/>
            </w:tcBorders>
            <w:shd w:val="clear" w:color="auto" w:fill="FFC000"/>
          </w:tcPr>
          <w:p>
            <w:pPr>
              <w:spacing w:after="0"/>
              <w:rPr>
                <w:sz w:val="11"/>
                <w:szCs w:val="11"/>
                <w:color w:val="auto"/>
              </w:rPr>
            </w:pPr>
          </w:p>
        </w:tc>
        <w:tc>
          <w:tcPr>
            <w:tcW w:w="600" w:type="dxa"/>
            <w:vAlign w:val="bottom"/>
            <w:tcBorders>
              <w:bottom w:val="single" w:sz="8" w:color="auto"/>
              <w:right w:val="single" w:sz="8" w:color="FFC000"/>
            </w:tcBorders>
            <w:shd w:val="clear" w:color="auto" w:fill="FFC000"/>
          </w:tcPr>
          <w:p>
            <w:pPr>
              <w:spacing w:after="0"/>
              <w:rPr>
                <w:sz w:val="11"/>
                <w:szCs w:val="11"/>
                <w:color w:val="auto"/>
              </w:rPr>
            </w:pPr>
          </w:p>
        </w:tc>
        <w:tc>
          <w:tcPr>
            <w:tcW w:w="320" w:type="dxa"/>
            <w:vAlign w:val="bottom"/>
            <w:tcBorders>
              <w:bottom w:val="single" w:sz="8" w:color="auto"/>
              <w:right w:val="single" w:sz="8" w:color="FFC000"/>
            </w:tcBorders>
            <w:shd w:val="clear" w:color="auto" w:fill="FFC000"/>
          </w:tcPr>
          <w:p>
            <w:pPr>
              <w:spacing w:after="0"/>
              <w:rPr>
                <w:sz w:val="11"/>
                <w:szCs w:val="11"/>
                <w:color w:val="auto"/>
              </w:rPr>
            </w:pPr>
          </w:p>
        </w:tc>
        <w:tc>
          <w:tcPr>
            <w:tcW w:w="680" w:type="dxa"/>
            <w:vAlign w:val="bottom"/>
            <w:tcBorders>
              <w:bottom w:val="single" w:sz="8" w:color="auto"/>
              <w:right w:val="single" w:sz="8" w:color="FFC000"/>
            </w:tcBorders>
            <w:shd w:val="clear" w:color="auto" w:fill="FFC000"/>
          </w:tcPr>
          <w:p>
            <w:pPr>
              <w:spacing w:after="0"/>
              <w:rPr>
                <w:sz w:val="11"/>
                <w:szCs w:val="11"/>
                <w:color w:val="auto"/>
              </w:rPr>
            </w:pPr>
          </w:p>
        </w:tc>
        <w:tc>
          <w:tcPr>
            <w:tcW w:w="100" w:type="dxa"/>
            <w:vAlign w:val="bottom"/>
            <w:tcBorders>
              <w:bottom w:val="single" w:sz="8" w:color="auto"/>
            </w:tcBorders>
            <w:shd w:val="clear" w:color="auto" w:fill="FFC000"/>
          </w:tcPr>
          <w:p>
            <w:pPr>
              <w:spacing w:after="0"/>
              <w:rPr>
                <w:sz w:val="11"/>
                <w:szCs w:val="11"/>
                <w:color w:val="auto"/>
              </w:rPr>
            </w:pPr>
          </w:p>
        </w:tc>
        <w:tc>
          <w:tcPr>
            <w:tcW w:w="300" w:type="dxa"/>
            <w:vAlign w:val="bottom"/>
            <w:tcBorders>
              <w:bottom w:val="single" w:sz="8" w:color="auto"/>
              <w:right w:val="single" w:sz="8" w:color="FFC000"/>
            </w:tcBorders>
            <w:shd w:val="clear" w:color="auto" w:fill="FFC000"/>
          </w:tcPr>
          <w:p>
            <w:pPr>
              <w:spacing w:after="0"/>
              <w:rPr>
                <w:sz w:val="11"/>
                <w:szCs w:val="11"/>
                <w:color w:val="auto"/>
              </w:rPr>
            </w:pPr>
          </w:p>
        </w:tc>
        <w:tc>
          <w:tcPr>
            <w:tcW w:w="120" w:type="dxa"/>
            <w:vAlign w:val="bottom"/>
            <w:tcBorders>
              <w:bottom w:val="single" w:sz="8" w:color="auto"/>
              <w:right w:val="single" w:sz="8" w:color="FFC000"/>
            </w:tcBorders>
            <w:shd w:val="clear" w:color="auto" w:fill="FFC000"/>
          </w:tcPr>
          <w:p>
            <w:pPr>
              <w:spacing w:after="0"/>
              <w:rPr>
                <w:sz w:val="11"/>
                <w:szCs w:val="11"/>
                <w:color w:val="auto"/>
              </w:rPr>
            </w:pPr>
          </w:p>
        </w:tc>
        <w:tc>
          <w:tcPr>
            <w:tcW w:w="380" w:type="dxa"/>
            <w:vAlign w:val="bottom"/>
            <w:tcBorders>
              <w:bottom w:val="single" w:sz="8" w:color="auto"/>
              <w:right w:val="single" w:sz="8" w:color="FFC000"/>
            </w:tcBorders>
            <w:shd w:val="clear" w:color="auto" w:fill="FFC000"/>
          </w:tcPr>
          <w:p>
            <w:pPr>
              <w:spacing w:after="0"/>
              <w:rPr>
                <w:sz w:val="11"/>
                <w:szCs w:val="11"/>
                <w:color w:val="auto"/>
              </w:rPr>
            </w:pPr>
          </w:p>
        </w:tc>
        <w:tc>
          <w:tcPr>
            <w:tcW w:w="2540" w:type="dxa"/>
            <w:vAlign w:val="bottom"/>
            <w:tcBorders>
              <w:bottom w:val="single" w:sz="8" w:color="auto"/>
              <w:right w:val="single" w:sz="8" w:color="FFC000"/>
            </w:tcBorders>
            <w:gridSpan w:val="5"/>
            <w:shd w:val="clear" w:color="auto" w:fill="FFC000"/>
          </w:tcPr>
          <w:p>
            <w:pPr>
              <w:jc w:val="center"/>
              <w:ind w:right="19"/>
              <w:spacing w:after="0" w:line="130" w:lineRule="exact"/>
              <w:rPr>
                <w:sz w:val="20"/>
                <w:szCs w:val="20"/>
                <w:color w:val="auto"/>
              </w:rPr>
            </w:pPr>
            <w:r>
              <w:rPr>
                <w:rFonts w:ascii="Arial" w:cs="Arial" w:eastAsia="Arial" w:hAnsi="Arial"/>
                <w:sz w:val="10"/>
                <w:szCs w:val="10"/>
                <w:b w:val="1"/>
                <w:bCs w:val="1"/>
                <w:color w:val="auto"/>
              </w:rPr>
              <w:t>Other affiliations and adhesions 2022</w:t>
            </w:r>
            <w:r>
              <w:rPr>
                <w:rFonts w:ascii="Arial" w:cs="Arial" w:eastAsia="Arial" w:hAnsi="Arial"/>
                <w:sz w:val="15"/>
                <w:szCs w:val="15"/>
                <w:b w:val="1"/>
                <w:bCs w:val="1"/>
                <w:color w:val="auto"/>
                <w:vertAlign w:val="superscript"/>
              </w:rPr>
              <w:t>17</w:t>
            </w:r>
          </w:p>
        </w:tc>
        <w:tc>
          <w:tcPr>
            <w:tcW w:w="240" w:type="dxa"/>
            <w:vAlign w:val="bottom"/>
            <w:tcBorders>
              <w:bottom w:val="single" w:sz="8" w:color="auto"/>
              <w:right w:val="single" w:sz="8" w:color="FFC000"/>
            </w:tcBorders>
            <w:shd w:val="clear" w:color="auto" w:fill="FFC000"/>
          </w:tcPr>
          <w:p>
            <w:pPr>
              <w:spacing w:after="0"/>
              <w:rPr>
                <w:sz w:val="11"/>
                <w:szCs w:val="11"/>
                <w:color w:val="auto"/>
              </w:rPr>
            </w:pPr>
          </w:p>
        </w:tc>
        <w:tc>
          <w:tcPr>
            <w:tcW w:w="1220" w:type="dxa"/>
            <w:vAlign w:val="bottom"/>
            <w:tcBorders>
              <w:bottom w:val="single" w:sz="8" w:color="auto"/>
              <w:right w:val="single" w:sz="8" w:color="FFC000"/>
            </w:tcBorders>
            <w:shd w:val="clear" w:color="auto" w:fill="FFC000"/>
          </w:tcPr>
          <w:p>
            <w:pPr>
              <w:spacing w:after="0"/>
              <w:rPr>
                <w:sz w:val="11"/>
                <w:szCs w:val="11"/>
                <w:color w:val="auto"/>
              </w:rPr>
            </w:pPr>
          </w:p>
        </w:tc>
        <w:tc>
          <w:tcPr>
            <w:tcW w:w="520" w:type="dxa"/>
            <w:vAlign w:val="bottom"/>
            <w:tcBorders>
              <w:bottom w:val="single" w:sz="8" w:color="auto"/>
              <w:right w:val="single" w:sz="8" w:color="FFC000"/>
            </w:tcBorders>
            <w:shd w:val="clear" w:color="auto" w:fill="FFC000"/>
          </w:tcPr>
          <w:p>
            <w:pPr>
              <w:spacing w:after="0"/>
              <w:rPr>
                <w:sz w:val="11"/>
                <w:szCs w:val="11"/>
                <w:color w:val="auto"/>
              </w:rPr>
            </w:pPr>
          </w:p>
        </w:tc>
        <w:tc>
          <w:tcPr>
            <w:tcW w:w="490" w:type="dxa"/>
            <w:vAlign w:val="bottom"/>
            <w:tcBorders>
              <w:bottom w:val="single" w:sz="8" w:color="auto"/>
            </w:tcBorders>
            <w:shd w:val="clear" w:color="auto" w:fill="FFC000"/>
          </w:tcPr>
          <w:p>
            <w:pPr>
              <w:spacing w:after="0"/>
              <w:rPr>
                <w:sz w:val="11"/>
                <w:szCs w:val="11"/>
                <w:color w:val="auto"/>
              </w:rPr>
            </w:pPr>
          </w:p>
        </w:tc>
        <w:tc>
          <w:tcPr>
            <w:tcW w:w="550" w:type="dxa"/>
            <w:vAlign w:val="bottom"/>
            <w:tcBorders>
              <w:bottom w:val="single" w:sz="8" w:color="auto"/>
              <w:right w:val="single" w:sz="8" w:color="FFC000"/>
            </w:tcBorders>
            <w:shd w:val="clear" w:color="auto" w:fill="FFC000"/>
          </w:tcPr>
          <w:p>
            <w:pPr>
              <w:spacing w:after="0"/>
              <w:rPr>
                <w:sz w:val="11"/>
                <w:szCs w:val="11"/>
                <w:color w:val="auto"/>
              </w:rPr>
            </w:pPr>
          </w:p>
        </w:tc>
        <w:tc>
          <w:tcPr>
            <w:tcW w:w="480" w:type="dxa"/>
            <w:vAlign w:val="bottom"/>
            <w:tcBorders>
              <w:bottom w:val="single" w:sz="8" w:color="auto"/>
              <w:right w:val="single" w:sz="8" w:color="auto"/>
            </w:tcBorders>
            <w:shd w:val="clear" w:color="auto" w:fill="FFC000"/>
          </w:tcPr>
          <w:p>
            <w:pPr>
              <w:spacing w:after="0"/>
              <w:rPr>
                <w:sz w:val="11"/>
                <w:szCs w:val="11"/>
                <w:color w:val="auto"/>
              </w:rPr>
            </w:pPr>
          </w:p>
        </w:tc>
        <w:tc>
          <w:tcPr>
            <w:tcW w:w="540" w:type="dxa"/>
            <w:vAlign w:val="bottom"/>
            <w:tcBorders>
              <w:bottom w:val="single" w:sz="8" w:color="auto"/>
              <w:right w:val="single" w:sz="8" w:color="auto"/>
            </w:tcBorders>
            <w:shd w:val="clear" w:color="auto" w:fill="FFC000"/>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20" w:type="dxa"/>
            <w:vAlign w:val="bottom"/>
            <w:shd w:val="clear" w:color="auto" w:fill="FFC000"/>
          </w:tcPr>
          <w:p>
            <w:pPr>
              <w:spacing w:after="0"/>
              <w:rPr>
                <w:sz w:val="10"/>
                <w:szCs w:val="10"/>
                <w:color w:val="auto"/>
              </w:rPr>
            </w:pPr>
          </w:p>
        </w:tc>
        <w:tc>
          <w:tcPr>
            <w:tcW w:w="420" w:type="dxa"/>
            <w:vAlign w:val="bottom"/>
            <w:tcBorders>
              <w:right w:val="single" w:sz="8" w:color="auto"/>
            </w:tcBorders>
            <w:shd w:val="clear" w:color="auto" w:fill="FFC000"/>
          </w:tcPr>
          <w:p>
            <w:pPr>
              <w:spacing w:after="0"/>
              <w:rPr>
                <w:sz w:val="10"/>
                <w:szCs w:val="10"/>
                <w:color w:val="auto"/>
              </w:rPr>
            </w:pPr>
          </w:p>
        </w:tc>
        <w:tc>
          <w:tcPr>
            <w:tcW w:w="60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rPr>
              <w:t>Equator</w:t>
            </w:r>
          </w:p>
        </w:tc>
        <w:tc>
          <w:tcPr>
            <w:tcW w:w="32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9"/>
                <w:szCs w:val="9"/>
                <w:b w:val="1"/>
                <w:bCs w:val="1"/>
                <w:color w:val="auto"/>
              </w:rPr>
              <w:t>PRI</w:t>
            </w:r>
            <w:r>
              <w:rPr>
                <w:rFonts w:ascii="Arial" w:cs="Arial" w:eastAsia="Arial" w:hAnsi="Arial"/>
                <w:sz w:val="13"/>
                <w:szCs w:val="13"/>
                <w:b w:val="1"/>
                <w:bCs w:val="1"/>
                <w:color w:val="auto"/>
                <w:vertAlign w:val="superscript"/>
              </w:rPr>
              <w:t>18</w:t>
            </w:r>
          </w:p>
        </w:tc>
        <w:tc>
          <w:tcPr>
            <w:tcW w:w="680" w:type="dxa"/>
            <w:vAlign w:val="bottom"/>
            <w:tcBorders>
              <w:right w:val="single" w:sz="8" w:color="auto"/>
            </w:tcBorders>
            <w:shd w:val="clear" w:color="auto" w:fill="FFC000"/>
          </w:tcPr>
          <w:p>
            <w:pPr>
              <w:jc w:val="right"/>
              <w:spacing w:after="0" w:line="120" w:lineRule="exact"/>
              <w:rPr>
                <w:sz w:val="20"/>
                <w:szCs w:val="20"/>
                <w:color w:val="auto"/>
              </w:rPr>
            </w:pPr>
            <w:r>
              <w:rPr>
                <w:rFonts w:ascii="Arial" w:cs="Arial" w:eastAsia="Arial" w:hAnsi="Arial"/>
                <w:sz w:val="9"/>
                <w:szCs w:val="9"/>
                <w:b w:val="1"/>
                <w:bCs w:val="1"/>
                <w:color w:val="auto"/>
              </w:rPr>
              <w:t>TCFDPIR</w:t>
            </w:r>
            <w:r>
              <w:rPr>
                <w:rFonts w:ascii="Arial" w:cs="Arial" w:eastAsia="Arial" w:hAnsi="Arial"/>
                <w:sz w:val="13"/>
                <w:szCs w:val="13"/>
                <w:b w:val="1"/>
                <w:bCs w:val="1"/>
                <w:color w:val="auto"/>
                <w:vertAlign w:val="superscript"/>
              </w:rPr>
              <w:t>19</w:t>
            </w:r>
          </w:p>
        </w:tc>
        <w:tc>
          <w:tcPr>
            <w:tcW w:w="400" w:type="dxa"/>
            <w:vAlign w:val="bottom"/>
            <w:tcBorders>
              <w:right w:val="single" w:sz="8" w:color="auto"/>
            </w:tcBorders>
            <w:gridSpan w:val="2"/>
            <w:shd w:val="clear" w:color="auto" w:fill="FFC000"/>
          </w:tcPr>
          <w:p>
            <w:pPr>
              <w:jc w:val="center"/>
              <w:spacing w:after="0" w:line="120" w:lineRule="exact"/>
              <w:rPr>
                <w:sz w:val="20"/>
                <w:szCs w:val="20"/>
                <w:color w:val="auto"/>
              </w:rPr>
            </w:pPr>
            <w:r>
              <w:rPr>
                <w:rFonts w:ascii="Arial" w:cs="Arial" w:eastAsia="Arial" w:hAnsi="Arial"/>
                <w:sz w:val="9"/>
                <w:szCs w:val="9"/>
                <w:b w:val="1"/>
                <w:bCs w:val="1"/>
                <w:color w:val="auto"/>
              </w:rPr>
              <w:t>ABE</w:t>
            </w:r>
            <w:r>
              <w:rPr>
                <w:rFonts w:ascii="Arial" w:cs="Arial" w:eastAsia="Arial" w:hAnsi="Arial"/>
                <w:sz w:val="13"/>
                <w:szCs w:val="13"/>
                <w:b w:val="1"/>
                <w:bCs w:val="1"/>
                <w:color w:val="auto"/>
                <w:vertAlign w:val="superscript"/>
              </w:rPr>
              <w:t>20</w:t>
            </w:r>
          </w:p>
        </w:tc>
        <w:tc>
          <w:tcPr>
            <w:tcW w:w="500" w:type="dxa"/>
            <w:vAlign w:val="bottom"/>
            <w:tcBorders>
              <w:right w:val="single" w:sz="8" w:color="auto"/>
            </w:tcBorders>
            <w:gridSpan w:val="2"/>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w w:val="97"/>
              </w:rPr>
              <w:t>CFA</w:t>
            </w:r>
          </w:p>
        </w:tc>
        <w:tc>
          <w:tcPr>
            <w:tcW w:w="42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rPr>
              <w:t>Red</w:t>
            </w:r>
          </w:p>
        </w:tc>
        <w:tc>
          <w:tcPr>
            <w:tcW w:w="58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rPr>
              <w:t>Women’s</w:t>
            </w:r>
          </w:p>
        </w:tc>
        <w:tc>
          <w:tcPr>
            <w:tcW w:w="46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rPr>
              <w:t>UN</w:t>
            </w:r>
          </w:p>
        </w:tc>
        <w:tc>
          <w:tcPr>
            <w:tcW w:w="58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rPr>
              <w:t>Colombia</w:t>
            </w:r>
          </w:p>
        </w:tc>
        <w:tc>
          <w:tcPr>
            <w:tcW w:w="740" w:type="dxa"/>
            <w:vAlign w:val="bottom"/>
            <w:tcBorders>
              <w:right w:val="single" w:sz="8" w:color="auto"/>
            </w:tcBorders>
            <w:gridSpan w:val="2"/>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w w:val="99"/>
              </w:rPr>
              <w:t>Asobancaria</w:t>
            </w:r>
          </w:p>
        </w:tc>
        <w:tc>
          <w:tcPr>
            <w:tcW w:w="122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rPr>
              <w:t>Asomicrofinanzas</w:t>
            </w:r>
          </w:p>
        </w:tc>
        <w:tc>
          <w:tcPr>
            <w:tcW w:w="52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w w:val="99"/>
              </w:rPr>
              <w:t>APESEG</w:t>
            </w:r>
          </w:p>
        </w:tc>
        <w:tc>
          <w:tcPr>
            <w:tcW w:w="1040" w:type="dxa"/>
            <w:vAlign w:val="bottom"/>
            <w:tcBorders>
              <w:right w:val="single" w:sz="8" w:color="auto"/>
            </w:tcBorders>
            <w:gridSpan w:val="2"/>
            <w:shd w:val="clear" w:color="auto" w:fill="FFC000"/>
          </w:tcPr>
          <w:p>
            <w:pPr>
              <w:spacing w:after="0" w:line="120" w:lineRule="exact"/>
              <w:rPr>
                <w:sz w:val="20"/>
                <w:szCs w:val="20"/>
                <w:color w:val="auto"/>
              </w:rPr>
            </w:pPr>
            <w:r>
              <w:rPr>
                <w:rFonts w:ascii="Arial" w:cs="Arial" w:eastAsia="Arial" w:hAnsi="Arial"/>
                <w:sz w:val="12"/>
                <w:szCs w:val="12"/>
                <w:b w:val="1"/>
                <w:bCs w:val="1"/>
                <w:color w:val="auto"/>
              </w:rPr>
              <w:t>ASOMIFASBANC</w:t>
            </w:r>
          </w:p>
        </w:tc>
        <w:tc>
          <w:tcPr>
            <w:tcW w:w="48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12"/>
                <w:szCs w:val="12"/>
                <w:b w:val="1"/>
                <w:bCs w:val="1"/>
                <w:color w:val="auto"/>
              </w:rPr>
              <w:t>UNEPFI</w:t>
            </w:r>
          </w:p>
        </w:tc>
        <w:tc>
          <w:tcPr>
            <w:tcW w:w="540" w:type="dxa"/>
            <w:vAlign w:val="bottom"/>
            <w:tcBorders>
              <w:right w:val="single" w:sz="8" w:color="auto"/>
            </w:tcBorders>
            <w:shd w:val="clear" w:color="auto" w:fill="FFC000"/>
          </w:tcPr>
          <w:p>
            <w:pPr>
              <w:jc w:val="center"/>
              <w:spacing w:after="0" w:line="120" w:lineRule="exact"/>
              <w:rPr>
                <w:sz w:val="20"/>
                <w:szCs w:val="20"/>
                <w:color w:val="auto"/>
              </w:rPr>
            </w:pPr>
            <w:r>
              <w:rPr>
                <w:rFonts w:ascii="Arial" w:cs="Arial" w:eastAsia="Arial" w:hAnsi="Arial"/>
                <w:sz w:val="9"/>
                <w:szCs w:val="9"/>
                <w:b w:val="1"/>
                <w:bCs w:val="1"/>
                <w:color w:val="auto"/>
              </w:rPr>
              <w:t>AAFP</w:t>
            </w:r>
            <w:r>
              <w:rPr>
                <w:rFonts w:ascii="Arial" w:cs="Arial" w:eastAsia="Arial" w:hAnsi="Arial"/>
                <w:sz w:val="13"/>
                <w:szCs w:val="13"/>
                <w:b w:val="1"/>
                <w:bCs w:val="1"/>
                <w:color w:val="auto"/>
                <w:vertAlign w:val="superscript"/>
              </w:rPr>
              <w:t>21</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20" w:type="dxa"/>
            <w:vAlign w:val="bottom"/>
            <w:shd w:val="clear" w:color="auto" w:fill="FFC000"/>
          </w:tcPr>
          <w:p>
            <w:pPr>
              <w:spacing w:after="0"/>
              <w:rPr>
                <w:sz w:val="12"/>
                <w:szCs w:val="12"/>
                <w:color w:val="auto"/>
              </w:rPr>
            </w:pPr>
          </w:p>
        </w:tc>
        <w:tc>
          <w:tcPr>
            <w:tcW w:w="420" w:type="dxa"/>
            <w:vAlign w:val="bottom"/>
            <w:tcBorders>
              <w:right w:val="single" w:sz="8" w:color="auto"/>
            </w:tcBorders>
            <w:shd w:val="clear" w:color="auto" w:fill="FFC000"/>
          </w:tcPr>
          <w:p>
            <w:pPr>
              <w:spacing w:after="0"/>
              <w:rPr>
                <w:sz w:val="12"/>
                <w:szCs w:val="12"/>
                <w:color w:val="auto"/>
              </w:rPr>
            </w:pPr>
          </w:p>
        </w:tc>
        <w:tc>
          <w:tcPr>
            <w:tcW w:w="60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2"/>
                <w:szCs w:val="12"/>
                <w:b w:val="1"/>
                <w:bCs w:val="1"/>
                <w:color w:val="auto"/>
              </w:rPr>
              <w:t>principles</w:t>
            </w:r>
          </w:p>
        </w:tc>
        <w:tc>
          <w:tcPr>
            <w:tcW w:w="320" w:type="dxa"/>
            <w:vAlign w:val="bottom"/>
            <w:tcBorders>
              <w:right w:val="single" w:sz="8" w:color="auto"/>
            </w:tcBorders>
            <w:shd w:val="clear" w:color="auto" w:fill="FFC000"/>
          </w:tcPr>
          <w:p>
            <w:pPr>
              <w:spacing w:after="0"/>
              <w:rPr>
                <w:sz w:val="12"/>
                <w:szCs w:val="12"/>
                <w:color w:val="auto"/>
              </w:rPr>
            </w:pPr>
          </w:p>
        </w:tc>
        <w:tc>
          <w:tcPr>
            <w:tcW w:w="680" w:type="dxa"/>
            <w:vAlign w:val="bottom"/>
            <w:tcBorders>
              <w:right w:val="single" w:sz="8" w:color="auto"/>
            </w:tcBorders>
            <w:shd w:val="clear" w:color="auto" w:fill="FFC000"/>
          </w:tcPr>
          <w:p>
            <w:pPr>
              <w:spacing w:after="0"/>
              <w:rPr>
                <w:sz w:val="12"/>
                <w:szCs w:val="12"/>
                <w:color w:val="auto"/>
              </w:rPr>
            </w:pPr>
          </w:p>
        </w:tc>
        <w:tc>
          <w:tcPr>
            <w:tcW w:w="100" w:type="dxa"/>
            <w:vAlign w:val="bottom"/>
            <w:shd w:val="clear" w:color="auto" w:fill="FFC000"/>
          </w:tcPr>
          <w:p>
            <w:pPr>
              <w:spacing w:after="0"/>
              <w:rPr>
                <w:sz w:val="12"/>
                <w:szCs w:val="12"/>
                <w:color w:val="auto"/>
              </w:rPr>
            </w:pPr>
          </w:p>
        </w:tc>
        <w:tc>
          <w:tcPr>
            <w:tcW w:w="300" w:type="dxa"/>
            <w:vAlign w:val="bottom"/>
            <w:tcBorders>
              <w:right w:val="single" w:sz="8" w:color="auto"/>
            </w:tcBorders>
            <w:shd w:val="clear" w:color="auto" w:fill="FFC000"/>
          </w:tcPr>
          <w:p>
            <w:pPr>
              <w:spacing w:after="0"/>
              <w:rPr>
                <w:sz w:val="12"/>
                <w:szCs w:val="12"/>
                <w:color w:val="auto"/>
              </w:rPr>
            </w:pPr>
          </w:p>
        </w:tc>
        <w:tc>
          <w:tcPr>
            <w:tcW w:w="500" w:type="dxa"/>
            <w:vAlign w:val="bottom"/>
            <w:tcBorders>
              <w:right w:val="single" w:sz="8" w:color="auto"/>
            </w:tcBorders>
            <w:gridSpan w:val="2"/>
            <w:shd w:val="clear" w:color="auto" w:fill="FFC000"/>
          </w:tcPr>
          <w:p>
            <w:pPr>
              <w:jc w:val="center"/>
              <w:spacing w:after="0"/>
              <w:rPr>
                <w:sz w:val="20"/>
                <w:szCs w:val="20"/>
                <w:color w:val="auto"/>
              </w:rPr>
            </w:pPr>
            <w:r>
              <w:rPr>
                <w:rFonts w:ascii="Arial" w:cs="Arial" w:eastAsia="Arial" w:hAnsi="Arial"/>
                <w:sz w:val="12"/>
                <w:szCs w:val="12"/>
                <w:b w:val="1"/>
                <w:bCs w:val="1"/>
                <w:color w:val="auto"/>
              </w:rPr>
              <w:t>Institute</w:t>
            </w:r>
          </w:p>
        </w:tc>
        <w:tc>
          <w:tcPr>
            <w:tcW w:w="42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2"/>
                <w:szCs w:val="12"/>
                <w:b w:val="1"/>
                <w:bCs w:val="1"/>
                <w:color w:val="auto"/>
                <w:w w:val="99"/>
              </w:rPr>
              <w:t>Acción</w:t>
            </w:r>
          </w:p>
        </w:tc>
        <w:tc>
          <w:tcPr>
            <w:tcW w:w="58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2"/>
                <w:szCs w:val="12"/>
                <w:b w:val="1"/>
                <w:bCs w:val="1"/>
                <w:color w:val="auto"/>
              </w:rPr>
              <w:t>World</w:t>
            </w:r>
          </w:p>
        </w:tc>
        <w:tc>
          <w:tcPr>
            <w:tcW w:w="46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2"/>
                <w:szCs w:val="12"/>
                <w:b w:val="1"/>
                <w:bCs w:val="1"/>
                <w:color w:val="auto"/>
              </w:rPr>
              <w:t>Women</w:t>
            </w:r>
          </w:p>
        </w:tc>
        <w:tc>
          <w:tcPr>
            <w:tcW w:w="58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2"/>
                <w:szCs w:val="12"/>
                <w:b w:val="1"/>
                <w:bCs w:val="1"/>
                <w:color w:val="auto"/>
              </w:rPr>
              <w:t>FIntech</w:t>
            </w:r>
          </w:p>
        </w:tc>
        <w:tc>
          <w:tcPr>
            <w:tcW w:w="500" w:type="dxa"/>
            <w:vAlign w:val="bottom"/>
            <w:tcBorders>
              <w:right w:val="single" w:sz="8" w:color="FFC000"/>
            </w:tcBorders>
            <w:shd w:val="clear" w:color="auto" w:fill="FFC000"/>
          </w:tcPr>
          <w:p>
            <w:pPr>
              <w:spacing w:after="0"/>
              <w:rPr>
                <w:sz w:val="12"/>
                <w:szCs w:val="12"/>
                <w:color w:val="auto"/>
              </w:rPr>
            </w:pPr>
          </w:p>
        </w:tc>
        <w:tc>
          <w:tcPr>
            <w:tcW w:w="240" w:type="dxa"/>
            <w:vAlign w:val="bottom"/>
            <w:tcBorders>
              <w:right w:val="single" w:sz="8" w:color="auto"/>
            </w:tcBorders>
            <w:shd w:val="clear" w:color="auto" w:fill="FFC000"/>
          </w:tcPr>
          <w:p>
            <w:pPr>
              <w:spacing w:after="0"/>
              <w:rPr>
                <w:sz w:val="12"/>
                <w:szCs w:val="12"/>
                <w:color w:val="auto"/>
              </w:rPr>
            </w:pPr>
          </w:p>
        </w:tc>
        <w:tc>
          <w:tcPr>
            <w:tcW w:w="1220" w:type="dxa"/>
            <w:vAlign w:val="bottom"/>
            <w:tcBorders>
              <w:right w:val="single" w:sz="8" w:color="auto"/>
            </w:tcBorders>
            <w:shd w:val="clear" w:color="auto" w:fill="FFC000"/>
          </w:tcPr>
          <w:p>
            <w:pPr>
              <w:spacing w:after="0"/>
              <w:rPr>
                <w:sz w:val="12"/>
                <w:szCs w:val="12"/>
                <w:color w:val="auto"/>
              </w:rPr>
            </w:pPr>
          </w:p>
        </w:tc>
        <w:tc>
          <w:tcPr>
            <w:tcW w:w="520" w:type="dxa"/>
            <w:vAlign w:val="bottom"/>
            <w:tcBorders>
              <w:right w:val="single" w:sz="8" w:color="auto"/>
            </w:tcBorders>
            <w:shd w:val="clear" w:color="auto" w:fill="FFC000"/>
          </w:tcPr>
          <w:p>
            <w:pPr>
              <w:spacing w:after="0"/>
              <w:rPr>
                <w:sz w:val="12"/>
                <w:szCs w:val="12"/>
                <w:color w:val="auto"/>
              </w:rPr>
            </w:pPr>
          </w:p>
        </w:tc>
        <w:tc>
          <w:tcPr>
            <w:tcW w:w="490" w:type="dxa"/>
            <w:vAlign w:val="bottom"/>
            <w:shd w:val="clear" w:color="auto" w:fill="FFC000"/>
          </w:tcPr>
          <w:p>
            <w:pPr>
              <w:spacing w:after="0"/>
              <w:rPr>
                <w:sz w:val="12"/>
                <w:szCs w:val="12"/>
                <w:color w:val="auto"/>
              </w:rPr>
            </w:pPr>
          </w:p>
        </w:tc>
        <w:tc>
          <w:tcPr>
            <w:tcW w:w="550" w:type="dxa"/>
            <w:vAlign w:val="bottom"/>
            <w:tcBorders>
              <w:right w:val="single" w:sz="8" w:color="auto"/>
            </w:tcBorders>
            <w:shd w:val="clear" w:color="auto" w:fill="FFC000"/>
          </w:tcPr>
          <w:p>
            <w:pPr>
              <w:spacing w:after="0"/>
              <w:rPr>
                <w:sz w:val="12"/>
                <w:szCs w:val="12"/>
                <w:color w:val="auto"/>
              </w:rPr>
            </w:pPr>
          </w:p>
        </w:tc>
        <w:tc>
          <w:tcPr>
            <w:tcW w:w="480" w:type="dxa"/>
            <w:vAlign w:val="bottom"/>
            <w:tcBorders>
              <w:right w:val="single" w:sz="8" w:color="auto"/>
            </w:tcBorders>
            <w:shd w:val="clear" w:color="auto" w:fill="FFC000"/>
          </w:tcPr>
          <w:p>
            <w:pPr>
              <w:spacing w:after="0"/>
              <w:rPr>
                <w:sz w:val="12"/>
                <w:szCs w:val="12"/>
                <w:color w:val="auto"/>
              </w:rPr>
            </w:pPr>
          </w:p>
        </w:tc>
        <w:tc>
          <w:tcPr>
            <w:tcW w:w="540" w:type="dxa"/>
            <w:vAlign w:val="bottom"/>
            <w:tcBorders>
              <w:right w:val="single" w:sz="8" w:color="auto"/>
            </w:tcBorders>
            <w:shd w:val="clear" w:color="auto" w:fill="FFC000"/>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20" w:type="dxa"/>
            <w:vAlign w:val="bottom"/>
            <w:tcBorders>
              <w:bottom w:val="single" w:sz="8" w:color="auto"/>
            </w:tcBorders>
            <w:shd w:val="clear" w:color="auto" w:fill="FFC000"/>
          </w:tcPr>
          <w:p>
            <w:pPr>
              <w:spacing w:after="0"/>
              <w:rPr>
                <w:sz w:val="12"/>
                <w:szCs w:val="12"/>
                <w:color w:val="auto"/>
              </w:rPr>
            </w:pPr>
          </w:p>
        </w:tc>
        <w:tc>
          <w:tcPr>
            <w:tcW w:w="420" w:type="dxa"/>
            <w:vAlign w:val="bottom"/>
            <w:tcBorders>
              <w:bottom w:val="single" w:sz="8" w:color="auto"/>
              <w:right w:val="single" w:sz="8" w:color="auto"/>
            </w:tcBorders>
            <w:shd w:val="clear" w:color="auto" w:fill="FFC000"/>
          </w:tcPr>
          <w:p>
            <w:pPr>
              <w:spacing w:after="0"/>
              <w:rPr>
                <w:sz w:val="12"/>
                <w:szCs w:val="12"/>
                <w:color w:val="auto"/>
              </w:rPr>
            </w:pPr>
          </w:p>
        </w:tc>
        <w:tc>
          <w:tcPr>
            <w:tcW w:w="600" w:type="dxa"/>
            <w:vAlign w:val="bottom"/>
            <w:tcBorders>
              <w:bottom w:val="single" w:sz="8" w:color="auto"/>
              <w:right w:val="single" w:sz="8" w:color="auto"/>
            </w:tcBorders>
            <w:shd w:val="clear" w:color="auto" w:fill="FFC000"/>
          </w:tcPr>
          <w:p>
            <w:pPr>
              <w:spacing w:after="0"/>
              <w:rPr>
                <w:sz w:val="12"/>
                <w:szCs w:val="12"/>
                <w:color w:val="auto"/>
              </w:rPr>
            </w:pPr>
          </w:p>
        </w:tc>
        <w:tc>
          <w:tcPr>
            <w:tcW w:w="320" w:type="dxa"/>
            <w:vAlign w:val="bottom"/>
            <w:tcBorders>
              <w:bottom w:val="single" w:sz="8" w:color="auto"/>
              <w:right w:val="single" w:sz="8" w:color="auto"/>
            </w:tcBorders>
            <w:shd w:val="clear" w:color="auto" w:fill="FFC000"/>
          </w:tcPr>
          <w:p>
            <w:pPr>
              <w:spacing w:after="0"/>
              <w:rPr>
                <w:sz w:val="12"/>
                <w:szCs w:val="12"/>
                <w:color w:val="auto"/>
              </w:rPr>
            </w:pPr>
          </w:p>
        </w:tc>
        <w:tc>
          <w:tcPr>
            <w:tcW w:w="680" w:type="dxa"/>
            <w:vAlign w:val="bottom"/>
            <w:tcBorders>
              <w:bottom w:val="single" w:sz="8" w:color="auto"/>
              <w:right w:val="single" w:sz="8" w:color="auto"/>
            </w:tcBorders>
            <w:shd w:val="clear" w:color="auto" w:fill="FFC000"/>
          </w:tcPr>
          <w:p>
            <w:pPr>
              <w:spacing w:after="0"/>
              <w:rPr>
                <w:sz w:val="12"/>
                <w:szCs w:val="12"/>
                <w:color w:val="auto"/>
              </w:rPr>
            </w:pPr>
          </w:p>
        </w:tc>
        <w:tc>
          <w:tcPr>
            <w:tcW w:w="100" w:type="dxa"/>
            <w:vAlign w:val="bottom"/>
            <w:tcBorders>
              <w:bottom w:val="single" w:sz="8" w:color="auto"/>
            </w:tcBorders>
            <w:shd w:val="clear" w:color="auto" w:fill="FFC000"/>
          </w:tcPr>
          <w:p>
            <w:pPr>
              <w:spacing w:after="0"/>
              <w:rPr>
                <w:sz w:val="12"/>
                <w:szCs w:val="12"/>
                <w:color w:val="auto"/>
              </w:rPr>
            </w:pPr>
          </w:p>
        </w:tc>
        <w:tc>
          <w:tcPr>
            <w:tcW w:w="300" w:type="dxa"/>
            <w:vAlign w:val="bottom"/>
            <w:tcBorders>
              <w:bottom w:val="single" w:sz="8" w:color="auto"/>
              <w:right w:val="single" w:sz="8" w:color="auto"/>
            </w:tcBorders>
            <w:shd w:val="clear" w:color="auto" w:fill="FFC000"/>
          </w:tcPr>
          <w:p>
            <w:pPr>
              <w:spacing w:after="0"/>
              <w:rPr>
                <w:sz w:val="12"/>
                <w:szCs w:val="12"/>
                <w:color w:val="auto"/>
              </w:rPr>
            </w:pPr>
          </w:p>
        </w:tc>
        <w:tc>
          <w:tcPr>
            <w:tcW w:w="120" w:type="dxa"/>
            <w:vAlign w:val="bottom"/>
            <w:tcBorders>
              <w:bottom w:val="single" w:sz="8" w:color="auto"/>
              <w:right w:val="single" w:sz="8" w:color="FFC000"/>
            </w:tcBorders>
            <w:shd w:val="clear" w:color="auto" w:fill="FFC000"/>
          </w:tcPr>
          <w:p>
            <w:pPr>
              <w:spacing w:after="0"/>
              <w:rPr>
                <w:sz w:val="12"/>
                <w:szCs w:val="12"/>
                <w:color w:val="auto"/>
              </w:rPr>
            </w:pPr>
          </w:p>
        </w:tc>
        <w:tc>
          <w:tcPr>
            <w:tcW w:w="380" w:type="dxa"/>
            <w:vAlign w:val="bottom"/>
            <w:tcBorders>
              <w:bottom w:val="single" w:sz="8" w:color="auto"/>
              <w:right w:val="single" w:sz="8" w:color="auto"/>
            </w:tcBorders>
            <w:shd w:val="clear" w:color="auto" w:fill="FFC000"/>
          </w:tcPr>
          <w:p>
            <w:pPr>
              <w:spacing w:after="0"/>
              <w:rPr>
                <w:sz w:val="12"/>
                <w:szCs w:val="12"/>
                <w:color w:val="auto"/>
              </w:rPr>
            </w:pPr>
          </w:p>
        </w:tc>
        <w:tc>
          <w:tcPr>
            <w:tcW w:w="420" w:type="dxa"/>
            <w:vAlign w:val="bottom"/>
            <w:tcBorders>
              <w:bottom w:val="single" w:sz="8" w:color="auto"/>
              <w:right w:val="single" w:sz="8" w:color="auto"/>
            </w:tcBorders>
            <w:shd w:val="clear" w:color="auto" w:fill="FFC000"/>
          </w:tcPr>
          <w:p>
            <w:pPr>
              <w:spacing w:after="0"/>
              <w:rPr>
                <w:sz w:val="12"/>
                <w:szCs w:val="12"/>
                <w:color w:val="auto"/>
              </w:rPr>
            </w:pPr>
          </w:p>
        </w:tc>
        <w:tc>
          <w:tcPr>
            <w:tcW w:w="580" w:type="dxa"/>
            <w:vAlign w:val="bottom"/>
            <w:tcBorders>
              <w:bottom w:val="single" w:sz="8" w:color="auto"/>
              <w:right w:val="single" w:sz="8" w:color="auto"/>
            </w:tcBorders>
            <w:shd w:val="clear" w:color="auto" w:fill="FFC000"/>
          </w:tcPr>
          <w:p>
            <w:pPr>
              <w:jc w:val="center"/>
              <w:spacing w:after="0"/>
              <w:rPr>
                <w:sz w:val="20"/>
                <w:szCs w:val="20"/>
                <w:color w:val="auto"/>
              </w:rPr>
            </w:pPr>
            <w:r>
              <w:rPr>
                <w:rFonts w:ascii="Arial" w:cs="Arial" w:eastAsia="Arial" w:hAnsi="Arial"/>
                <w:sz w:val="12"/>
                <w:szCs w:val="12"/>
                <w:b w:val="1"/>
                <w:bCs w:val="1"/>
                <w:color w:val="auto"/>
              </w:rPr>
              <w:t>Banking</w:t>
            </w:r>
          </w:p>
        </w:tc>
        <w:tc>
          <w:tcPr>
            <w:tcW w:w="460" w:type="dxa"/>
            <w:vAlign w:val="bottom"/>
            <w:tcBorders>
              <w:bottom w:val="single" w:sz="8" w:color="auto"/>
              <w:right w:val="single" w:sz="8" w:color="auto"/>
            </w:tcBorders>
            <w:shd w:val="clear" w:color="auto" w:fill="FFC000"/>
          </w:tcPr>
          <w:p>
            <w:pPr>
              <w:spacing w:after="0"/>
              <w:rPr>
                <w:sz w:val="12"/>
                <w:szCs w:val="12"/>
                <w:color w:val="auto"/>
              </w:rPr>
            </w:pPr>
          </w:p>
        </w:tc>
        <w:tc>
          <w:tcPr>
            <w:tcW w:w="580" w:type="dxa"/>
            <w:vAlign w:val="bottom"/>
            <w:tcBorders>
              <w:bottom w:val="single" w:sz="8" w:color="auto"/>
              <w:right w:val="single" w:sz="8" w:color="auto"/>
            </w:tcBorders>
            <w:shd w:val="clear" w:color="auto" w:fill="FFC000"/>
          </w:tcPr>
          <w:p>
            <w:pPr>
              <w:spacing w:after="0"/>
              <w:rPr>
                <w:sz w:val="12"/>
                <w:szCs w:val="12"/>
                <w:color w:val="auto"/>
              </w:rPr>
            </w:pPr>
          </w:p>
        </w:tc>
        <w:tc>
          <w:tcPr>
            <w:tcW w:w="500" w:type="dxa"/>
            <w:vAlign w:val="bottom"/>
            <w:tcBorders>
              <w:bottom w:val="single" w:sz="8" w:color="auto"/>
              <w:right w:val="single" w:sz="8" w:color="FFC000"/>
            </w:tcBorders>
            <w:shd w:val="clear" w:color="auto" w:fill="FFC000"/>
          </w:tcPr>
          <w:p>
            <w:pPr>
              <w:spacing w:after="0"/>
              <w:rPr>
                <w:sz w:val="12"/>
                <w:szCs w:val="12"/>
                <w:color w:val="auto"/>
              </w:rPr>
            </w:pPr>
          </w:p>
        </w:tc>
        <w:tc>
          <w:tcPr>
            <w:tcW w:w="240" w:type="dxa"/>
            <w:vAlign w:val="bottom"/>
            <w:tcBorders>
              <w:bottom w:val="single" w:sz="8" w:color="auto"/>
              <w:right w:val="single" w:sz="8" w:color="auto"/>
            </w:tcBorders>
            <w:shd w:val="clear" w:color="auto" w:fill="FFC000"/>
          </w:tcPr>
          <w:p>
            <w:pPr>
              <w:spacing w:after="0"/>
              <w:rPr>
                <w:sz w:val="12"/>
                <w:szCs w:val="12"/>
                <w:color w:val="auto"/>
              </w:rPr>
            </w:pPr>
          </w:p>
        </w:tc>
        <w:tc>
          <w:tcPr>
            <w:tcW w:w="1220" w:type="dxa"/>
            <w:vAlign w:val="bottom"/>
            <w:tcBorders>
              <w:bottom w:val="single" w:sz="8" w:color="auto"/>
              <w:right w:val="single" w:sz="8" w:color="auto"/>
            </w:tcBorders>
            <w:shd w:val="clear" w:color="auto" w:fill="FFC000"/>
          </w:tcPr>
          <w:p>
            <w:pPr>
              <w:spacing w:after="0"/>
              <w:rPr>
                <w:sz w:val="12"/>
                <w:szCs w:val="12"/>
                <w:color w:val="auto"/>
              </w:rPr>
            </w:pPr>
          </w:p>
        </w:tc>
        <w:tc>
          <w:tcPr>
            <w:tcW w:w="520" w:type="dxa"/>
            <w:vAlign w:val="bottom"/>
            <w:tcBorders>
              <w:bottom w:val="single" w:sz="8" w:color="auto"/>
              <w:right w:val="single" w:sz="8" w:color="auto"/>
            </w:tcBorders>
            <w:shd w:val="clear" w:color="auto" w:fill="FFC000"/>
          </w:tcPr>
          <w:p>
            <w:pPr>
              <w:spacing w:after="0"/>
              <w:rPr>
                <w:sz w:val="12"/>
                <w:szCs w:val="12"/>
                <w:color w:val="auto"/>
              </w:rPr>
            </w:pPr>
          </w:p>
        </w:tc>
        <w:tc>
          <w:tcPr>
            <w:tcW w:w="490" w:type="dxa"/>
            <w:vAlign w:val="bottom"/>
            <w:tcBorders>
              <w:bottom w:val="single" w:sz="8" w:color="auto"/>
            </w:tcBorders>
            <w:shd w:val="clear" w:color="auto" w:fill="FFC000"/>
          </w:tcPr>
          <w:p>
            <w:pPr>
              <w:spacing w:after="0"/>
              <w:rPr>
                <w:sz w:val="12"/>
                <w:szCs w:val="12"/>
                <w:color w:val="auto"/>
              </w:rPr>
            </w:pPr>
          </w:p>
        </w:tc>
        <w:tc>
          <w:tcPr>
            <w:tcW w:w="550" w:type="dxa"/>
            <w:vAlign w:val="bottom"/>
            <w:tcBorders>
              <w:bottom w:val="single" w:sz="8" w:color="auto"/>
              <w:right w:val="single" w:sz="8" w:color="auto"/>
            </w:tcBorders>
            <w:shd w:val="clear" w:color="auto" w:fill="FFC000"/>
          </w:tcPr>
          <w:p>
            <w:pPr>
              <w:spacing w:after="0"/>
              <w:rPr>
                <w:sz w:val="12"/>
                <w:szCs w:val="12"/>
                <w:color w:val="auto"/>
              </w:rPr>
            </w:pPr>
          </w:p>
        </w:tc>
        <w:tc>
          <w:tcPr>
            <w:tcW w:w="480" w:type="dxa"/>
            <w:vAlign w:val="bottom"/>
            <w:tcBorders>
              <w:bottom w:val="single" w:sz="8" w:color="auto"/>
              <w:right w:val="single" w:sz="8" w:color="auto"/>
            </w:tcBorders>
            <w:shd w:val="clear" w:color="auto" w:fill="FFC000"/>
          </w:tcPr>
          <w:p>
            <w:pPr>
              <w:spacing w:after="0"/>
              <w:rPr>
                <w:sz w:val="12"/>
                <w:szCs w:val="12"/>
                <w:color w:val="auto"/>
              </w:rPr>
            </w:pPr>
          </w:p>
        </w:tc>
        <w:tc>
          <w:tcPr>
            <w:tcW w:w="540" w:type="dxa"/>
            <w:vAlign w:val="bottom"/>
            <w:tcBorders>
              <w:bottom w:val="single" w:sz="8" w:color="auto"/>
              <w:right w:val="single" w:sz="8" w:color="auto"/>
            </w:tcBorders>
            <w:shd w:val="clear" w:color="auto" w:fill="FFC000"/>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97"/>
              </w:rPr>
              <w:t>BCP</w:t>
            </w:r>
          </w:p>
        </w:tc>
        <w:tc>
          <w:tcPr>
            <w:tcW w:w="6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59"/>
              <w:spacing w:after="0" w:line="121" w:lineRule="exact"/>
              <w:rPr>
                <w:sz w:val="20"/>
                <w:szCs w:val="20"/>
                <w:color w:val="auto"/>
              </w:rPr>
            </w:pPr>
            <w:r>
              <w:rPr>
                <w:rFonts w:ascii="MS PGothic" w:cs="MS PGothic" w:eastAsia="MS PGothic" w:hAnsi="MS PGothic"/>
                <w:sz w:val="12"/>
                <w:szCs w:val="12"/>
                <w:color w:val="auto"/>
                <w:w w:val="82"/>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490" w:type="dxa"/>
            <w:vAlign w:val="bottom"/>
            <w:tcBorders>
              <w:bottom w:val="single" w:sz="8" w:color="auto"/>
            </w:tcBorders>
          </w:tcPr>
          <w:p>
            <w:pPr>
              <w:spacing w:after="0"/>
              <w:rPr>
                <w:sz w:val="12"/>
                <w:szCs w:val="12"/>
                <w:color w:val="auto"/>
              </w:rPr>
            </w:pPr>
          </w:p>
        </w:tc>
        <w:tc>
          <w:tcPr>
            <w:tcW w:w="550" w:type="dxa"/>
            <w:vAlign w:val="bottom"/>
            <w:tcBorders>
              <w:bottom w:val="single" w:sz="8" w:color="auto"/>
              <w:right w:val="single" w:sz="8" w:color="auto"/>
            </w:tcBorders>
          </w:tcPr>
          <w:p>
            <w:pPr>
              <w:ind w:left="21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rPr>
              <w:t>Mibanco</w:t>
            </w:r>
          </w:p>
        </w:tc>
        <w:tc>
          <w:tcPr>
            <w:tcW w:w="6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59"/>
              <w:spacing w:after="0" w:line="121" w:lineRule="exact"/>
              <w:rPr>
                <w:sz w:val="20"/>
                <w:szCs w:val="20"/>
                <w:color w:val="auto"/>
              </w:rPr>
            </w:pPr>
            <w:r>
              <w:rPr>
                <w:rFonts w:ascii="MS PGothic" w:cs="MS PGothic" w:eastAsia="MS PGothic" w:hAnsi="MS PGothic"/>
                <w:sz w:val="12"/>
                <w:szCs w:val="12"/>
                <w:color w:val="auto"/>
                <w:w w:val="82"/>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8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490" w:type="dxa"/>
            <w:vAlign w:val="bottom"/>
            <w:tcBorders>
              <w:bottom w:val="single" w:sz="8" w:color="auto"/>
            </w:tcBorders>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550" w:type="dxa"/>
            <w:vAlign w:val="bottom"/>
            <w:tcBorders>
              <w:bottom w:val="single" w:sz="8" w:color="auto"/>
              <w:right w:val="single" w:sz="8" w:color="auto"/>
            </w:tcBorders>
          </w:tcPr>
          <w:p>
            <w:pPr>
              <w:ind w:left="21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rPr>
              <w:t>Pacífico Seguros</w:t>
            </w:r>
          </w:p>
        </w:tc>
        <w:tc>
          <w:tcPr>
            <w:tcW w:w="6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80" w:type="dxa"/>
            <w:vAlign w:val="bottom"/>
            <w:tcBorders>
              <w:bottom w:val="single" w:sz="8" w:color="auto"/>
              <w:right w:val="single" w:sz="8" w:color="auto"/>
            </w:tcBorders>
          </w:tcPr>
          <w:p>
            <w:pPr>
              <w:jc w:val="right"/>
              <w:ind w:right="66"/>
              <w:spacing w:after="0" w:line="121" w:lineRule="exact"/>
              <w:rPr>
                <w:sz w:val="20"/>
                <w:szCs w:val="20"/>
                <w:color w:val="auto"/>
              </w:rPr>
            </w:pPr>
            <w:r>
              <w:rPr>
                <w:rFonts w:ascii="MS PGothic" w:cs="MS PGothic" w:eastAsia="MS PGothic" w:hAnsi="MS PGothic"/>
                <w:sz w:val="12"/>
                <w:szCs w:val="12"/>
                <w:color w:val="auto"/>
              </w:rPr>
              <w:t>✔</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59"/>
              <w:spacing w:after="0" w:line="121" w:lineRule="exact"/>
              <w:rPr>
                <w:sz w:val="20"/>
                <w:szCs w:val="20"/>
                <w:color w:val="auto"/>
              </w:rPr>
            </w:pPr>
            <w:r>
              <w:rPr>
                <w:rFonts w:ascii="MS PGothic" w:cs="MS PGothic" w:eastAsia="MS PGothic" w:hAnsi="MS PGothic"/>
                <w:sz w:val="12"/>
                <w:szCs w:val="12"/>
                <w:color w:val="auto"/>
                <w:w w:val="82"/>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90" w:type="dxa"/>
            <w:vAlign w:val="bottom"/>
            <w:tcBorders>
              <w:bottom w:val="single" w:sz="8" w:color="auto"/>
            </w:tcBorders>
          </w:tcPr>
          <w:p>
            <w:pPr>
              <w:spacing w:after="0"/>
              <w:rPr>
                <w:sz w:val="12"/>
                <w:szCs w:val="12"/>
                <w:color w:val="auto"/>
              </w:rPr>
            </w:pPr>
          </w:p>
        </w:tc>
        <w:tc>
          <w:tcPr>
            <w:tcW w:w="55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rPr>
              <w:t>Prima AFP</w:t>
            </w:r>
          </w:p>
        </w:tc>
        <w:tc>
          <w:tcPr>
            <w:tcW w:w="6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80" w:type="dxa"/>
            <w:vAlign w:val="bottom"/>
            <w:tcBorders>
              <w:bottom w:val="single" w:sz="8" w:color="auto"/>
              <w:right w:val="single" w:sz="8" w:color="auto"/>
            </w:tcBorders>
          </w:tcPr>
          <w:p>
            <w:pPr>
              <w:jc w:val="right"/>
              <w:ind w:right="66"/>
              <w:spacing w:after="0" w:line="121" w:lineRule="exact"/>
              <w:rPr>
                <w:sz w:val="20"/>
                <w:szCs w:val="20"/>
                <w:color w:val="auto"/>
              </w:rPr>
            </w:pPr>
            <w:r>
              <w:rPr>
                <w:rFonts w:ascii="MS PGothic" w:cs="MS PGothic" w:eastAsia="MS PGothic" w:hAnsi="MS PGothic"/>
                <w:sz w:val="12"/>
                <w:szCs w:val="12"/>
                <w:color w:val="auto"/>
              </w:rPr>
              <w:t>✔    ✔</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59"/>
              <w:spacing w:after="0" w:line="121" w:lineRule="exact"/>
              <w:rPr>
                <w:sz w:val="20"/>
                <w:szCs w:val="20"/>
                <w:color w:val="auto"/>
              </w:rPr>
            </w:pPr>
            <w:r>
              <w:rPr>
                <w:rFonts w:ascii="MS PGothic" w:cs="MS PGothic" w:eastAsia="MS PGothic" w:hAnsi="MS PGothic"/>
                <w:sz w:val="12"/>
                <w:szCs w:val="12"/>
                <w:color w:val="auto"/>
                <w:w w:val="82"/>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490" w:type="dxa"/>
            <w:vAlign w:val="bottom"/>
            <w:tcBorders>
              <w:bottom w:val="single" w:sz="8" w:color="auto"/>
            </w:tcBorders>
          </w:tcPr>
          <w:p>
            <w:pPr>
              <w:spacing w:after="0"/>
              <w:rPr>
                <w:sz w:val="12"/>
                <w:szCs w:val="12"/>
                <w:color w:val="auto"/>
              </w:rPr>
            </w:pPr>
          </w:p>
        </w:tc>
        <w:tc>
          <w:tcPr>
            <w:tcW w:w="55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rPr>
              <w:t>Credicorp Capital</w:t>
            </w:r>
          </w:p>
        </w:tc>
        <w:tc>
          <w:tcPr>
            <w:tcW w:w="6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80" w:type="dxa"/>
            <w:vAlign w:val="bottom"/>
            <w:tcBorders>
              <w:bottom w:val="single" w:sz="8" w:color="auto"/>
              <w:right w:val="single" w:sz="8" w:color="auto"/>
            </w:tcBorders>
          </w:tcPr>
          <w:p>
            <w:pPr>
              <w:jc w:val="center"/>
              <w:ind w:right="286"/>
              <w:spacing w:after="0" w:line="142" w:lineRule="exact"/>
              <w:rPr>
                <w:sz w:val="20"/>
                <w:szCs w:val="20"/>
                <w:color w:val="auto"/>
              </w:rPr>
            </w:pPr>
            <w:r>
              <w:rPr>
                <w:rFonts w:ascii="MS PGothic" w:cs="MS PGothic" w:eastAsia="MS PGothic" w:hAnsi="MS PGothic"/>
                <w:sz w:val="16"/>
                <w:szCs w:val="16"/>
                <w:color w:val="auto"/>
                <w:vertAlign w:val="subscript"/>
              </w:rPr>
              <w:t>✔</w:t>
            </w:r>
            <w:r>
              <w:rPr>
                <w:rFonts w:ascii="Arial" w:cs="Arial" w:eastAsia="Arial" w:hAnsi="Arial"/>
                <w:sz w:val="8"/>
                <w:szCs w:val="8"/>
                <w:color w:val="auto"/>
              </w:rPr>
              <w:t>22</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490" w:type="dxa"/>
            <w:vAlign w:val="bottom"/>
            <w:tcBorders>
              <w:bottom w:val="single" w:sz="8" w:color="auto"/>
            </w:tcBorders>
          </w:tcPr>
          <w:p>
            <w:pPr>
              <w:spacing w:after="0"/>
              <w:rPr>
                <w:sz w:val="12"/>
                <w:szCs w:val="12"/>
                <w:color w:val="auto"/>
              </w:rPr>
            </w:pPr>
          </w:p>
        </w:tc>
        <w:tc>
          <w:tcPr>
            <w:tcW w:w="55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2"/>
                <w:szCs w:val="12"/>
                <w:color w:val="auto"/>
              </w:rPr>
              <w:t>Mibanco Colombia</w:t>
            </w:r>
          </w:p>
        </w:tc>
        <w:tc>
          <w:tcPr>
            <w:tcW w:w="6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jc w:val="center"/>
              <w:ind w:right="286"/>
              <w:spacing w:after="0" w:line="121" w:lineRule="exact"/>
              <w:rPr>
                <w:sz w:val="20"/>
                <w:szCs w:val="20"/>
                <w:color w:val="auto"/>
              </w:rPr>
            </w:pPr>
            <w:r>
              <w:rPr>
                <w:rFonts w:ascii="MS PGothic" w:cs="MS PGothic" w:eastAsia="MS PGothic" w:hAnsi="MS PGothic"/>
                <w:sz w:val="12"/>
                <w:szCs w:val="12"/>
                <w:color w:val="auto"/>
                <w:w w:val="82"/>
              </w:rPr>
              <w:t>✔</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00" w:type="dxa"/>
            <w:vAlign w:val="bottom"/>
            <w:tcBorders>
              <w:bottom w:val="single" w:sz="8" w:color="auto"/>
            </w:tcBorders>
          </w:tcPr>
          <w:p>
            <w:pPr>
              <w:jc w:val="center"/>
              <w:ind w:left="139"/>
              <w:spacing w:after="0" w:line="121" w:lineRule="exact"/>
              <w:rPr>
                <w:sz w:val="20"/>
                <w:szCs w:val="20"/>
                <w:color w:val="auto"/>
              </w:rPr>
            </w:pPr>
            <w:r>
              <w:rPr>
                <w:rFonts w:ascii="MS PGothic" w:cs="MS PGothic" w:eastAsia="MS PGothic" w:hAnsi="MS PGothic"/>
                <w:sz w:val="12"/>
                <w:szCs w:val="12"/>
                <w:color w:val="auto"/>
                <w:w w:val="82"/>
              </w:rPr>
              <w:t>✔</w:t>
            </w:r>
          </w:p>
        </w:tc>
        <w:tc>
          <w:tcPr>
            <w:tcW w:w="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20" w:type="dxa"/>
            <w:vAlign w:val="bottom"/>
            <w:tcBorders>
              <w:bottom w:val="single" w:sz="8" w:color="auto"/>
              <w:right w:val="single" w:sz="8" w:color="auto"/>
            </w:tcBorders>
          </w:tcPr>
          <w:p>
            <w:pPr>
              <w:spacing w:after="0"/>
              <w:rPr>
                <w:sz w:val="12"/>
                <w:szCs w:val="12"/>
                <w:color w:val="auto"/>
              </w:rPr>
            </w:pPr>
          </w:p>
        </w:tc>
        <w:tc>
          <w:tcPr>
            <w:tcW w:w="490" w:type="dxa"/>
            <w:vAlign w:val="bottom"/>
            <w:tcBorders>
              <w:bottom w:val="single" w:sz="8" w:color="auto"/>
            </w:tcBorders>
          </w:tcPr>
          <w:p>
            <w:pPr>
              <w:spacing w:after="0"/>
              <w:rPr>
                <w:sz w:val="12"/>
                <w:szCs w:val="12"/>
                <w:color w:val="auto"/>
              </w:rPr>
            </w:pPr>
          </w:p>
        </w:tc>
        <w:tc>
          <w:tcPr>
            <w:tcW w:w="55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rPr>
              <w:t>BCP Bolivia</w:t>
            </w:r>
          </w:p>
        </w:tc>
        <w:tc>
          <w:tcPr>
            <w:tcW w:w="6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490" w:type="dxa"/>
            <w:vAlign w:val="bottom"/>
            <w:tcBorders>
              <w:bottom w:val="single" w:sz="8" w:color="auto"/>
            </w:tcBorders>
          </w:tcPr>
          <w:p>
            <w:pPr>
              <w:spacing w:after="0"/>
              <w:rPr>
                <w:sz w:val="12"/>
                <w:szCs w:val="12"/>
                <w:color w:val="auto"/>
              </w:rPr>
            </w:pPr>
          </w:p>
        </w:tc>
        <w:tc>
          <w:tcPr>
            <w:tcW w:w="55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-995045</wp:posOffset>
            </wp:positionV>
            <wp:extent cx="7620" cy="9956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0" cy="99568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-995045</wp:posOffset>
            </wp:positionV>
            <wp:extent cx="7620" cy="9956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 cy="9956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116840</wp:posOffset>
            </wp:positionV>
            <wp:extent cx="142748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18" w:lineRule="exact"/>
        <w:rPr>
          <w:sz w:val="20"/>
          <w:szCs w:val="20"/>
          <w:color w:val="auto"/>
        </w:rPr>
      </w:pPr>
    </w:p>
    <w:p>
      <w:pPr>
        <w:ind w:left="460" w:hanging="191"/>
        <w:spacing w:after="0"/>
        <w:tabs>
          <w:tab w:leader="none" w:pos="46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Not exhaustive</w:t>
      </w:r>
    </w:p>
    <w:p>
      <w:pPr>
        <w:ind w:left="460" w:hanging="191"/>
        <w:spacing w:after="0" w:line="180" w:lineRule="auto"/>
        <w:tabs>
          <w:tab w:leader="none" w:pos="4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Principles for Responsible Investment (Global).</w:t>
      </w:r>
    </w:p>
    <w:p>
      <w:pPr>
        <w:ind w:left="460" w:hanging="191"/>
        <w:spacing w:after="0" w:line="180" w:lineRule="auto"/>
        <w:tabs>
          <w:tab w:leader="none" w:pos="4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Program for Responsible Investment. Local initiative (Peru) related to responsible investment.</w:t>
      </w:r>
    </w:p>
    <w:p>
      <w:pPr>
        <w:ind w:left="460" w:hanging="191"/>
        <w:spacing w:after="0" w:line="180" w:lineRule="auto"/>
        <w:tabs>
          <w:tab w:leader="none" w:pos="4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Asociación de Buenos Empleadores (Peru).</w:t>
      </w:r>
    </w:p>
    <w:p>
      <w:pPr>
        <w:ind w:left="460" w:hanging="191"/>
        <w:spacing w:after="0" w:line="180" w:lineRule="auto"/>
        <w:tabs>
          <w:tab w:leader="none" w:pos="4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Asociación de AFP</w:t>
      </w:r>
    </w:p>
    <w:p>
      <w:pPr>
        <w:ind w:left="460" w:hanging="191"/>
        <w:spacing w:after="0" w:line="183" w:lineRule="auto"/>
        <w:tabs>
          <w:tab w:leader="none" w:pos="460" w:val="left"/>
        </w:tabs>
        <w:numPr>
          <w:ilvl w:val="0"/>
          <w:numId w:val="44"/>
        </w:numPr>
        <w:rPr>
          <w:rFonts w:ascii="Arial" w:cs="Arial" w:eastAsia="Arial" w:hAnsi="Arial"/>
          <w:sz w:val="21"/>
          <w:szCs w:val="21"/>
          <w:color w:val="auto"/>
          <w:vertAlign w:val="superscript"/>
        </w:rPr>
      </w:pPr>
      <w:r>
        <w:rPr>
          <w:rFonts w:ascii="Arial" w:cs="Arial" w:eastAsia="Arial" w:hAnsi="Arial"/>
          <w:sz w:val="13"/>
          <w:szCs w:val="13"/>
          <w:color w:val="auto"/>
        </w:rPr>
        <w:t>Credicorp Capital Asset Management</w:t>
      </w:r>
    </w:p>
    <w:p>
      <w:pPr>
        <w:spacing w:after="0" w:line="323" w:lineRule="exact"/>
        <w:rPr>
          <w:sz w:val="20"/>
          <w:szCs w:val="20"/>
          <w:color w:val="auto"/>
        </w:rPr>
      </w:pPr>
    </w:p>
    <w:p>
      <w:pPr>
        <w:ind w:left="11080"/>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88" w:name="page89"/>
    <w:bookmarkEnd w:id="88"/>
    <w:p>
      <w:pPr>
        <w:spacing w:after="0"/>
        <w:rPr>
          <w:sz w:val="20"/>
          <w:szCs w:val="20"/>
          <w:color w:val="auto"/>
        </w:rPr>
      </w:pPr>
      <w:r>
        <w:rPr>
          <w:rFonts w:ascii="Arial" w:cs="Arial" w:eastAsia="Arial" w:hAnsi="Arial"/>
          <w:sz w:val="25"/>
          <w:szCs w:val="25"/>
          <w:b w:val="1"/>
          <w:bCs w:val="1"/>
          <w:color w:val="auto"/>
        </w:rPr>
        <w:t>Awards and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5264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The recognition we have obtained for our initatives motivates us dig deeper to implement our strategy and continue integrating sustainability in all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110490</wp:posOffset>
            </wp:positionV>
            <wp:extent cx="5124450" cy="2927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24450" cy="292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89" w:name="page90"/>
    <w:bookmarkEnd w:id="89"/>
    <w:p>
      <w:pPr>
        <w:spacing w:after="0" w:line="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Integrating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3433445"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33445" cy="146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SDG </w:t>
      </w:r>
      <w:r>
        <w:rPr>
          <w:rFonts w:ascii="Arial" w:cs="Arial" w:eastAsia="Arial" w:hAnsi="Arial"/>
          <w:sz w:val="15"/>
          <w:szCs w:val="15"/>
          <w:i w:val="1"/>
          <w:iCs w:val="1"/>
          <w:color w:val="auto"/>
        </w:rPr>
        <w:t>5, 8, 9, 10, 13, 16, 17</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After developing our Sustainability Strategy 2020 -2025, we embarked on a journey to integrate sustainability in everything we do. With each passing day, we make measurable progress. We have put together an implementation plan that integrates sustainability in both our business and operating models. In our 2020 report, we published the following graphic to show how we plan to expand our sustainability lens as we strengthen our corporate identity on the path toward a more comprehensive focus on sustainability. Today, we would like to dedicate this section to the review of our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2927985" cy="1529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27985" cy="1529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right="140"/>
        <w:spacing w:after="0" w:line="273" w:lineRule="auto"/>
        <w:rPr>
          <w:sz w:val="20"/>
          <w:szCs w:val="20"/>
          <w:color w:val="auto"/>
        </w:rPr>
      </w:pPr>
      <w:r>
        <w:rPr>
          <w:rFonts w:ascii="Arial" w:cs="Arial" w:eastAsia="Arial" w:hAnsi="Arial"/>
          <w:sz w:val="25"/>
          <w:szCs w:val="25"/>
          <w:b w:val="1"/>
          <w:bCs w:val="1"/>
          <w:color w:val="auto"/>
        </w:rPr>
        <w:t>Integrating Sustainability in 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1270</wp:posOffset>
            </wp:positionV>
            <wp:extent cx="318452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84525" cy="7620"/>
                    </a:xfrm>
                    <a:prstGeom prst="rect">
                      <a:avLst/>
                    </a:prstGeom>
                    <a:noFill/>
                  </pic:spPr>
                </pic:pic>
              </a:graphicData>
            </a:graphic>
          </wp:anchor>
        </w:drawing>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process to implement our strategy entails integrating sustainability in our business model (products, services, channels, among others). To accomplish this, we work on various platforms associated with each of our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99060</wp:posOffset>
            </wp:positionV>
            <wp:extent cx="2562225" cy="2335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62225" cy="233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the map of initiatives on the following page, we provide concrete examples of the products and services that we develop in each platform (some belong to more than one platform). These examples are described in detail in the Social and Environmental chapters of this Report; we also provide in-depth information on scopes and impacts.</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05" w:right="31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Map of initiatives by platform</w:t>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B3838"/>
        </w:rPr>
        <w:t>FINANCIAL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2211070" cy="21304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11070" cy="213042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53"/>
        </w:trPr>
        <w:tc>
          <w:tcPr>
            <w:tcW w:w="840" w:type="dxa"/>
            <w:vAlign w:val="bottom"/>
            <w:tcBorders>
              <w:top w:val="single" w:sz="8" w:color="auto"/>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3B3838"/>
              </w:rPr>
              <w:t>Initiative</w:t>
            </w:r>
          </w:p>
        </w:tc>
        <w:tc>
          <w:tcPr>
            <w:tcW w:w="4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right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3B3838"/>
              </w:rPr>
              <w:t>Description</w:t>
            </w: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center"/>
              <w:ind w:right="29"/>
              <w:spacing w:after="0" w:line="153" w:lineRule="exact"/>
              <w:rPr>
                <w:sz w:val="20"/>
                <w:szCs w:val="20"/>
                <w:color w:val="auto"/>
              </w:rPr>
            </w:pPr>
            <w:r>
              <w:rPr>
                <w:rFonts w:ascii="Arial" w:cs="Arial" w:eastAsia="Arial" w:hAnsi="Arial"/>
                <w:sz w:val="14"/>
                <w:szCs w:val="14"/>
                <w:b w:val="1"/>
                <w:bCs w:val="1"/>
                <w:color w:val="3B3838"/>
                <w:w w:val="97"/>
              </w:rPr>
              <w:t>Company</w:t>
            </w:r>
          </w:p>
        </w:tc>
        <w:tc>
          <w:tcPr>
            <w:tcW w:w="0" w:type="dxa"/>
            <w:vAlign w:val="bottom"/>
          </w:tcPr>
          <w:p>
            <w:pPr>
              <w:spacing w:after="0"/>
              <w:rPr>
                <w:sz w:val="1"/>
                <w:szCs w:val="1"/>
                <w:color w:val="auto"/>
              </w:rPr>
            </w:pPr>
          </w:p>
        </w:tc>
      </w:tr>
      <w:tr>
        <w:trPr>
          <w:trHeight w:val="153"/>
        </w:trPr>
        <w:tc>
          <w:tcPr>
            <w:tcW w:w="84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3B3838"/>
              </w:rPr>
              <w:t>Yape</w:t>
            </w:r>
          </w:p>
        </w:tc>
        <w:tc>
          <w:tcPr>
            <w:tcW w:w="40" w:type="dxa"/>
            <w:vAlign w:val="bottom"/>
          </w:tcPr>
          <w:p>
            <w:pPr>
              <w:spacing w:after="0"/>
              <w:rPr>
                <w:sz w:val="13"/>
                <w:szCs w:val="13"/>
                <w:color w:val="auto"/>
              </w:rPr>
            </w:pPr>
          </w:p>
        </w:tc>
        <w:tc>
          <w:tcPr>
            <w:tcW w:w="1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3B3838"/>
              </w:rPr>
              <w:t>Digital Wallets</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9"/>
              <w:spacing w:after="0" w:line="153" w:lineRule="exact"/>
              <w:rPr>
                <w:sz w:val="20"/>
                <w:szCs w:val="20"/>
                <w:color w:val="auto"/>
              </w:rPr>
            </w:pPr>
            <w:r>
              <w:rPr>
                <w:rFonts w:ascii="Arial" w:cs="Arial" w:eastAsia="Arial" w:hAnsi="Arial"/>
                <w:sz w:val="14"/>
                <w:szCs w:val="14"/>
                <w:color w:val="3B3838"/>
              </w:rPr>
              <w:t>BCP</w:t>
            </w:r>
          </w:p>
        </w:tc>
        <w:tc>
          <w:tcPr>
            <w:tcW w:w="0" w:type="dxa"/>
            <w:vAlign w:val="bottom"/>
          </w:tcPr>
          <w:p>
            <w:pPr>
              <w:spacing w:after="0"/>
              <w:rPr>
                <w:sz w:val="1"/>
                <w:szCs w:val="1"/>
                <w:color w:val="auto"/>
              </w:rPr>
            </w:pPr>
          </w:p>
        </w:tc>
      </w:tr>
      <w:tr>
        <w:trPr>
          <w:trHeight w:val="66"/>
        </w:trPr>
        <w:tc>
          <w:tcPr>
            <w:tcW w:w="840" w:type="dxa"/>
            <w:vAlign w:val="bottom"/>
            <w:tcBorders>
              <w:right w:val="single" w:sz="8" w:color="auto"/>
            </w:tcBorders>
            <w:vMerge w:val="restart"/>
          </w:tcPr>
          <w:p>
            <w:pPr>
              <w:ind w:left="80"/>
              <w:spacing w:after="0" w:line="153" w:lineRule="exact"/>
              <w:rPr>
                <w:sz w:val="20"/>
                <w:szCs w:val="20"/>
                <w:color w:val="auto"/>
              </w:rPr>
            </w:pPr>
            <w:r>
              <w:rPr>
                <w:rFonts w:ascii="Arial" w:cs="Arial" w:eastAsia="Arial" w:hAnsi="Arial"/>
                <w:sz w:val="14"/>
                <w:szCs w:val="14"/>
                <w:color w:val="3B3838"/>
              </w:rPr>
              <w:t>Soli</w:t>
            </w:r>
          </w:p>
        </w:tc>
        <w:tc>
          <w:tcPr>
            <w:tcW w:w="40" w:type="dxa"/>
            <w:vAlign w:val="bottom"/>
          </w:tcPr>
          <w:p>
            <w:pPr>
              <w:spacing w:after="0"/>
              <w:rPr>
                <w:sz w:val="5"/>
                <w:szCs w:val="5"/>
                <w:color w:val="auto"/>
              </w:rPr>
            </w:pPr>
          </w:p>
        </w:tc>
        <w:tc>
          <w:tcPr>
            <w:tcW w:w="164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restart"/>
          </w:tcPr>
          <w:p>
            <w:pPr>
              <w:jc w:val="center"/>
              <w:ind w:right="29"/>
              <w:spacing w:after="0" w:line="153" w:lineRule="exact"/>
              <w:rPr>
                <w:sz w:val="20"/>
                <w:szCs w:val="20"/>
                <w:color w:val="auto"/>
              </w:rPr>
            </w:pPr>
            <w:r>
              <w:rPr>
                <w:rFonts w:ascii="Arial" w:cs="Arial" w:eastAsia="Arial" w:hAnsi="Arial"/>
                <w:sz w:val="14"/>
                <w:szCs w:val="14"/>
                <w:color w:val="3B3838"/>
              </w:rPr>
              <w:t>BCP Bolivia</w:t>
            </w:r>
          </w:p>
        </w:tc>
        <w:tc>
          <w:tcPr>
            <w:tcW w:w="0" w:type="dxa"/>
            <w:vAlign w:val="bottom"/>
          </w:tcPr>
          <w:p>
            <w:pPr>
              <w:spacing w:after="0"/>
              <w:rPr>
                <w:sz w:val="1"/>
                <w:szCs w:val="1"/>
                <w:color w:val="auto"/>
              </w:rPr>
            </w:pPr>
          </w:p>
        </w:tc>
      </w:tr>
      <w:tr>
        <w:trPr>
          <w:trHeight w:val="87"/>
        </w:trPr>
        <w:tc>
          <w:tcPr>
            <w:tcW w:w="840" w:type="dxa"/>
            <w:vAlign w:val="bottom"/>
            <w:tcBorders>
              <w:bottom w:val="single" w:sz="8" w:color="auto"/>
              <w:right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Crediagua</w:t>
            </w:r>
          </w:p>
        </w:tc>
        <w:tc>
          <w:tcPr>
            <w:tcW w:w="40" w:type="dxa"/>
            <w:vAlign w:val="bottom"/>
          </w:tcPr>
          <w:p>
            <w:pPr>
              <w:spacing w:after="0"/>
              <w:rPr>
                <w:sz w:val="13"/>
                <w:szCs w:val="13"/>
                <w:color w:val="auto"/>
              </w:rPr>
            </w:pPr>
          </w:p>
        </w:tc>
        <w:tc>
          <w:tcPr>
            <w:tcW w:w="1640" w:type="dxa"/>
            <w:vAlign w:val="bottom"/>
            <w:tcBorders>
              <w:right w:val="single" w:sz="8" w:color="auto"/>
            </w:tcBorders>
            <w:gridSpan w:val="2"/>
          </w:tcPr>
          <w:p>
            <w:pPr>
              <w:ind w:left="20"/>
              <w:spacing w:after="0" w:line="155" w:lineRule="exact"/>
              <w:rPr>
                <w:sz w:val="20"/>
                <w:szCs w:val="20"/>
                <w:color w:val="auto"/>
              </w:rPr>
            </w:pPr>
            <w:r>
              <w:rPr>
                <w:rFonts w:ascii="Arial" w:cs="Arial" w:eastAsia="Arial" w:hAnsi="Arial"/>
                <w:sz w:val="14"/>
                <w:szCs w:val="14"/>
                <w:color w:val="3B3838"/>
              </w:rPr>
              <w:t>Financing access to</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4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tcBorders>
              <w:right w:val="single" w:sz="8" w:color="auto"/>
            </w:tcBorders>
            <w:gridSpan w:val="2"/>
            <w:vMerge w:val="restart"/>
          </w:tcPr>
          <w:p>
            <w:pPr>
              <w:ind w:left="20"/>
              <w:spacing w:after="0" w:line="160" w:lineRule="exact"/>
              <w:rPr>
                <w:sz w:val="20"/>
                <w:szCs w:val="20"/>
                <w:color w:val="auto"/>
              </w:rPr>
            </w:pPr>
            <w:r>
              <w:rPr>
                <w:rFonts w:ascii="Arial" w:cs="Arial" w:eastAsia="Arial" w:hAnsi="Arial"/>
                <w:sz w:val="14"/>
                <w:szCs w:val="14"/>
                <w:color w:val="3B3838"/>
              </w:rPr>
              <w:t>essential services</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84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40" w:type="dxa"/>
            <w:vAlign w:val="bottom"/>
            <w:tcBorders>
              <w:bottom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4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3B3838"/>
              </w:rPr>
              <w:t>A-</w:t>
            </w:r>
          </w:p>
        </w:tc>
        <w:tc>
          <w:tcPr>
            <w:tcW w:w="40" w:type="dxa"/>
            <w:vAlign w:val="bottom"/>
          </w:tcPr>
          <w:p>
            <w:pPr>
              <w:spacing w:after="0"/>
              <w:rPr>
                <w:sz w:val="13"/>
                <w:szCs w:val="13"/>
                <w:color w:val="auto"/>
              </w:rPr>
            </w:pPr>
          </w:p>
        </w:tc>
        <w:tc>
          <w:tcPr>
            <w:tcW w:w="1640" w:type="dxa"/>
            <w:vAlign w:val="bottom"/>
            <w:tcBorders>
              <w:right w:val="single" w:sz="8" w:color="auto"/>
            </w:tcBorders>
            <w:gridSpan w:val="2"/>
          </w:tcPr>
          <w:p>
            <w:pPr>
              <w:ind w:left="20"/>
              <w:spacing w:after="0" w:line="155" w:lineRule="exact"/>
              <w:rPr>
                <w:sz w:val="20"/>
                <w:szCs w:val="20"/>
                <w:color w:val="auto"/>
              </w:rPr>
            </w:pPr>
            <w:r>
              <w:rPr>
                <w:rFonts w:ascii="Arial" w:cs="Arial" w:eastAsia="Arial" w:hAnsi="Arial"/>
                <w:sz w:val="14"/>
                <w:szCs w:val="14"/>
                <w:color w:val="3B3838"/>
              </w:rPr>
              <w:t>Financial rehabilitation</w:t>
            </w:r>
          </w:p>
        </w:tc>
        <w:tc>
          <w:tcPr>
            <w:tcW w:w="80" w:type="dxa"/>
            <w:vAlign w:val="bottom"/>
          </w:tcPr>
          <w:p>
            <w:pPr>
              <w:spacing w:after="0"/>
              <w:rPr>
                <w:sz w:val="13"/>
                <w:szCs w:val="13"/>
                <w:color w:val="auto"/>
              </w:rPr>
            </w:pPr>
          </w:p>
        </w:tc>
        <w:tc>
          <w:tcPr>
            <w:tcW w:w="880" w:type="dxa"/>
            <w:vAlign w:val="bottom"/>
            <w:vMerge w:val="restart"/>
          </w:tcPr>
          <w:p>
            <w:pPr>
              <w:jc w:val="center"/>
              <w:ind w:right="29"/>
              <w:spacing w:after="0"/>
              <w:rPr>
                <w:sz w:val="20"/>
                <w:szCs w:val="20"/>
                <w:color w:val="auto"/>
              </w:rPr>
            </w:pPr>
            <w:r>
              <w:rPr>
                <w:rFonts w:ascii="Arial" w:cs="Arial" w:eastAsia="Arial" w:hAnsi="Arial"/>
                <w:sz w:val="14"/>
                <w:szCs w:val="14"/>
                <w:color w:val="auto"/>
              </w:rPr>
              <w:t>Mibanco</w:t>
            </w:r>
          </w:p>
        </w:tc>
        <w:tc>
          <w:tcPr>
            <w:tcW w:w="0" w:type="dxa"/>
            <w:vAlign w:val="bottom"/>
          </w:tcPr>
          <w:p>
            <w:pPr>
              <w:spacing w:after="0"/>
              <w:rPr>
                <w:sz w:val="1"/>
                <w:szCs w:val="1"/>
                <w:color w:val="auto"/>
              </w:rPr>
            </w:pPr>
          </w:p>
        </w:tc>
      </w:tr>
      <w:tr>
        <w:trPr>
          <w:trHeight w:val="85"/>
        </w:trPr>
        <w:tc>
          <w:tcPr>
            <w:tcW w:w="840" w:type="dxa"/>
            <w:vAlign w:val="bottom"/>
            <w:tcBorders>
              <w:right w:val="single" w:sz="8" w:color="auto"/>
            </w:tcBorders>
            <w:vMerge w:val="restart"/>
          </w:tcPr>
          <w:p>
            <w:pPr>
              <w:ind w:left="80"/>
              <w:spacing w:after="0" w:line="160" w:lineRule="exact"/>
              <w:rPr>
                <w:sz w:val="20"/>
                <w:szCs w:val="20"/>
                <w:color w:val="auto"/>
              </w:rPr>
            </w:pPr>
            <w:r>
              <w:rPr>
                <w:rFonts w:ascii="Arial" w:cs="Arial" w:eastAsia="Arial" w:hAnsi="Arial"/>
                <w:sz w:val="14"/>
                <w:szCs w:val="14"/>
                <w:color w:val="3B3838"/>
              </w:rPr>
              <w:t>morosos</w:t>
            </w:r>
          </w:p>
        </w:tc>
        <w:tc>
          <w:tcPr>
            <w:tcW w:w="40" w:type="dxa"/>
            <w:vAlign w:val="bottom"/>
          </w:tcPr>
          <w:p>
            <w:pPr>
              <w:spacing w:after="0"/>
              <w:rPr>
                <w:sz w:val="7"/>
                <w:szCs w:val="7"/>
                <w:color w:val="auto"/>
              </w:rPr>
            </w:pPr>
          </w:p>
        </w:tc>
        <w:tc>
          <w:tcPr>
            <w:tcW w:w="1640" w:type="dxa"/>
            <w:vAlign w:val="bottom"/>
            <w:tcBorders>
              <w:right w:val="single" w:sz="8" w:color="auto"/>
            </w:tcBorders>
            <w:gridSpan w:val="2"/>
            <w:vMerge w:val="restart"/>
          </w:tcPr>
          <w:p>
            <w:pPr>
              <w:ind w:left="20"/>
              <w:spacing w:after="0" w:line="160" w:lineRule="exact"/>
              <w:rPr>
                <w:sz w:val="20"/>
                <w:szCs w:val="20"/>
                <w:color w:val="auto"/>
              </w:rPr>
            </w:pPr>
            <w:r>
              <w:rPr>
                <w:rFonts w:ascii="Arial" w:cs="Arial" w:eastAsia="Arial" w:hAnsi="Arial"/>
                <w:sz w:val="14"/>
                <w:szCs w:val="14"/>
                <w:color w:val="3B3838"/>
              </w:rPr>
              <w:t>program</w:t>
            </w: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840" w:type="dxa"/>
            <w:vAlign w:val="bottom"/>
            <w:tcBorders>
              <w:bottom w:val="single" w:sz="8" w:color="auto"/>
              <w:right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40" w:type="dxa"/>
            <w:vAlign w:val="bottom"/>
            <w:tcBorders>
              <w:bottom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Simi</w:t>
            </w:r>
          </w:p>
        </w:tc>
        <w:tc>
          <w:tcPr>
            <w:tcW w:w="40" w:type="dxa"/>
            <w:vAlign w:val="bottom"/>
          </w:tcPr>
          <w:p>
            <w:pPr>
              <w:spacing w:after="0"/>
              <w:rPr>
                <w:sz w:val="13"/>
                <w:szCs w:val="13"/>
                <w:color w:val="auto"/>
              </w:rPr>
            </w:pPr>
          </w:p>
        </w:tc>
        <w:tc>
          <w:tcPr>
            <w:tcW w:w="1640" w:type="dxa"/>
            <w:vAlign w:val="bottom"/>
            <w:tcBorders>
              <w:right w:val="single" w:sz="8" w:color="auto"/>
            </w:tcBorders>
            <w:gridSpan w:val="2"/>
          </w:tcPr>
          <w:p>
            <w:pPr>
              <w:ind w:left="20"/>
              <w:spacing w:after="0" w:line="155" w:lineRule="exact"/>
              <w:rPr>
                <w:sz w:val="20"/>
                <w:szCs w:val="20"/>
                <w:color w:val="auto"/>
              </w:rPr>
            </w:pPr>
            <w:r>
              <w:rPr>
                <w:rFonts w:ascii="Arial" w:cs="Arial" w:eastAsia="Arial" w:hAnsi="Arial"/>
                <w:sz w:val="14"/>
                <w:szCs w:val="14"/>
                <w:color w:val="3B3838"/>
              </w:rPr>
              <w:t>Financial inclusion</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4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tcBorders>
              <w:right w:val="single" w:sz="8" w:color="auto"/>
            </w:tcBorders>
            <w:gridSpan w:val="2"/>
            <w:vMerge w:val="restart"/>
          </w:tcPr>
          <w:p>
            <w:pPr>
              <w:ind w:left="20"/>
              <w:spacing w:after="0" w:line="160" w:lineRule="exact"/>
              <w:rPr>
                <w:sz w:val="20"/>
                <w:szCs w:val="20"/>
                <w:color w:val="auto"/>
              </w:rPr>
            </w:pPr>
            <w:r>
              <w:rPr>
                <w:rFonts w:ascii="Arial" w:cs="Arial" w:eastAsia="Arial" w:hAnsi="Arial"/>
                <w:sz w:val="14"/>
                <w:szCs w:val="14"/>
                <w:color w:val="3B3838"/>
              </w:rPr>
              <w:t>through language</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84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40" w:type="dxa"/>
            <w:vAlign w:val="bottom"/>
            <w:tcBorders>
              <w:bottom w:val="single" w:sz="8" w:color="auto"/>
              <w:right w:val="single" w:sz="8" w:color="auto"/>
            </w:tcBorders>
            <w:gridSpan w:val="2"/>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4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3"/>
                <w:szCs w:val="13"/>
                <w:color w:val="auto"/>
              </w:rPr>
            </w:pPr>
          </w:p>
        </w:tc>
        <w:tc>
          <w:tcPr>
            <w:tcW w:w="1640" w:type="dxa"/>
            <w:vAlign w:val="bottom"/>
            <w:tcBorders>
              <w:right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Program for financial</w:t>
            </w:r>
          </w:p>
        </w:tc>
        <w:tc>
          <w:tcPr>
            <w:tcW w:w="80" w:type="dxa"/>
            <w:vAlign w:val="bottom"/>
          </w:tcPr>
          <w:p>
            <w:pPr>
              <w:spacing w:after="0"/>
              <w:rPr>
                <w:sz w:val="13"/>
                <w:szCs w:val="13"/>
                <w:color w:val="auto"/>
              </w:rPr>
            </w:pPr>
          </w:p>
        </w:tc>
        <w:tc>
          <w:tcPr>
            <w:tcW w:w="880" w:type="dxa"/>
            <w:vAlign w:val="bottom"/>
          </w:tcPr>
          <w:p>
            <w:pPr>
              <w:jc w:val="center"/>
              <w:ind w:right="29"/>
              <w:spacing w:after="0" w:line="155" w:lineRule="exact"/>
              <w:rPr>
                <w:sz w:val="20"/>
                <w:szCs w:val="20"/>
                <w:color w:val="auto"/>
              </w:rPr>
            </w:pPr>
            <w:r>
              <w:rPr>
                <w:rFonts w:ascii="Arial" w:cs="Arial" w:eastAsia="Arial" w:hAnsi="Arial"/>
                <w:sz w:val="14"/>
                <w:szCs w:val="14"/>
                <w:color w:val="3B3838"/>
              </w:rPr>
              <w:t>Mibanco</w:t>
            </w:r>
          </w:p>
        </w:tc>
        <w:tc>
          <w:tcPr>
            <w:tcW w:w="0" w:type="dxa"/>
            <w:vAlign w:val="bottom"/>
          </w:tcPr>
          <w:p>
            <w:pPr>
              <w:spacing w:after="0"/>
              <w:rPr>
                <w:sz w:val="1"/>
                <w:szCs w:val="1"/>
                <w:color w:val="auto"/>
              </w:rPr>
            </w:pPr>
          </w:p>
        </w:tc>
      </w:tr>
      <w:tr>
        <w:trPr>
          <w:trHeight w:val="160"/>
        </w:trPr>
        <w:tc>
          <w:tcPr>
            <w:tcW w:w="840" w:type="dxa"/>
            <w:vAlign w:val="bottom"/>
            <w:tcBorders>
              <w:bottom w:val="single" w:sz="8" w:color="auto"/>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morosos</w:t>
            </w:r>
          </w:p>
        </w:tc>
        <w:tc>
          <w:tcPr>
            <w:tcW w:w="4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gridSpan w:val="2"/>
          </w:tcPr>
          <w:p>
            <w:pPr>
              <w:ind w:left="20"/>
              <w:spacing w:after="0" w:line="160" w:lineRule="exact"/>
              <w:rPr>
                <w:sz w:val="20"/>
                <w:szCs w:val="20"/>
                <w:color w:val="auto"/>
              </w:rPr>
            </w:pPr>
            <w:r>
              <w:rPr>
                <w:rFonts w:ascii="Arial" w:cs="Arial" w:eastAsia="Arial" w:hAnsi="Arial"/>
                <w:sz w:val="14"/>
                <w:szCs w:val="14"/>
                <w:color w:val="auto"/>
              </w:rPr>
              <w:t>rehabilitation</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9"/>
              <w:spacing w:after="0" w:line="160" w:lineRule="exact"/>
              <w:rPr>
                <w:sz w:val="20"/>
                <w:szCs w:val="20"/>
                <w:color w:val="auto"/>
              </w:rPr>
            </w:pPr>
            <w:r>
              <w:rPr>
                <w:rFonts w:ascii="Arial" w:cs="Arial" w:eastAsia="Arial" w:hAnsi="Arial"/>
                <w:sz w:val="14"/>
                <w:szCs w:val="14"/>
                <w:color w:val="3B3838"/>
                <w:w w:val="98"/>
              </w:rPr>
              <w:t>Colombia</w:t>
            </w:r>
          </w:p>
        </w:tc>
        <w:tc>
          <w:tcPr>
            <w:tcW w:w="0" w:type="dxa"/>
            <w:vAlign w:val="bottom"/>
          </w:tcPr>
          <w:p>
            <w:pPr>
              <w:spacing w:after="0"/>
              <w:rPr>
                <w:sz w:val="1"/>
                <w:szCs w:val="1"/>
                <w:color w:val="auto"/>
              </w:rPr>
            </w:pPr>
          </w:p>
        </w:tc>
      </w:tr>
      <w:tr>
        <w:trPr>
          <w:trHeight w:val="155"/>
        </w:trPr>
        <w:tc>
          <w:tcPr>
            <w:tcW w:w="84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Savings</w:t>
            </w:r>
          </w:p>
        </w:tc>
        <w:tc>
          <w:tcPr>
            <w:tcW w:w="40" w:type="dxa"/>
            <w:vAlign w:val="bottom"/>
          </w:tcPr>
          <w:p>
            <w:pPr>
              <w:spacing w:after="0"/>
              <w:rPr>
                <w:sz w:val="13"/>
                <w:szCs w:val="13"/>
                <w:color w:val="auto"/>
              </w:rPr>
            </w:pPr>
          </w:p>
        </w:tc>
        <w:tc>
          <w:tcPr>
            <w:tcW w:w="1640" w:type="dxa"/>
            <w:vAlign w:val="bottom"/>
            <w:tcBorders>
              <w:right w:val="single" w:sz="8" w:color="auto"/>
            </w:tcBorders>
            <w:gridSpan w:val="2"/>
          </w:tcPr>
          <w:p>
            <w:pPr>
              <w:ind w:left="20"/>
              <w:spacing w:after="0" w:line="155" w:lineRule="exact"/>
              <w:rPr>
                <w:sz w:val="20"/>
                <w:szCs w:val="20"/>
                <w:color w:val="auto"/>
              </w:rPr>
            </w:pPr>
            <w:r>
              <w:rPr>
                <w:rFonts w:ascii="Arial" w:cs="Arial" w:eastAsia="Arial" w:hAnsi="Arial"/>
                <w:sz w:val="14"/>
                <w:szCs w:val="14"/>
                <w:color w:val="3B3838"/>
              </w:rPr>
              <w:t>Voluntary contributions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for the</w:t>
            </w:r>
          </w:p>
        </w:tc>
        <w:tc>
          <w:tcPr>
            <w:tcW w:w="40" w:type="dxa"/>
            <w:vAlign w:val="bottom"/>
          </w:tcPr>
          <w:p>
            <w:pPr>
              <w:spacing w:after="0"/>
              <w:rPr>
                <w:sz w:val="14"/>
                <w:szCs w:val="14"/>
                <w:color w:val="auto"/>
              </w:rPr>
            </w:pPr>
          </w:p>
        </w:tc>
        <w:tc>
          <w:tcPr>
            <w:tcW w:w="1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3B3838"/>
              </w:rPr>
              <w:t>to pension savings</w:t>
            </w:r>
          </w:p>
        </w:tc>
        <w:tc>
          <w:tcPr>
            <w:tcW w:w="80" w:type="dxa"/>
            <w:vAlign w:val="bottom"/>
          </w:tcPr>
          <w:p>
            <w:pPr>
              <w:spacing w:after="0"/>
              <w:rPr>
                <w:sz w:val="14"/>
                <w:szCs w:val="14"/>
                <w:color w:val="auto"/>
              </w:rPr>
            </w:pPr>
          </w:p>
        </w:tc>
        <w:tc>
          <w:tcPr>
            <w:tcW w:w="880" w:type="dxa"/>
            <w:vAlign w:val="bottom"/>
          </w:tcPr>
          <w:p>
            <w:pPr>
              <w:jc w:val="center"/>
              <w:ind w:right="29"/>
              <w:spacing w:after="0"/>
              <w:rPr>
                <w:sz w:val="20"/>
                <w:szCs w:val="20"/>
                <w:color w:val="auto"/>
              </w:rPr>
            </w:pPr>
            <w:r>
              <w:rPr>
                <w:rFonts w:ascii="Arial" w:cs="Arial" w:eastAsia="Arial" w:hAnsi="Arial"/>
                <w:sz w:val="14"/>
                <w:szCs w:val="14"/>
                <w:color w:val="3B3838"/>
                <w:w w:val="97"/>
              </w:rPr>
              <w:t>Prima AFP</w:t>
            </w:r>
          </w:p>
        </w:tc>
        <w:tc>
          <w:tcPr>
            <w:tcW w:w="0" w:type="dxa"/>
            <w:vAlign w:val="bottom"/>
          </w:tcPr>
          <w:p>
            <w:pPr>
              <w:spacing w:after="0"/>
              <w:rPr>
                <w:sz w:val="1"/>
                <w:szCs w:val="1"/>
                <w:color w:val="auto"/>
              </w:rPr>
            </w:pPr>
          </w:p>
        </w:tc>
      </w:tr>
      <w:tr>
        <w:trPr>
          <w:trHeight w:val="160"/>
        </w:trPr>
        <w:tc>
          <w:tcPr>
            <w:tcW w:w="840" w:type="dxa"/>
            <w:vAlign w:val="bottom"/>
            <w:tcBorders>
              <w:bottom w:val="single" w:sz="8" w:color="auto"/>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future</w:t>
            </w: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40" w:type="dxa"/>
            <w:vAlign w:val="bottom"/>
            <w:tcBorders>
              <w:right w:val="single" w:sz="8" w:color="auto"/>
            </w:tcBorders>
            <w:gridSpan w:val="2"/>
          </w:tcPr>
          <w:p>
            <w:pPr>
              <w:ind w:left="20"/>
              <w:spacing w:after="0" w:line="155" w:lineRule="exact"/>
              <w:rPr>
                <w:sz w:val="20"/>
                <w:szCs w:val="20"/>
                <w:color w:val="auto"/>
              </w:rPr>
            </w:pPr>
            <w:r>
              <w:rPr>
                <w:rFonts w:ascii="Arial" w:cs="Arial" w:eastAsia="Arial" w:hAnsi="Arial"/>
                <w:sz w:val="14"/>
                <w:szCs w:val="14"/>
                <w:color w:val="3B3838"/>
              </w:rPr>
              <w:t>Products for individuals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Inclusive</w:t>
            </w:r>
          </w:p>
        </w:tc>
        <w:tc>
          <w:tcPr>
            <w:tcW w:w="40" w:type="dxa"/>
            <w:vAlign w:val="bottom"/>
          </w:tcPr>
          <w:p>
            <w:pPr>
              <w:spacing w:after="0"/>
              <w:rPr>
                <w:sz w:val="14"/>
                <w:szCs w:val="14"/>
                <w:color w:val="auto"/>
              </w:rPr>
            </w:pPr>
          </w:p>
        </w:tc>
        <w:tc>
          <w:tcPr>
            <w:tcW w:w="1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3B3838"/>
              </w:rPr>
              <w:t>and micro, small and</w:t>
            </w:r>
          </w:p>
        </w:tc>
        <w:tc>
          <w:tcPr>
            <w:tcW w:w="80" w:type="dxa"/>
            <w:vAlign w:val="bottom"/>
          </w:tcPr>
          <w:p>
            <w:pPr>
              <w:spacing w:after="0"/>
              <w:rPr>
                <w:sz w:val="14"/>
                <w:szCs w:val="14"/>
                <w:color w:val="auto"/>
              </w:rPr>
            </w:pPr>
          </w:p>
        </w:tc>
        <w:tc>
          <w:tcPr>
            <w:tcW w:w="880" w:type="dxa"/>
            <w:vAlign w:val="bottom"/>
            <w:vMerge w:val="restart"/>
          </w:tcPr>
          <w:p>
            <w:pPr>
              <w:jc w:val="center"/>
              <w:ind w:right="29"/>
              <w:spacing w:after="0"/>
              <w:rPr>
                <w:sz w:val="20"/>
                <w:szCs w:val="20"/>
                <w:color w:val="auto"/>
              </w:rPr>
            </w:pPr>
            <w:r>
              <w:rPr>
                <w:rFonts w:ascii="Arial" w:cs="Arial" w:eastAsia="Arial" w:hAnsi="Arial"/>
                <w:sz w:val="14"/>
                <w:szCs w:val="14"/>
                <w:color w:val="3B3838"/>
              </w:rPr>
              <w:t>Pacífico</w:t>
            </w:r>
          </w:p>
        </w:tc>
        <w:tc>
          <w:tcPr>
            <w:tcW w:w="0" w:type="dxa"/>
            <w:vAlign w:val="bottom"/>
          </w:tcPr>
          <w:p>
            <w:pPr>
              <w:spacing w:after="0"/>
              <w:rPr>
                <w:sz w:val="1"/>
                <w:szCs w:val="1"/>
                <w:color w:val="auto"/>
              </w:rPr>
            </w:pPr>
          </w:p>
        </w:tc>
      </w:tr>
      <w:tr>
        <w:trPr>
          <w:trHeight w:val="81"/>
        </w:trPr>
        <w:tc>
          <w:tcPr>
            <w:tcW w:w="84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3B3838"/>
              </w:rPr>
              <w:t>medium business at a</w:t>
            </w: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insurance</w:t>
            </w:r>
          </w:p>
        </w:tc>
        <w:tc>
          <w:tcPr>
            <w:tcW w:w="40" w:type="dxa"/>
            <w:vAlign w:val="bottom"/>
          </w:tcPr>
          <w:p>
            <w:pPr>
              <w:spacing w:after="0"/>
              <w:rPr>
                <w:sz w:val="7"/>
                <w:szCs w:val="7"/>
                <w:color w:val="auto"/>
              </w:rPr>
            </w:pPr>
          </w:p>
        </w:tc>
        <w:tc>
          <w:tcPr>
            <w:tcW w:w="164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29"/>
              <w:spacing w:after="0"/>
              <w:rPr>
                <w:sz w:val="20"/>
                <w:szCs w:val="20"/>
                <w:color w:val="auto"/>
              </w:rPr>
            </w:pPr>
            <w:r>
              <w:rPr>
                <w:rFonts w:ascii="Arial" w:cs="Arial" w:eastAsia="Arial" w:hAnsi="Arial"/>
                <w:sz w:val="14"/>
                <w:szCs w:val="14"/>
                <w:color w:val="3B3838"/>
                <w:w w:val="95"/>
              </w:rPr>
              <w:t>Seguros</w:t>
            </w:r>
          </w:p>
        </w:tc>
        <w:tc>
          <w:tcPr>
            <w:tcW w:w="0" w:type="dxa"/>
            <w:vAlign w:val="bottom"/>
          </w:tcPr>
          <w:p>
            <w:pPr>
              <w:spacing w:after="0"/>
              <w:rPr>
                <w:sz w:val="1"/>
                <w:szCs w:val="1"/>
                <w:color w:val="auto"/>
              </w:rPr>
            </w:pPr>
          </w:p>
        </w:tc>
      </w:tr>
      <w:tr>
        <w:trPr>
          <w:trHeight w:val="85"/>
        </w:trPr>
        <w:tc>
          <w:tcPr>
            <w:tcW w:w="84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3B3838"/>
              </w:rPr>
              <w:t>low cost via mass</w:t>
            </w: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gridSpan w:val="2"/>
          </w:tcPr>
          <w:p>
            <w:pPr>
              <w:ind w:left="20"/>
              <w:spacing w:after="0" w:line="160" w:lineRule="exact"/>
              <w:rPr>
                <w:sz w:val="20"/>
                <w:szCs w:val="20"/>
                <w:color w:val="auto"/>
              </w:rPr>
            </w:pPr>
            <w:r>
              <w:rPr>
                <w:rFonts w:ascii="Arial" w:cs="Arial" w:eastAsia="Arial" w:hAnsi="Arial"/>
                <w:sz w:val="14"/>
                <w:szCs w:val="14"/>
                <w:color w:val="3B3838"/>
              </w:rPr>
              <w:t>channels</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gridSpan w:val="6"/>
          </w:tcPr>
          <w:p>
            <w:pPr>
              <w:ind w:left="80"/>
              <w:spacing w:after="0" w:line="164" w:lineRule="exact"/>
              <w:rPr>
                <w:sz w:val="20"/>
                <w:szCs w:val="20"/>
                <w:color w:val="auto"/>
              </w:rPr>
            </w:pPr>
            <w:r>
              <w:rPr>
                <w:rFonts w:ascii="Arial" w:cs="Arial" w:eastAsia="Arial" w:hAnsi="Arial"/>
                <w:sz w:val="15"/>
                <w:szCs w:val="15"/>
                <w:b w:val="1"/>
                <w:bCs w:val="1"/>
                <w:color w:val="3B3838"/>
              </w:rPr>
              <w:t>HELP SMALL BUSINESSES GROW</w:t>
            </w:r>
          </w:p>
        </w:tc>
        <w:tc>
          <w:tcPr>
            <w:tcW w:w="0" w:type="dxa"/>
            <w:vAlign w:val="bottom"/>
          </w:tcPr>
          <w:p>
            <w:pPr>
              <w:spacing w:after="0"/>
              <w:rPr>
                <w:sz w:val="1"/>
                <w:szCs w:val="1"/>
                <w:color w:val="auto"/>
              </w:rPr>
            </w:pPr>
          </w:p>
        </w:tc>
      </w:tr>
      <w:tr>
        <w:trPr>
          <w:trHeight w:val="164"/>
        </w:trPr>
        <w:tc>
          <w:tcPr>
            <w:tcW w:w="880" w:type="dxa"/>
            <w:vAlign w:val="bottom"/>
            <w:tcBorders>
              <w:left w:val="single" w:sz="8" w:color="auto"/>
              <w:bottom w:val="single" w:sz="8" w:color="auto"/>
            </w:tcBorders>
            <w:gridSpan w:val="2"/>
          </w:tcPr>
          <w:p>
            <w:pPr>
              <w:ind w:left="240"/>
              <w:spacing w:after="0" w:line="164" w:lineRule="exact"/>
              <w:rPr>
                <w:sz w:val="20"/>
                <w:szCs w:val="20"/>
                <w:color w:val="auto"/>
              </w:rPr>
            </w:pPr>
            <w:r>
              <w:rPr>
                <w:rFonts w:ascii="Arial" w:cs="Arial" w:eastAsia="Arial" w:hAnsi="Arial"/>
                <w:sz w:val="15"/>
                <w:szCs w:val="15"/>
                <w:b w:val="1"/>
                <w:bCs w:val="1"/>
                <w:color w:val="3B3838"/>
              </w:rPr>
              <w:t>Initiative</w:t>
            </w:r>
          </w:p>
        </w:tc>
        <w:tc>
          <w:tcPr>
            <w:tcW w:w="26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3B3838"/>
              </w:rPr>
              <w:t>Description</w:t>
            </w:r>
          </w:p>
        </w:tc>
        <w:tc>
          <w:tcPr>
            <w:tcW w:w="8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3B3838"/>
              </w:rPr>
              <w:t>Company</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tcBorders>
            <w:gridSpan w:val="2"/>
          </w:tcPr>
          <w:p>
            <w:pPr>
              <w:ind w:left="80"/>
              <w:spacing w:after="0" w:line="148" w:lineRule="exact"/>
              <w:rPr>
                <w:sz w:val="20"/>
                <w:szCs w:val="20"/>
                <w:color w:val="auto"/>
              </w:rPr>
            </w:pPr>
            <w:r>
              <w:rPr>
                <w:rFonts w:ascii="Arial" w:cs="Arial" w:eastAsia="Arial" w:hAnsi="Arial"/>
                <w:sz w:val="15"/>
                <w:szCs w:val="15"/>
                <w:i w:val="1"/>
                <w:iCs w:val="1"/>
                <w:color w:val="3B3838"/>
              </w:rPr>
              <w:t>Beyond</w:t>
            </w:r>
          </w:p>
        </w:tc>
        <w:tc>
          <w:tcPr>
            <w:tcW w:w="260" w:type="dxa"/>
            <w:vAlign w:val="bottom"/>
            <w:tcBorders>
              <w:right w:val="single" w:sz="8" w:color="auto"/>
            </w:tcBorders>
          </w:tcPr>
          <w:p>
            <w:pPr>
              <w:spacing w:after="0"/>
              <w:rPr>
                <w:sz w:val="12"/>
                <w:szCs w:val="12"/>
                <w:color w:val="auto"/>
              </w:rPr>
            </w:pPr>
          </w:p>
        </w:tc>
        <w:tc>
          <w:tcPr>
            <w:tcW w:w="1380" w:type="dxa"/>
            <w:vAlign w:val="bottom"/>
          </w:tcPr>
          <w:p>
            <w:pPr>
              <w:ind w:left="60"/>
              <w:spacing w:after="0" w:line="148" w:lineRule="exact"/>
              <w:rPr>
                <w:sz w:val="20"/>
                <w:szCs w:val="20"/>
                <w:color w:val="auto"/>
              </w:rPr>
            </w:pPr>
            <w:r>
              <w:rPr>
                <w:rFonts w:ascii="Arial" w:cs="Arial" w:eastAsia="Arial" w:hAnsi="Arial"/>
                <w:sz w:val="15"/>
                <w:szCs w:val="15"/>
                <w:color w:val="3B3838"/>
              </w:rPr>
              <w:t>Tools to formalize</w:t>
            </w:r>
          </w:p>
        </w:tc>
        <w:tc>
          <w:tcPr>
            <w:tcW w:w="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i w:val="1"/>
                <w:iCs w:val="1"/>
                <w:color w:val="3B3838"/>
              </w:rPr>
              <w:t>Banking</w:t>
            </w:r>
          </w:p>
        </w:tc>
        <w:tc>
          <w:tcPr>
            <w:tcW w:w="26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3B3838"/>
              </w:rPr>
              <w:t>companies</w:t>
            </w:r>
          </w:p>
        </w:tc>
        <w:tc>
          <w:tcPr>
            <w:tcW w:w="80" w:type="dxa"/>
            <w:vAlign w:val="bottom"/>
            <w:tcBorders>
              <w:bottom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4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380" w:type="dxa"/>
            <w:vAlign w:val="bottom"/>
          </w:tcPr>
          <w:p>
            <w:pPr>
              <w:ind w:left="60"/>
              <w:spacing w:after="0" w:line="164" w:lineRule="exact"/>
              <w:rPr>
                <w:sz w:val="20"/>
                <w:szCs w:val="20"/>
                <w:color w:val="auto"/>
              </w:rPr>
            </w:pPr>
            <w:r>
              <w:rPr>
                <w:rFonts w:ascii="Arial" w:cs="Arial" w:eastAsia="Arial" w:hAnsi="Arial"/>
                <w:sz w:val="15"/>
                <w:szCs w:val="15"/>
                <w:color w:val="3B3838"/>
              </w:rPr>
              <w:t>No-cost education</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5"/>
                <w:szCs w:val="15"/>
                <w:color w:val="3B3838"/>
              </w:rPr>
              <w:t>Contigo</w:t>
            </w:r>
          </w:p>
        </w:tc>
        <w:tc>
          <w:tcPr>
            <w:tcW w:w="260" w:type="dxa"/>
            <w:vAlign w:val="bottom"/>
            <w:tcBorders>
              <w:right w:val="single" w:sz="8" w:color="auto"/>
            </w:tcBorders>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5"/>
                <w:szCs w:val="15"/>
                <w:color w:val="3B3838"/>
              </w:rPr>
              <w:t>program to drive</w:t>
            </w:r>
          </w:p>
        </w:tc>
        <w:tc>
          <w:tcPr>
            <w:tcW w:w="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880" w:type="dxa"/>
            <w:vAlign w:val="bottom"/>
            <w:tcBorders>
              <w:left w:val="single" w:sz="8" w:color="auto"/>
            </w:tcBorders>
            <w:gridSpan w:val="2"/>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380" w:type="dxa"/>
            <w:vAlign w:val="bottom"/>
            <w:vMerge w:val="restart"/>
          </w:tcPr>
          <w:p>
            <w:pPr>
              <w:ind w:left="60"/>
              <w:spacing w:after="0"/>
              <w:rPr>
                <w:sz w:val="20"/>
                <w:szCs w:val="20"/>
                <w:color w:val="auto"/>
              </w:rPr>
            </w:pPr>
            <w:r>
              <w:rPr>
                <w:rFonts w:ascii="Arial" w:cs="Arial" w:eastAsia="Arial" w:hAnsi="Arial"/>
                <w:sz w:val="15"/>
                <w:szCs w:val="15"/>
                <w:color w:val="3B3838"/>
              </w:rPr>
              <w:t>development of</w:t>
            </w:r>
          </w:p>
        </w:tc>
        <w:tc>
          <w:tcPr>
            <w:tcW w:w="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3B3838"/>
              </w:rPr>
              <w:t>Emprendedor</w:t>
            </w:r>
          </w:p>
        </w:tc>
        <w:tc>
          <w:tcPr>
            <w:tcW w:w="138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BCP</w:t>
            </w:r>
          </w:p>
        </w:tc>
        <w:tc>
          <w:tcPr>
            <w:tcW w:w="0" w:type="dxa"/>
            <w:vAlign w:val="bottom"/>
          </w:tcPr>
          <w:p>
            <w:pPr>
              <w:spacing w:after="0"/>
              <w:rPr>
                <w:sz w:val="1"/>
                <w:szCs w:val="1"/>
                <w:color w:val="auto"/>
              </w:rPr>
            </w:pPr>
          </w:p>
        </w:tc>
      </w:tr>
      <w:tr>
        <w:trPr>
          <w:trHeight w:val="93"/>
        </w:trPr>
        <w:tc>
          <w:tcPr>
            <w:tcW w:w="1140" w:type="dxa"/>
            <w:vAlign w:val="bottom"/>
            <w:tcBorders>
              <w:left w:val="single" w:sz="8" w:color="auto"/>
              <w:right w:val="single" w:sz="8" w:color="auto"/>
            </w:tcBorders>
            <w:gridSpan w:val="3"/>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Arial" w:cs="Arial" w:eastAsia="Arial" w:hAnsi="Arial"/>
                <w:sz w:val="15"/>
                <w:szCs w:val="15"/>
                <w:color w:val="3B3838"/>
              </w:rPr>
              <w:t>micro and small</w:t>
            </w:r>
          </w:p>
        </w:tc>
        <w:tc>
          <w:tcPr>
            <w:tcW w:w="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4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38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84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3B3838"/>
              </w:rPr>
              <w:t>businesses</w:t>
            </w:r>
          </w:p>
        </w:tc>
        <w:tc>
          <w:tcPr>
            <w:tcW w:w="80" w:type="dxa"/>
            <w:vAlign w:val="bottom"/>
            <w:tcBorders>
              <w:bottom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5"/>
                <w:szCs w:val="15"/>
                <w:color w:val="3B3838"/>
              </w:rPr>
              <w:t>Drive for</w:t>
            </w:r>
          </w:p>
        </w:tc>
        <w:tc>
          <w:tcPr>
            <w:tcW w:w="260" w:type="dxa"/>
            <w:vAlign w:val="bottom"/>
            <w:tcBorders>
              <w:right w:val="single" w:sz="8" w:color="auto"/>
            </w:tcBorders>
          </w:tcPr>
          <w:p>
            <w:pPr>
              <w:spacing w:after="0"/>
              <w:rPr>
                <w:sz w:val="14"/>
                <w:szCs w:val="14"/>
                <w:color w:val="auto"/>
              </w:rPr>
            </w:pPr>
          </w:p>
        </w:tc>
        <w:tc>
          <w:tcPr>
            <w:tcW w:w="1380" w:type="dxa"/>
            <w:vAlign w:val="bottom"/>
          </w:tcPr>
          <w:p>
            <w:pPr>
              <w:ind w:left="60"/>
              <w:spacing w:after="0" w:line="164" w:lineRule="exact"/>
              <w:rPr>
                <w:sz w:val="20"/>
                <w:szCs w:val="20"/>
                <w:color w:val="auto"/>
              </w:rPr>
            </w:pPr>
            <w:r>
              <w:rPr>
                <w:rFonts w:ascii="Arial" w:cs="Arial" w:eastAsia="Arial" w:hAnsi="Arial"/>
                <w:sz w:val="15"/>
                <w:szCs w:val="15"/>
                <w:color w:val="3B3838"/>
              </w:rPr>
              <w:t>Working capital</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880" w:type="dxa"/>
            <w:vAlign w:val="bottom"/>
            <w:tcBorders>
              <w:left w:val="single" w:sz="8" w:color="auto"/>
            </w:tcBorders>
            <w:gridSpan w:val="2"/>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380" w:type="dxa"/>
            <w:vAlign w:val="bottom"/>
            <w:vMerge w:val="restart"/>
          </w:tcPr>
          <w:p>
            <w:pPr>
              <w:ind w:left="60"/>
              <w:spacing w:after="0"/>
              <w:rPr>
                <w:sz w:val="20"/>
                <w:szCs w:val="20"/>
                <w:color w:val="auto"/>
              </w:rPr>
            </w:pPr>
            <w:r>
              <w:rPr>
                <w:rFonts w:ascii="Arial" w:cs="Arial" w:eastAsia="Arial" w:hAnsi="Arial"/>
                <w:sz w:val="15"/>
                <w:szCs w:val="15"/>
                <w:color w:val="3B3838"/>
              </w:rPr>
              <w:t>loans and invoice</w:t>
            </w:r>
          </w:p>
        </w:tc>
        <w:tc>
          <w:tcPr>
            <w:tcW w:w="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8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5"/>
                <w:szCs w:val="15"/>
                <w:color w:val="3B3838"/>
              </w:rPr>
              <w:t>PYMES</w:t>
            </w:r>
          </w:p>
        </w:tc>
        <w:tc>
          <w:tcPr>
            <w:tcW w:w="260" w:type="dxa"/>
            <w:vAlign w:val="bottom"/>
            <w:tcBorders>
              <w:right w:val="single" w:sz="8" w:color="auto"/>
            </w:tcBorders>
          </w:tcPr>
          <w:p>
            <w:pPr>
              <w:spacing w:after="0"/>
              <w:rPr>
                <w:sz w:val="8"/>
                <w:szCs w:val="8"/>
                <w:color w:val="auto"/>
              </w:rPr>
            </w:pPr>
          </w:p>
        </w:tc>
        <w:tc>
          <w:tcPr>
            <w:tcW w:w="138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80" w:type="dxa"/>
            <w:vAlign w:val="bottom"/>
            <w:tcBorders>
              <w:left w:val="single" w:sz="8" w:color="auto"/>
            </w:tcBorders>
            <w:gridSpan w:val="2"/>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Arial" w:cs="Arial" w:eastAsia="Arial" w:hAnsi="Arial"/>
                <w:sz w:val="15"/>
                <w:szCs w:val="15"/>
                <w:color w:val="3B3838"/>
              </w:rPr>
              <w:t>discounting</w:t>
            </w:r>
          </w:p>
        </w:tc>
        <w:tc>
          <w:tcPr>
            <w:tcW w:w="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4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84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380" w:type="dxa"/>
            <w:vAlign w:val="bottom"/>
          </w:tcPr>
          <w:p>
            <w:pPr>
              <w:ind w:left="60"/>
              <w:spacing w:after="0" w:line="164" w:lineRule="exact"/>
              <w:rPr>
                <w:sz w:val="20"/>
                <w:szCs w:val="20"/>
                <w:color w:val="auto"/>
              </w:rPr>
            </w:pPr>
            <w:r>
              <w:rPr>
                <w:rFonts w:ascii="Arial" w:cs="Arial" w:eastAsia="Arial" w:hAnsi="Arial"/>
                <w:sz w:val="15"/>
                <w:szCs w:val="15"/>
                <w:color w:val="3B3838"/>
              </w:rPr>
              <w:t>Micro loans to</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5"/>
                <w:szCs w:val="15"/>
                <w:color w:val="3B3838"/>
              </w:rPr>
              <w:t>Juniy</w:t>
            </w:r>
          </w:p>
        </w:tc>
        <w:tc>
          <w:tcPr>
            <w:tcW w:w="260" w:type="dxa"/>
            <w:vAlign w:val="bottom"/>
            <w:tcBorders>
              <w:right w:val="single" w:sz="8" w:color="auto"/>
            </w:tcBorders>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5"/>
                <w:szCs w:val="15"/>
                <w:color w:val="3B3838"/>
              </w:rPr>
              <w:t>bank people</w:t>
            </w:r>
          </w:p>
        </w:tc>
        <w:tc>
          <w:tcPr>
            <w:tcW w:w="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80" w:type="dxa"/>
            <w:vAlign w:val="bottom"/>
            <w:tcBorders>
              <w:left w:val="single" w:sz="8" w:color="auto"/>
            </w:tcBorders>
            <w:gridSpan w:val="2"/>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Arial" w:cs="Arial" w:eastAsia="Arial" w:hAnsi="Arial"/>
                <w:sz w:val="15"/>
                <w:szCs w:val="15"/>
                <w:color w:val="3B3838"/>
              </w:rPr>
              <w:t>through digital</w:t>
            </w:r>
          </w:p>
        </w:tc>
        <w:tc>
          <w:tcPr>
            <w:tcW w:w="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4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38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84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3B3838"/>
              </w:rPr>
              <w:t>channels</w:t>
            </w:r>
          </w:p>
        </w:tc>
        <w:tc>
          <w:tcPr>
            <w:tcW w:w="80" w:type="dxa"/>
            <w:vAlign w:val="bottom"/>
            <w:tcBorders>
              <w:bottom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4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380" w:type="dxa"/>
            <w:vAlign w:val="bottom"/>
          </w:tcPr>
          <w:p>
            <w:pPr>
              <w:ind w:left="60"/>
              <w:spacing w:after="0" w:line="164" w:lineRule="exact"/>
              <w:rPr>
                <w:sz w:val="20"/>
                <w:szCs w:val="20"/>
                <w:color w:val="auto"/>
              </w:rPr>
            </w:pPr>
            <w:r>
              <w:rPr>
                <w:rFonts w:ascii="Arial" w:cs="Arial" w:eastAsia="Arial" w:hAnsi="Arial"/>
                <w:sz w:val="15"/>
                <w:szCs w:val="15"/>
                <w:color w:val="3B3838"/>
              </w:rPr>
              <w:t>Online platform for</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Mibanco</w:t>
            </w:r>
          </w:p>
        </w:tc>
        <w:tc>
          <w:tcPr>
            <w:tcW w:w="0" w:type="dxa"/>
            <w:vAlign w:val="bottom"/>
          </w:tcPr>
          <w:p>
            <w:pPr>
              <w:spacing w:after="0"/>
              <w:rPr>
                <w:sz w:val="1"/>
                <w:szCs w:val="1"/>
                <w:color w:val="auto"/>
              </w:rPr>
            </w:pPr>
          </w:p>
        </w:tc>
      </w:tr>
      <w:tr>
        <w:trPr>
          <w:trHeight w:val="93"/>
        </w:trPr>
        <w:tc>
          <w:tcPr>
            <w:tcW w:w="84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Arial" w:cs="Arial" w:eastAsia="Arial" w:hAnsi="Arial"/>
                <w:sz w:val="15"/>
                <w:szCs w:val="15"/>
                <w:color w:val="3B3838"/>
              </w:rPr>
              <w:t>businesses with</w:t>
            </w:r>
          </w:p>
        </w:tc>
        <w:tc>
          <w:tcPr>
            <w:tcW w:w="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4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38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8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color w:val="3B3838"/>
              </w:rPr>
              <w:t>Yevo</w:t>
            </w:r>
          </w:p>
        </w:tc>
        <w:tc>
          <w:tcPr>
            <w:tcW w:w="260" w:type="dxa"/>
            <w:vAlign w:val="bottom"/>
            <w:tcBorders>
              <w:right w:val="single" w:sz="8" w:color="auto"/>
            </w:tcBorders>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5"/>
                <w:szCs w:val="15"/>
                <w:color w:val="3B3838"/>
              </w:rPr>
              <w:t>educational</w:t>
            </w:r>
          </w:p>
        </w:tc>
        <w:tc>
          <w:tcPr>
            <w:tcW w:w="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5"/>
                <w:szCs w:val="15"/>
                <w:color w:val="3B3838"/>
              </w:rPr>
              <w:t>content and</w:t>
            </w:r>
          </w:p>
        </w:tc>
        <w:tc>
          <w:tcPr>
            <w:tcW w:w="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5"/>
                <w:szCs w:val="15"/>
                <w:color w:val="3B3838"/>
              </w:rPr>
              <w:t>access to financial</w:t>
            </w:r>
          </w:p>
        </w:tc>
        <w:tc>
          <w:tcPr>
            <w:tcW w:w="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3B3838"/>
              </w:rPr>
              <w:t>products</w:t>
            </w:r>
          </w:p>
        </w:tc>
        <w:tc>
          <w:tcPr>
            <w:tcW w:w="8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3B3838"/>
        </w:rPr>
        <w:t>SIMPLICITY AND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2211070" cy="21304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11070" cy="213042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4"/>
        </w:trPr>
        <w:tc>
          <w:tcPr>
            <w:tcW w:w="920" w:type="dxa"/>
            <w:vAlign w:val="bottom"/>
            <w:tcBorders>
              <w:top w:val="single" w:sz="8" w:color="auto"/>
              <w:bottom w:val="single" w:sz="8" w:color="auto"/>
              <w:right w:val="single" w:sz="8" w:color="auto"/>
            </w:tcBorders>
          </w:tcPr>
          <w:p>
            <w:pPr>
              <w:ind w:left="140"/>
              <w:spacing w:after="0" w:line="164" w:lineRule="exact"/>
              <w:rPr>
                <w:sz w:val="20"/>
                <w:szCs w:val="20"/>
                <w:color w:val="auto"/>
              </w:rPr>
            </w:pPr>
            <w:r>
              <w:rPr>
                <w:rFonts w:ascii="Arial" w:cs="Arial" w:eastAsia="Arial" w:hAnsi="Arial"/>
                <w:sz w:val="15"/>
                <w:szCs w:val="15"/>
                <w:b w:val="1"/>
                <w:bCs w:val="1"/>
                <w:color w:val="3B3838"/>
              </w:rPr>
              <w:t>Initiative</w:t>
            </w:r>
          </w:p>
        </w:tc>
        <w:tc>
          <w:tcPr>
            <w:tcW w:w="4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right w:val="single" w:sz="8" w:color="auto"/>
            </w:tcBorders>
          </w:tcPr>
          <w:p>
            <w:pPr>
              <w:ind w:left="40"/>
              <w:spacing w:after="0" w:line="164" w:lineRule="exact"/>
              <w:rPr>
                <w:sz w:val="20"/>
                <w:szCs w:val="20"/>
                <w:color w:val="auto"/>
              </w:rPr>
            </w:pPr>
            <w:r>
              <w:rPr>
                <w:rFonts w:ascii="Arial" w:cs="Arial" w:eastAsia="Arial" w:hAnsi="Arial"/>
                <w:sz w:val="15"/>
                <w:szCs w:val="15"/>
                <w:b w:val="1"/>
                <w:bCs w:val="1"/>
                <w:color w:val="3B3838"/>
              </w:rPr>
              <w:t>Description</w:t>
            </w:r>
          </w:p>
        </w:tc>
        <w:tc>
          <w:tcPr>
            <w:tcW w:w="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3B3838"/>
              </w:rPr>
              <w:t>Company</w:t>
            </w:r>
          </w:p>
        </w:tc>
        <w:tc>
          <w:tcPr>
            <w:tcW w:w="0" w:type="dxa"/>
            <w:vAlign w:val="bottom"/>
          </w:tcPr>
          <w:p>
            <w:pPr>
              <w:spacing w:after="0"/>
              <w:rPr>
                <w:sz w:val="1"/>
                <w:szCs w:val="1"/>
                <w:color w:val="auto"/>
              </w:rPr>
            </w:pPr>
          </w:p>
        </w:tc>
      </w:tr>
      <w:tr>
        <w:trPr>
          <w:trHeight w:val="164"/>
        </w:trPr>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3B3838"/>
              </w:rPr>
              <w:t>Mi Estado</w:t>
            </w:r>
          </w:p>
        </w:tc>
        <w:tc>
          <w:tcPr>
            <w:tcW w:w="40" w:type="dxa"/>
            <w:vAlign w:val="bottom"/>
          </w:tcPr>
          <w:p>
            <w:pPr>
              <w:spacing w:after="0"/>
              <w:rPr>
                <w:sz w:val="14"/>
                <w:szCs w:val="14"/>
                <w:color w:val="auto"/>
              </w:rPr>
            </w:pPr>
          </w:p>
        </w:tc>
        <w:tc>
          <w:tcPr>
            <w:tcW w:w="160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3B3838"/>
              </w:rPr>
              <w:t>New, simplified</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3B3838"/>
              </w:rPr>
              <w:t>format for account</w:t>
            </w:r>
          </w:p>
        </w:tc>
        <w:tc>
          <w:tcPr>
            <w:tcW w:w="4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color w:val="3B3838"/>
              </w:rPr>
              <w:t>Prima AFP</w:t>
            </w:r>
          </w:p>
        </w:tc>
        <w:tc>
          <w:tcPr>
            <w:tcW w:w="0" w:type="dxa"/>
            <w:vAlign w:val="bottom"/>
          </w:tcPr>
          <w:p>
            <w:pPr>
              <w:spacing w:after="0"/>
              <w:rPr>
                <w:sz w:val="1"/>
                <w:szCs w:val="1"/>
                <w:color w:val="auto"/>
              </w:rPr>
            </w:pPr>
          </w:p>
        </w:tc>
      </w:tr>
      <w:tr>
        <w:trPr>
          <w:trHeight w:val="92"/>
        </w:trPr>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3B3838"/>
              </w:rPr>
              <w:t>Prima</w:t>
            </w:r>
          </w:p>
        </w:tc>
        <w:tc>
          <w:tcPr>
            <w:tcW w:w="40" w:type="dxa"/>
            <w:vAlign w:val="bottom"/>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92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3B3838"/>
              </w:rPr>
              <w:t>statements</w:t>
            </w: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3B3838"/>
              </w:rPr>
              <w:t>Prioritizes initiatives</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3B3838"/>
              </w:rPr>
              <w:t>Points of</w:t>
            </w:r>
          </w:p>
        </w:tc>
        <w:tc>
          <w:tcPr>
            <w:tcW w:w="40" w:type="dxa"/>
            <w:vAlign w:val="bottom"/>
          </w:tcPr>
          <w:p>
            <w:pPr>
              <w:spacing w:after="0"/>
              <w:rPr>
                <w:sz w:val="15"/>
                <w:szCs w:val="15"/>
                <w:color w:val="auto"/>
              </w:rPr>
            </w:pP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3B3838"/>
              </w:rPr>
              <w:t>to resolve complaints</w:t>
            </w:r>
          </w:p>
        </w:tc>
        <w:tc>
          <w:tcPr>
            <w:tcW w:w="4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color w:val="3B3838"/>
              </w:rPr>
              <w:t>Pacífico</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3B3838"/>
              </w:rPr>
              <w:t>about Simplicity and</w:t>
            </w:r>
          </w:p>
        </w:tc>
        <w:tc>
          <w:tcPr>
            <w:tcW w:w="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3B3838"/>
              </w:rPr>
              <w:t>Contact</w:t>
            </w:r>
          </w:p>
        </w:tc>
        <w:tc>
          <w:tcPr>
            <w:tcW w:w="40" w:type="dxa"/>
            <w:vAlign w:val="bottom"/>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color w:val="3B3838"/>
              </w:rPr>
              <w:t>Seguros</w:t>
            </w:r>
          </w:p>
        </w:tc>
        <w:tc>
          <w:tcPr>
            <w:tcW w:w="0" w:type="dxa"/>
            <w:vAlign w:val="bottom"/>
          </w:tcPr>
          <w:p>
            <w:pPr>
              <w:spacing w:after="0"/>
              <w:rPr>
                <w:sz w:val="1"/>
                <w:szCs w:val="1"/>
                <w:color w:val="auto"/>
              </w:rPr>
            </w:pPr>
          </w:p>
        </w:tc>
      </w:tr>
      <w:tr>
        <w:trPr>
          <w:trHeight w:val="93"/>
        </w:trPr>
        <w:tc>
          <w:tcPr>
            <w:tcW w:w="92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3B3838"/>
              </w:rPr>
              <w:t>Transparency at</w:t>
            </w:r>
          </w:p>
        </w:tc>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9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0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3B3838"/>
              </w:rPr>
              <w:t>points of contact</w:t>
            </w: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center"/>
              <w:spacing w:after="0" w:line="164" w:lineRule="exact"/>
              <w:rPr>
                <w:sz w:val="20"/>
                <w:szCs w:val="20"/>
                <w:color w:val="auto"/>
              </w:rPr>
            </w:pPr>
            <w:r>
              <w:rPr>
                <w:rFonts w:ascii="Arial" w:cs="Arial" w:eastAsia="Arial" w:hAnsi="Arial"/>
                <w:sz w:val="15"/>
                <w:szCs w:val="15"/>
                <w:color w:val="3B3838"/>
              </w:rPr>
              <w:t>Prima</w:t>
            </w:r>
          </w:p>
        </w:tc>
        <w:tc>
          <w:tcPr>
            <w:tcW w:w="0" w:type="dxa"/>
            <w:vAlign w:val="bottom"/>
          </w:tcPr>
          <w:p>
            <w:pPr>
              <w:spacing w:after="0"/>
              <w:rPr>
                <w:sz w:val="1"/>
                <w:szCs w:val="1"/>
                <w:color w:val="auto"/>
              </w:rPr>
            </w:pPr>
          </w:p>
        </w:tc>
      </w:tr>
      <w:tr>
        <w:trPr>
          <w:trHeight w:val="173"/>
        </w:trPr>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3B3838"/>
              </w:rPr>
              <w:t>AFP,</w:t>
            </w:r>
          </w:p>
        </w:tc>
        <w:tc>
          <w:tcPr>
            <w:tcW w:w="0" w:type="dxa"/>
            <w:vAlign w:val="bottom"/>
          </w:tcPr>
          <w:p>
            <w:pPr>
              <w:spacing w:after="0"/>
              <w:rPr>
                <w:sz w:val="1"/>
                <w:szCs w:val="1"/>
                <w:color w:val="auto"/>
              </w:rPr>
            </w:pPr>
          </w:p>
        </w:tc>
      </w:tr>
      <w:tr>
        <w:trPr>
          <w:trHeight w:val="173"/>
        </w:trPr>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3B3838"/>
              </w:rPr>
              <w:t>Half-year</w:t>
            </w:r>
          </w:p>
        </w:tc>
        <w:tc>
          <w:tcPr>
            <w:tcW w:w="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3B3838"/>
              </w:rPr>
              <w:t>Pacífico</w:t>
            </w:r>
          </w:p>
        </w:tc>
        <w:tc>
          <w:tcPr>
            <w:tcW w:w="0" w:type="dxa"/>
            <w:vAlign w:val="bottom"/>
          </w:tcPr>
          <w:p>
            <w:pPr>
              <w:spacing w:after="0"/>
              <w:rPr>
                <w:sz w:val="1"/>
                <w:szCs w:val="1"/>
                <w:color w:val="auto"/>
              </w:rPr>
            </w:pPr>
          </w:p>
        </w:tc>
      </w:tr>
      <w:tr>
        <w:trPr>
          <w:trHeight w:val="173"/>
        </w:trPr>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3B3838"/>
              </w:rPr>
              <w:t>Measuring</w:t>
            </w:r>
          </w:p>
        </w:tc>
        <w:tc>
          <w:tcPr>
            <w:tcW w:w="40" w:type="dxa"/>
            <w:vAlign w:val="bottom"/>
          </w:tcPr>
          <w:p>
            <w:pPr>
              <w:spacing w:after="0"/>
              <w:rPr>
                <w:sz w:val="15"/>
                <w:szCs w:val="15"/>
                <w:color w:val="auto"/>
              </w:rPr>
            </w:pP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3B3838"/>
              </w:rPr>
              <w:t>assessment of</w:t>
            </w:r>
          </w:p>
        </w:tc>
        <w:tc>
          <w:tcPr>
            <w:tcW w:w="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3B3838"/>
              </w:rPr>
              <w:t>Seguros,</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3B3838"/>
              </w:rPr>
              <w:t>clients’ perceptions</w:t>
            </w:r>
          </w:p>
        </w:tc>
        <w:tc>
          <w:tcPr>
            <w:tcW w:w="4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color w:val="3B3838"/>
              </w:rPr>
              <w:t>Credicorp</w:t>
            </w:r>
          </w:p>
        </w:tc>
        <w:tc>
          <w:tcPr>
            <w:tcW w:w="0" w:type="dxa"/>
            <w:vAlign w:val="bottom"/>
          </w:tcPr>
          <w:p>
            <w:pPr>
              <w:spacing w:after="0"/>
              <w:rPr>
                <w:sz w:val="1"/>
                <w:szCs w:val="1"/>
                <w:color w:val="auto"/>
              </w:rPr>
            </w:pPr>
          </w:p>
        </w:tc>
      </w:tr>
      <w:tr>
        <w:trPr>
          <w:trHeight w:val="92"/>
        </w:trPr>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3B3838"/>
              </w:rPr>
              <w:t>S&amp;T</w:t>
            </w:r>
          </w:p>
        </w:tc>
        <w:tc>
          <w:tcPr>
            <w:tcW w:w="40" w:type="dxa"/>
            <w:vAlign w:val="bottom"/>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92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3B3838"/>
              </w:rPr>
              <w:t>of simplicity and</w:t>
            </w:r>
          </w:p>
        </w:tc>
        <w:tc>
          <w:tcPr>
            <w:tcW w:w="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color w:val="3B3838"/>
              </w:rPr>
              <w:t>Capital,</w:t>
            </w:r>
          </w:p>
        </w:tc>
        <w:tc>
          <w:tcPr>
            <w:tcW w:w="0" w:type="dxa"/>
            <w:vAlign w:val="bottom"/>
          </w:tcPr>
          <w:p>
            <w:pPr>
              <w:spacing w:after="0"/>
              <w:rPr>
                <w:sz w:val="1"/>
                <w:szCs w:val="1"/>
                <w:color w:val="auto"/>
              </w:rPr>
            </w:pPr>
          </w:p>
        </w:tc>
      </w:tr>
      <w:tr>
        <w:trPr>
          <w:trHeight w:val="80"/>
        </w:trPr>
        <w:tc>
          <w:tcPr>
            <w:tcW w:w="9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0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3B3838"/>
              </w:rPr>
              <w:t>transparency</w:t>
            </w:r>
          </w:p>
        </w:tc>
        <w:tc>
          <w:tcPr>
            <w:tcW w:w="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3B3838"/>
                <w:w w:val="97"/>
              </w:rPr>
              <w:t>BCP</w:t>
            </w:r>
          </w:p>
        </w:tc>
        <w:tc>
          <w:tcPr>
            <w:tcW w:w="0" w:type="dxa"/>
            <w:vAlign w:val="bottom"/>
          </w:tcPr>
          <w:p>
            <w:pPr>
              <w:spacing w:after="0"/>
              <w:rPr>
                <w:sz w:val="1"/>
                <w:szCs w:val="1"/>
                <w:color w:val="auto"/>
              </w:rPr>
            </w:pPr>
          </w:p>
        </w:tc>
      </w:tr>
      <w:tr>
        <w:trPr>
          <w:trHeight w:val="173"/>
        </w:trPr>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3B3838"/>
              </w:rPr>
              <w:t>Bolivia,</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B3838"/>
              </w:rPr>
              <w:t>Mibanco</w:t>
            </w:r>
          </w:p>
        </w:tc>
        <w:tc>
          <w:tcPr>
            <w:tcW w:w="0" w:type="dxa"/>
            <w:vAlign w:val="bottom"/>
          </w:tcPr>
          <w:p>
            <w:pPr>
              <w:spacing w:after="0"/>
              <w:rPr>
                <w:sz w:val="1"/>
                <w:szCs w:val="1"/>
                <w:color w:val="auto"/>
              </w:rPr>
            </w:pPr>
          </w:p>
        </w:tc>
      </w:tr>
      <w:tr>
        <w:trPr>
          <w:trHeight w:val="199"/>
        </w:trPr>
        <w:tc>
          <w:tcPr>
            <w:tcW w:w="348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480" w:type="dxa"/>
            <w:vAlign w:val="bottom"/>
            <w:tcBorders>
              <w:left w:val="single" w:sz="8" w:color="auto"/>
              <w:right w:val="single" w:sz="8" w:color="auto"/>
            </w:tcBorders>
            <w:gridSpan w:val="5"/>
          </w:tcPr>
          <w:p>
            <w:pPr>
              <w:ind w:left="100"/>
              <w:spacing w:after="0" w:line="146" w:lineRule="exact"/>
              <w:rPr>
                <w:sz w:val="20"/>
                <w:szCs w:val="20"/>
                <w:color w:val="auto"/>
              </w:rPr>
            </w:pPr>
            <w:r>
              <w:rPr>
                <w:rFonts w:ascii="Arial" w:cs="Arial" w:eastAsia="Arial" w:hAnsi="Arial"/>
                <w:sz w:val="15"/>
                <w:szCs w:val="15"/>
                <w:b w:val="1"/>
                <w:bCs w:val="1"/>
                <w:color w:val="3B3838"/>
              </w:rPr>
              <w:t>OPPORTUNITIES AND PRODUCTS FOR</w:t>
            </w:r>
          </w:p>
        </w:tc>
        <w:tc>
          <w:tcPr>
            <w:tcW w:w="0" w:type="dxa"/>
            <w:vAlign w:val="bottom"/>
          </w:tcPr>
          <w:p>
            <w:pPr>
              <w:spacing w:after="0"/>
              <w:rPr>
                <w:sz w:val="1"/>
                <w:szCs w:val="1"/>
                <w:color w:val="auto"/>
              </w:rPr>
            </w:pPr>
          </w:p>
        </w:tc>
      </w:tr>
      <w:tr>
        <w:trPr>
          <w:trHeight w:val="192"/>
        </w:trPr>
        <w:tc>
          <w:tcPr>
            <w:tcW w:w="9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3B3838"/>
              </w:rPr>
              <w:t>WOMEN</w:t>
            </w: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bottom w:val="single" w:sz="8" w:color="auto"/>
            </w:tcBorders>
          </w:tcPr>
          <w:p>
            <w:pPr>
              <w:ind w:left="100"/>
              <w:spacing w:after="0" w:line="164" w:lineRule="exact"/>
              <w:rPr>
                <w:sz w:val="20"/>
                <w:szCs w:val="20"/>
                <w:color w:val="auto"/>
              </w:rPr>
            </w:pPr>
            <w:r>
              <w:rPr>
                <w:rFonts w:ascii="Arial" w:cs="Arial" w:eastAsia="Arial" w:hAnsi="Arial"/>
                <w:sz w:val="15"/>
                <w:szCs w:val="15"/>
                <w:b w:val="1"/>
                <w:bCs w:val="1"/>
                <w:color w:val="3B3838"/>
              </w:rPr>
              <w:t>Initiative</w:t>
            </w:r>
          </w:p>
        </w:tc>
        <w:tc>
          <w:tcPr>
            <w:tcW w:w="4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3B3838"/>
              </w:rPr>
              <w:t>Description</w:t>
            </w:r>
          </w:p>
        </w:tc>
        <w:tc>
          <w:tcPr>
            <w:tcW w:w="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3B3838"/>
              </w:rPr>
              <w:t>Company</w:t>
            </w:r>
          </w:p>
        </w:tc>
        <w:tc>
          <w:tcPr>
            <w:tcW w:w="0" w:type="dxa"/>
            <w:vAlign w:val="bottom"/>
          </w:tcPr>
          <w:p>
            <w:pPr>
              <w:spacing w:after="0"/>
              <w:rPr>
                <w:sz w:val="1"/>
                <w:szCs w:val="1"/>
                <w:color w:val="auto"/>
              </w:rPr>
            </w:pPr>
          </w:p>
        </w:tc>
      </w:tr>
      <w:tr>
        <w:trPr>
          <w:trHeight w:val="164"/>
        </w:trPr>
        <w:tc>
          <w:tcPr>
            <w:tcW w:w="920" w:type="dxa"/>
            <w:vAlign w:val="bottom"/>
            <w:tcBorders>
              <w:left w:val="single" w:sz="8" w:color="auto"/>
            </w:tcBorders>
          </w:tcPr>
          <w:p>
            <w:pPr>
              <w:ind w:left="100"/>
              <w:spacing w:after="0" w:line="164" w:lineRule="exact"/>
              <w:rPr>
                <w:sz w:val="20"/>
                <w:szCs w:val="20"/>
                <w:color w:val="auto"/>
              </w:rPr>
            </w:pPr>
            <w:r>
              <w:rPr>
                <w:rFonts w:ascii="Arial" w:cs="Arial" w:eastAsia="Arial" w:hAnsi="Arial"/>
                <w:sz w:val="15"/>
                <w:szCs w:val="15"/>
                <w:color w:val="3B3838"/>
              </w:rPr>
              <w:t>Crédito</w:t>
            </w:r>
          </w:p>
        </w:tc>
        <w:tc>
          <w:tcPr>
            <w:tcW w:w="40" w:type="dxa"/>
            <w:vAlign w:val="bottom"/>
            <w:tcBorders>
              <w:right w:val="single" w:sz="8" w:color="auto"/>
            </w:tcBorders>
          </w:tcPr>
          <w:p>
            <w:pPr>
              <w:spacing w:after="0"/>
              <w:rPr>
                <w:sz w:val="14"/>
                <w:szCs w:val="14"/>
                <w:color w:val="auto"/>
              </w:rPr>
            </w:pPr>
          </w:p>
        </w:tc>
        <w:tc>
          <w:tcPr>
            <w:tcW w:w="1600" w:type="dxa"/>
            <w:vAlign w:val="bottom"/>
          </w:tcPr>
          <w:p>
            <w:pPr>
              <w:ind w:left="80"/>
              <w:spacing w:after="0" w:line="164" w:lineRule="exact"/>
              <w:rPr>
                <w:sz w:val="20"/>
                <w:szCs w:val="20"/>
                <w:color w:val="auto"/>
              </w:rPr>
            </w:pPr>
            <w:r>
              <w:rPr>
                <w:rFonts w:ascii="Arial" w:cs="Arial" w:eastAsia="Arial" w:hAnsi="Arial"/>
                <w:sz w:val="15"/>
                <w:szCs w:val="15"/>
                <w:color w:val="3B3838"/>
              </w:rPr>
              <w:t>Inclusive credit for</w:t>
            </w:r>
          </w:p>
        </w:tc>
        <w:tc>
          <w:tcPr>
            <w:tcW w:w="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3B3838"/>
              </w:rPr>
              <w:t>Mibanco</w:t>
            </w: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3B3838"/>
              </w:rPr>
              <w:t>Mujer</w:t>
            </w:r>
          </w:p>
        </w:tc>
        <w:tc>
          <w:tcPr>
            <w:tcW w:w="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3B3838"/>
              </w:rPr>
              <w:t>women</w:t>
            </w:r>
          </w:p>
        </w:tc>
        <w:tc>
          <w:tcPr>
            <w:tcW w:w="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3B3838"/>
              </w:rPr>
              <w:t>Perú</w:t>
            </w:r>
          </w:p>
        </w:tc>
        <w:tc>
          <w:tcPr>
            <w:tcW w:w="0" w:type="dxa"/>
            <w:vAlign w:val="bottom"/>
          </w:tcPr>
          <w:p>
            <w:pPr>
              <w:spacing w:after="0"/>
              <w:rPr>
                <w:sz w:val="1"/>
                <w:szCs w:val="1"/>
                <w:color w:val="auto"/>
              </w:rPr>
            </w:pPr>
          </w:p>
        </w:tc>
      </w:tr>
      <w:tr>
        <w:trPr>
          <w:trHeight w:val="164"/>
        </w:trPr>
        <w:tc>
          <w:tcPr>
            <w:tcW w:w="920" w:type="dxa"/>
            <w:vAlign w:val="bottom"/>
            <w:tcBorders>
              <w:left w:val="single" w:sz="8" w:color="auto"/>
            </w:tcBorders>
          </w:tcPr>
          <w:p>
            <w:pPr>
              <w:ind w:left="100"/>
              <w:spacing w:after="0" w:line="164" w:lineRule="exact"/>
              <w:rPr>
                <w:sz w:val="20"/>
                <w:szCs w:val="20"/>
                <w:color w:val="auto"/>
              </w:rPr>
            </w:pPr>
            <w:r>
              <w:rPr>
                <w:rFonts w:ascii="Arial" w:cs="Arial" w:eastAsia="Arial" w:hAnsi="Arial"/>
                <w:sz w:val="15"/>
                <w:szCs w:val="15"/>
                <w:color w:val="3B3838"/>
              </w:rPr>
              <w:t>Female</w:t>
            </w:r>
          </w:p>
        </w:tc>
        <w:tc>
          <w:tcPr>
            <w:tcW w:w="40" w:type="dxa"/>
            <w:vAlign w:val="bottom"/>
            <w:tcBorders>
              <w:right w:val="single" w:sz="8" w:color="auto"/>
            </w:tcBorders>
          </w:tcPr>
          <w:p>
            <w:pPr>
              <w:spacing w:after="0"/>
              <w:rPr>
                <w:sz w:val="14"/>
                <w:szCs w:val="14"/>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color w:val="3B3838"/>
              </w:rPr>
              <w:t>Gender focus in</w:t>
            </w:r>
          </w:p>
        </w:tc>
        <w:tc>
          <w:tcPr>
            <w:tcW w:w="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Credicorp</w:t>
            </w:r>
          </w:p>
        </w:tc>
        <w:tc>
          <w:tcPr>
            <w:tcW w:w="0" w:type="dxa"/>
            <w:vAlign w:val="bottom"/>
          </w:tcPr>
          <w:p>
            <w:pPr>
              <w:spacing w:after="0"/>
              <w:rPr>
                <w:sz w:val="1"/>
                <w:szCs w:val="1"/>
                <w:color w:val="auto"/>
              </w:rPr>
            </w:pPr>
          </w:p>
        </w:tc>
      </w:tr>
      <w:tr>
        <w:trPr>
          <w:trHeight w:val="81"/>
        </w:trPr>
        <w:tc>
          <w:tcPr>
            <w:tcW w:w="920" w:type="dxa"/>
            <w:vAlign w:val="bottom"/>
            <w:tcBorders>
              <w:left w:val="single" w:sz="8" w:color="auto"/>
            </w:tcBorders>
            <w:vMerge w:val="restart"/>
          </w:tcPr>
          <w:p>
            <w:pPr>
              <w:ind w:left="100"/>
              <w:spacing w:after="0"/>
              <w:rPr>
                <w:sz w:val="20"/>
                <w:szCs w:val="20"/>
                <w:color w:val="auto"/>
              </w:rPr>
            </w:pPr>
            <w:r>
              <w:rPr>
                <w:rFonts w:ascii="Arial" w:cs="Arial" w:eastAsia="Arial" w:hAnsi="Arial"/>
                <w:sz w:val="15"/>
                <w:szCs w:val="15"/>
                <w:color w:val="3B3838"/>
              </w:rPr>
              <w:t>Centric</w:t>
            </w:r>
          </w:p>
        </w:tc>
        <w:tc>
          <w:tcPr>
            <w:tcW w:w="40" w:type="dxa"/>
            <w:vAlign w:val="bottom"/>
            <w:tcBorders>
              <w:right w:val="single" w:sz="8" w:color="auto"/>
            </w:tcBorders>
          </w:tcPr>
          <w:p>
            <w:pPr>
              <w:spacing w:after="0"/>
              <w:rPr>
                <w:sz w:val="7"/>
                <w:szCs w:val="7"/>
                <w:color w:val="auto"/>
              </w:rPr>
            </w:pPr>
          </w:p>
        </w:tc>
        <w:tc>
          <w:tcPr>
            <w:tcW w:w="1600" w:type="dxa"/>
            <w:vAlign w:val="bottom"/>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20" w:type="dxa"/>
            <w:vAlign w:val="bottom"/>
            <w:tcBorders>
              <w:left w:val="single" w:sz="8" w:color="auto"/>
            </w:tcBorders>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color w:val="3B3838"/>
              </w:rPr>
              <w:t>Wealth Management</w:t>
            </w:r>
          </w:p>
        </w:tc>
        <w:tc>
          <w:tcPr>
            <w:tcW w:w="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Capital</w:t>
            </w:r>
          </w:p>
        </w:tc>
        <w:tc>
          <w:tcPr>
            <w:tcW w:w="0" w:type="dxa"/>
            <w:vAlign w:val="bottom"/>
          </w:tcPr>
          <w:p>
            <w:pPr>
              <w:spacing w:after="0"/>
              <w:rPr>
                <w:sz w:val="1"/>
                <w:szCs w:val="1"/>
                <w:color w:val="auto"/>
              </w:rPr>
            </w:pPr>
          </w:p>
        </w:tc>
      </w:tr>
      <w:tr>
        <w:trPr>
          <w:trHeight w:val="93"/>
        </w:trPr>
        <w:tc>
          <w:tcPr>
            <w:tcW w:w="920" w:type="dxa"/>
            <w:vAlign w:val="bottom"/>
            <w:tcBorders>
              <w:left w:val="single" w:sz="8" w:color="auto"/>
            </w:tcBorders>
            <w:vMerge w:val="restart"/>
          </w:tcPr>
          <w:p>
            <w:pPr>
              <w:ind w:left="100"/>
              <w:spacing w:after="0"/>
              <w:rPr>
                <w:sz w:val="20"/>
                <w:szCs w:val="20"/>
                <w:color w:val="auto"/>
              </w:rPr>
            </w:pPr>
            <w:r>
              <w:rPr>
                <w:rFonts w:ascii="Arial" w:cs="Arial" w:eastAsia="Arial" w:hAnsi="Arial"/>
                <w:sz w:val="15"/>
                <w:szCs w:val="15"/>
                <w:color w:val="3B3838"/>
              </w:rPr>
              <w:t>Approach</w:t>
            </w:r>
          </w:p>
        </w:tc>
        <w:tc>
          <w:tcPr>
            <w:tcW w:w="40" w:type="dxa"/>
            <w:vAlign w:val="bottom"/>
            <w:tcBorders>
              <w:right w:val="single" w:sz="8" w:color="auto"/>
            </w:tcBorders>
          </w:tcPr>
          <w:p>
            <w:pPr>
              <w:spacing w:after="0"/>
              <w:rPr>
                <w:sz w:val="8"/>
                <w:szCs w:val="8"/>
                <w:color w:val="auto"/>
              </w:rPr>
            </w:pPr>
          </w:p>
        </w:tc>
        <w:tc>
          <w:tcPr>
            <w:tcW w:w="1600" w:type="dxa"/>
            <w:vAlign w:val="bottom"/>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auto"/>
              <w:bottom w:val="single" w:sz="8" w:color="auto"/>
            </w:tcBorders>
            <w:vMerge w:val="continue"/>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tcBorders>
          </w:tcPr>
          <w:p>
            <w:pPr>
              <w:ind w:left="100"/>
              <w:spacing w:after="0" w:line="164" w:lineRule="exact"/>
              <w:rPr>
                <w:sz w:val="20"/>
                <w:szCs w:val="20"/>
                <w:color w:val="auto"/>
              </w:rPr>
            </w:pPr>
            <w:r>
              <w:rPr>
                <w:rFonts w:ascii="Arial" w:cs="Arial" w:eastAsia="Arial" w:hAnsi="Arial"/>
                <w:sz w:val="15"/>
                <w:szCs w:val="15"/>
                <w:color w:val="3B3838"/>
              </w:rPr>
              <w:t>Alliance</w:t>
            </w:r>
          </w:p>
        </w:tc>
        <w:tc>
          <w:tcPr>
            <w:tcW w:w="4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tcBorders>
          </w:tcPr>
          <w:p>
            <w:pPr>
              <w:ind w:left="100"/>
              <w:spacing w:after="0"/>
              <w:rPr>
                <w:sz w:val="20"/>
                <w:szCs w:val="20"/>
                <w:color w:val="auto"/>
              </w:rPr>
            </w:pPr>
            <w:r>
              <w:rPr>
                <w:rFonts w:ascii="Arial" w:cs="Arial" w:eastAsia="Arial" w:hAnsi="Arial"/>
                <w:sz w:val="15"/>
                <w:szCs w:val="15"/>
                <w:color w:val="3B3838"/>
              </w:rPr>
              <w:t>with the</w:t>
            </w:r>
          </w:p>
        </w:tc>
        <w:tc>
          <w:tcPr>
            <w:tcW w:w="40" w:type="dxa"/>
            <w:vAlign w:val="bottom"/>
            <w:tcBorders>
              <w:right w:val="single" w:sz="8" w:color="auto"/>
            </w:tcBorders>
          </w:tcPr>
          <w:p>
            <w:pPr>
              <w:spacing w:after="0"/>
              <w:rPr>
                <w:sz w:val="15"/>
                <w:szCs w:val="15"/>
                <w:color w:val="auto"/>
              </w:rPr>
            </w:pPr>
          </w:p>
        </w:tc>
        <w:tc>
          <w:tcPr>
            <w:tcW w:w="1600" w:type="dxa"/>
            <w:vAlign w:val="bottom"/>
          </w:tcPr>
          <w:p>
            <w:pPr>
              <w:ind w:left="80"/>
              <w:spacing w:after="0"/>
              <w:rPr>
                <w:sz w:val="20"/>
                <w:szCs w:val="20"/>
                <w:color w:val="auto"/>
              </w:rPr>
            </w:pPr>
            <w:r>
              <w:rPr>
                <w:rFonts w:ascii="Arial" w:cs="Arial" w:eastAsia="Arial" w:hAnsi="Arial"/>
                <w:sz w:val="15"/>
                <w:szCs w:val="15"/>
                <w:color w:val="3B3838"/>
              </w:rPr>
              <w:t>Financial education</w:t>
            </w:r>
          </w:p>
        </w:tc>
        <w:tc>
          <w:tcPr>
            <w:tcW w:w="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BCP</w:t>
            </w:r>
          </w:p>
        </w:tc>
        <w:tc>
          <w:tcPr>
            <w:tcW w:w="0" w:type="dxa"/>
            <w:vAlign w:val="bottom"/>
          </w:tcPr>
          <w:p>
            <w:pPr>
              <w:spacing w:after="0"/>
              <w:rPr>
                <w:sz w:val="1"/>
                <w:szCs w:val="1"/>
                <w:color w:val="auto"/>
              </w:rPr>
            </w:pPr>
          </w:p>
        </w:tc>
      </w:tr>
      <w:tr>
        <w:trPr>
          <w:trHeight w:val="81"/>
        </w:trPr>
        <w:tc>
          <w:tcPr>
            <w:tcW w:w="920" w:type="dxa"/>
            <w:vAlign w:val="bottom"/>
            <w:tcBorders>
              <w:left w:val="single" w:sz="8" w:color="auto"/>
            </w:tcBorders>
            <w:vMerge w:val="restart"/>
          </w:tcPr>
          <w:p>
            <w:pPr>
              <w:ind w:left="100"/>
              <w:spacing w:after="0"/>
              <w:rPr>
                <w:sz w:val="20"/>
                <w:szCs w:val="20"/>
                <w:color w:val="auto"/>
              </w:rPr>
            </w:pPr>
            <w:r>
              <w:rPr>
                <w:rFonts w:ascii="Arial" w:cs="Arial" w:eastAsia="Arial" w:hAnsi="Arial"/>
                <w:sz w:val="15"/>
                <w:szCs w:val="15"/>
                <w:color w:val="3B3838"/>
              </w:rPr>
              <w:t>Fundación</w:t>
            </w:r>
          </w:p>
        </w:tc>
        <w:tc>
          <w:tcPr>
            <w:tcW w:w="40" w:type="dxa"/>
            <w:vAlign w:val="bottom"/>
            <w:tcBorders>
              <w:right w:val="single" w:sz="8" w:color="auto"/>
            </w:tcBorders>
          </w:tcPr>
          <w:p>
            <w:pPr>
              <w:spacing w:after="0"/>
              <w:rPr>
                <w:sz w:val="7"/>
                <w:szCs w:val="7"/>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color w:val="3B3838"/>
              </w:rPr>
              <w:t>for women who own</w:t>
            </w:r>
          </w:p>
        </w:tc>
        <w:tc>
          <w:tcPr>
            <w:tcW w:w="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20" w:type="dxa"/>
            <w:vAlign w:val="bottom"/>
            <w:tcBorders>
              <w:left w:val="single" w:sz="8" w:color="auto"/>
            </w:tcBorders>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600" w:type="dxa"/>
            <w:vAlign w:val="bottom"/>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Bolivia</w:t>
            </w:r>
          </w:p>
        </w:tc>
        <w:tc>
          <w:tcPr>
            <w:tcW w:w="0" w:type="dxa"/>
            <w:vAlign w:val="bottom"/>
          </w:tcPr>
          <w:p>
            <w:pPr>
              <w:spacing w:after="0"/>
              <w:rPr>
                <w:sz w:val="1"/>
                <w:szCs w:val="1"/>
                <w:color w:val="auto"/>
              </w:rPr>
            </w:pPr>
          </w:p>
        </w:tc>
      </w:tr>
      <w:tr>
        <w:trPr>
          <w:trHeight w:val="93"/>
        </w:trPr>
        <w:tc>
          <w:tcPr>
            <w:tcW w:w="920" w:type="dxa"/>
            <w:vAlign w:val="bottom"/>
            <w:tcBorders>
              <w:left w:val="single" w:sz="8" w:color="auto"/>
            </w:tcBorders>
            <w:vMerge w:val="restart"/>
          </w:tcPr>
          <w:p>
            <w:pPr>
              <w:ind w:left="100"/>
              <w:spacing w:after="0"/>
              <w:rPr>
                <w:sz w:val="20"/>
                <w:szCs w:val="20"/>
                <w:color w:val="auto"/>
              </w:rPr>
            </w:pPr>
            <w:r>
              <w:rPr>
                <w:rFonts w:ascii="Arial" w:cs="Arial" w:eastAsia="Arial" w:hAnsi="Arial"/>
                <w:sz w:val="15"/>
                <w:szCs w:val="15"/>
                <w:color w:val="3B3838"/>
              </w:rPr>
              <w:t>Emprender</w:t>
            </w:r>
          </w:p>
        </w:tc>
        <w:tc>
          <w:tcPr>
            <w:tcW w:w="40" w:type="dxa"/>
            <w:vAlign w:val="bottom"/>
            <w:tcBorders>
              <w:right w:val="single" w:sz="8" w:color="auto"/>
            </w:tcBorders>
          </w:tcPr>
          <w:p>
            <w:pPr>
              <w:spacing w:after="0"/>
              <w:rPr>
                <w:sz w:val="8"/>
                <w:szCs w:val="8"/>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color w:val="3B3838"/>
              </w:rPr>
              <w:t>microbusinesses</w:t>
            </w:r>
          </w:p>
        </w:tc>
        <w:tc>
          <w:tcPr>
            <w:tcW w:w="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92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600" w:type="dxa"/>
            <w:vAlign w:val="bottom"/>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3B3838"/>
              </w:rPr>
              <w:t>Futuro</w:t>
            </w:r>
          </w:p>
        </w:tc>
        <w:tc>
          <w:tcPr>
            <w:tcW w:w="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600" w:type="dxa"/>
            <w:vAlign w:val="bottom"/>
          </w:tcPr>
          <w:p>
            <w:pPr>
              <w:ind w:left="80"/>
              <w:spacing w:after="0" w:line="164" w:lineRule="exact"/>
              <w:rPr>
                <w:sz w:val="20"/>
                <w:szCs w:val="20"/>
                <w:color w:val="auto"/>
              </w:rPr>
            </w:pPr>
            <w:r>
              <w:rPr>
                <w:rFonts w:ascii="Arial" w:cs="Arial" w:eastAsia="Arial" w:hAnsi="Arial"/>
                <w:sz w:val="15"/>
                <w:szCs w:val="15"/>
                <w:color w:val="3B3838"/>
              </w:rPr>
              <w:t>Specific inclusive</w:t>
            </w:r>
          </w:p>
        </w:tc>
        <w:tc>
          <w:tcPr>
            <w:tcW w:w="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tcBorders>
            <w:vMerge w:val="restart"/>
          </w:tcPr>
          <w:p>
            <w:pPr>
              <w:ind w:left="100"/>
              <w:spacing w:after="0"/>
              <w:rPr>
                <w:sz w:val="20"/>
                <w:szCs w:val="20"/>
                <w:color w:val="auto"/>
              </w:rPr>
            </w:pPr>
            <w:r>
              <w:rPr>
                <w:rFonts w:ascii="Arial" w:cs="Arial" w:eastAsia="Arial" w:hAnsi="Arial"/>
                <w:sz w:val="15"/>
                <w:szCs w:val="15"/>
                <w:color w:val="3B3838"/>
              </w:rPr>
              <w:t>Mujeres</w:t>
            </w:r>
          </w:p>
        </w:tc>
        <w:tc>
          <w:tcPr>
            <w:tcW w:w="40" w:type="dxa"/>
            <w:vAlign w:val="bottom"/>
            <w:tcBorders>
              <w:right w:val="single" w:sz="8" w:color="auto"/>
            </w:tcBorders>
          </w:tcPr>
          <w:p>
            <w:pPr>
              <w:spacing w:after="0"/>
              <w:rPr>
                <w:sz w:val="15"/>
                <w:szCs w:val="15"/>
                <w:color w:val="auto"/>
              </w:rPr>
            </w:pPr>
          </w:p>
        </w:tc>
        <w:tc>
          <w:tcPr>
            <w:tcW w:w="1600" w:type="dxa"/>
            <w:vAlign w:val="bottom"/>
          </w:tcPr>
          <w:p>
            <w:pPr>
              <w:ind w:left="80"/>
              <w:spacing w:after="0"/>
              <w:rPr>
                <w:sz w:val="20"/>
                <w:szCs w:val="20"/>
                <w:color w:val="auto"/>
              </w:rPr>
            </w:pPr>
            <w:r>
              <w:rPr>
                <w:rFonts w:ascii="Arial" w:cs="Arial" w:eastAsia="Arial" w:hAnsi="Arial"/>
                <w:sz w:val="15"/>
                <w:szCs w:val="15"/>
                <w:color w:val="3B3838"/>
              </w:rPr>
              <w:t>financing for women,</w:t>
            </w:r>
          </w:p>
        </w:tc>
        <w:tc>
          <w:tcPr>
            <w:tcW w:w="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Mibanco</w:t>
            </w:r>
          </w:p>
        </w:tc>
        <w:tc>
          <w:tcPr>
            <w:tcW w:w="0" w:type="dxa"/>
            <w:vAlign w:val="bottom"/>
          </w:tcPr>
          <w:p>
            <w:pPr>
              <w:spacing w:after="0"/>
              <w:rPr>
                <w:sz w:val="1"/>
                <w:szCs w:val="1"/>
                <w:color w:val="auto"/>
              </w:rPr>
            </w:pPr>
          </w:p>
        </w:tc>
      </w:tr>
      <w:tr>
        <w:trPr>
          <w:trHeight w:val="81"/>
        </w:trPr>
        <w:tc>
          <w:tcPr>
            <w:tcW w:w="920" w:type="dxa"/>
            <w:vAlign w:val="bottom"/>
            <w:tcBorders>
              <w:lef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color w:val="3B3838"/>
              </w:rPr>
              <w:t>finances working</w:t>
            </w:r>
          </w:p>
        </w:tc>
        <w:tc>
          <w:tcPr>
            <w:tcW w:w="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20" w:type="dxa"/>
            <w:vAlign w:val="bottom"/>
            <w:tcBorders>
              <w:left w:val="single" w:sz="8" w:color="auto"/>
            </w:tcBorders>
            <w:vMerge w:val="restart"/>
          </w:tcPr>
          <w:p>
            <w:pPr>
              <w:ind w:left="100"/>
              <w:spacing w:after="0"/>
              <w:rPr>
                <w:sz w:val="20"/>
                <w:szCs w:val="20"/>
                <w:color w:val="auto"/>
              </w:rPr>
            </w:pPr>
            <w:r>
              <w:rPr>
                <w:rFonts w:ascii="Arial" w:cs="Arial" w:eastAsia="Arial" w:hAnsi="Arial"/>
                <w:sz w:val="15"/>
                <w:szCs w:val="15"/>
                <w:color w:val="3B3838"/>
              </w:rPr>
              <w:t>Pa’Lante</w:t>
            </w:r>
          </w:p>
        </w:tc>
        <w:tc>
          <w:tcPr>
            <w:tcW w:w="40" w:type="dxa"/>
            <w:vAlign w:val="bottom"/>
            <w:tcBorders>
              <w:right w:val="single" w:sz="8" w:color="auto"/>
            </w:tcBorders>
          </w:tcPr>
          <w:p>
            <w:pPr>
              <w:spacing w:after="0"/>
              <w:rPr>
                <w:sz w:val="8"/>
                <w:szCs w:val="8"/>
                <w:color w:val="auto"/>
              </w:rPr>
            </w:pPr>
          </w:p>
        </w:tc>
        <w:tc>
          <w:tcPr>
            <w:tcW w:w="1600" w:type="dxa"/>
            <w:vAlign w:val="bottom"/>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3B3838"/>
              </w:rPr>
              <w:t>Colombia</w:t>
            </w:r>
          </w:p>
        </w:tc>
        <w:tc>
          <w:tcPr>
            <w:tcW w:w="0" w:type="dxa"/>
            <w:vAlign w:val="bottom"/>
          </w:tcPr>
          <w:p>
            <w:pPr>
              <w:spacing w:after="0"/>
              <w:rPr>
                <w:sz w:val="1"/>
                <w:szCs w:val="1"/>
                <w:color w:val="auto"/>
              </w:rPr>
            </w:pPr>
          </w:p>
        </w:tc>
      </w:tr>
      <w:tr>
        <w:trPr>
          <w:trHeight w:val="93"/>
        </w:trPr>
        <w:tc>
          <w:tcPr>
            <w:tcW w:w="920" w:type="dxa"/>
            <w:vAlign w:val="bottom"/>
            <w:tcBorders>
              <w:left w:val="single" w:sz="8" w:color="auto"/>
            </w:tcBorders>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color w:val="3B3838"/>
              </w:rPr>
              <w:t>capital and fixed</w:t>
            </w:r>
          </w:p>
        </w:tc>
        <w:tc>
          <w:tcPr>
            <w:tcW w:w="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920" w:type="dxa"/>
            <w:vAlign w:val="bottom"/>
            <w:tcBorders>
              <w:lef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600" w:type="dxa"/>
            <w:vAlign w:val="bottom"/>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3B3838"/>
              </w:rPr>
              <w:t>assets</w:t>
            </w:r>
          </w:p>
        </w:tc>
        <w:tc>
          <w:tcPr>
            <w:tcW w:w="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812800</wp:posOffset>
            </wp:positionV>
            <wp:extent cx="715264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B3838"/>
        </w:rPr>
        <w:t>Sustainable AuMs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2211070" cy="33820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11070" cy="338201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60" w:type="dxa"/>
            <w:vAlign w:val="bottom"/>
            <w:tcBorders>
              <w:top w:val="single" w:sz="8" w:color="auto"/>
              <w:bottom w:val="single" w:sz="8" w:color="auto"/>
              <w:right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3B3838"/>
              </w:rPr>
              <w:t>Initiative</w:t>
            </w:r>
          </w:p>
        </w:tc>
        <w:tc>
          <w:tcPr>
            <w:tcW w:w="1620" w:type="dxa"/>
            <w:vAlign w:val="bottom"/>
            <w:tcBorders>
              <w:top w:val="single" w:sz="8" w:color="auto"/>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3B3838"/>
              </w:rPr>
              <w:t>Description</w:t>
            </w:r>
          </w:p>
        </w:tc>
        <w:tc>
          <w:tcPr>
            <w:tcW w:w="80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3B3838"/>
              </w:rPr>
              <w:t>Company</w:t>
            </w: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3B3838"/>
              </w:rPr>
              <w:t>ESG</w:t>
            </w: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Policies and programs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programs</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to integrate ESG</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and policies</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factors in investment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in investment</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3B3838"/>
                <w:w w:val="98"/>
              </w:rPr>
              <w:t>Prima</w:t>
            </w: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decisions</w:t>
            </w: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60" w:type="dxa"/>
            <w:vAlign w:val="bottom"/>
            <w:tcBorders>
              <w:right w:val="single" w:sz="8" w:color="auto"/>
            </w:tcBorders>
            <w:vMerge w:val="restart"/>
          </w:tcPr>
          <w:p>
            <w:pPr>
              <w:ind w:left="100"/>
              <w:spacing w:after="0" w:line="160" w:lineRule="exact"/>
              <w:rPr>
                <w:sz w:val="20"/>
                <w:szCs w:val="20"/>
                <w:color w:val="auto"/>
              </w:rPr>
            </w:pPr>
            <w:r>
              <w:rPr>
                <w:rFonts w:ascii="Arial" w:cs="Arial" w:eastAsia="Arial" w:hAnsi="Arial"/>
                <w:sz w:val="14"/>
                <w:szCs w:val="14"/>
                <w:color w:val="3B3838"/>
              </w:rPr>
              <w:t>decisions</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vMerge w:val="restart"/>
          </w:tcPr>
          <w:p>
            <w:pPr>
              <w:jc w:val="center"/>
              <w:spacing w:after="0" w:line="160" w:lineRule="exact"/>
              <w:rPr>
                <w:sz w:val="20"/>
                <w:szCs w:val="20"/>
                <w:color w:val="auto"/>
              </w:rPr>
            </w:pPr>
            <w:r>
              <w:rPr>
                <w:rFonts w:ascii="Arial" w:cs="Arial" w:eastAsia="Arial" w:hAnsi="Arial"/>
                <w:sz w:val="14"/>
                <w:szCs w:val="14"/>
                <w:color w:val="3B3838"/>
              </w:rPr>
              <w:t>AFP</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vMerge w:val="continue"/>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Plan for</w:t>
            </w:r>
          </w:p>
        </w:tc>
        <w:tc>
          <w:tcPr>
            <w:tcW w:w="16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3B3838"/>
              </w:rPr>
              <w:t>Relations with issuers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to promote good ESG</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Relations</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line="160" w:lineRule="exact"/>
              <w:rPr>
                <w:sz w:val="20"/>
                <w:szCs w:val="20"/>
                <w:color w:val="auto"/>
              </w:rPr>
            </w:pPr>
            <w:r>
              <w:rPr>
                <w:rFonts w:ascii="Arial" w:cs="Arial" w:eastAsia="Arial" w:hAnsi="Arial"/>
                <w:sz w:val="14"/>
                <w:szCs w:val="14"/>
                <w:color w:val="3B3838"/>
              </w:rPr>
              <w:t>practices</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3B3838"/>
              </w:rPr>
              <w:t>Integration of</w:t>
            </w:r>
          </w:p>
        </w:tc>
        <w:tc>
          <w:tcPr>
            <w:tcW w:w="16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3B3838"/>
              </w:rPr>
              <w:t>Portfolio assessment</w:t>
            </w:r>
          </w:p>
        </w:tc>
        <w:tc>
          <w:tcPr>
            <w:tcW w:w="800" w:type="dxa"/>
            <w:vAlign w:val="bottom"/>
          </w:tcPr>
          <w:p>
            <w:pPr>
              <w:jc w:val="center"/>
              <w:spacing w:after="0" w:line="155" w:lineRule="exact"/>
              <w:rPr>
                <w:sz w:val="20"/>
                <w:szCs w:val="20"/>
                <w:color w:val="auto"/>
              </w:rPr>
            </w:pPr>
            <w:r>
              <w:rPr>
                <w:rFonts w:ascii="Arial" w:cs="Arial" w:eastAsia="Arial" w:hAnsi="Arial"/>
                <w:sz w:val="14"/>
                <w:szCs w:val="14"/>
                <w:color w:val="3B3838"/>
                <w:w w:val="96"/>
              </w:rPr>
              <w:t>Pacífico</w:t>
            </w:r>
          </w:p>
        </w:tc>
        <w:tc>
          <w:tcPr>
            <w:tcW w:w="0" w:type="dxa"/>
            <w:vAlign w:val="bottom"/>
          </w:tcPr>
          <w:p>
            <w:pPr>
              <w:spacing w:after="0"/>
              <w:rPr>
                <w:sz w:val="1"/>
                <w:szCs w:val="1"/>
                <w:color w:val="auto"/>
              </w:rPr>
            </w:pPr>
          </w:p>
        </w:tc>
      </w:tr>
      <w:tr>
        <w:trPr>
          <w:trHeight w:val="160"/>
        </w:trPr>
        <w:tc>
          <w:tcPr>
            <w:tcW w:w="1060" w:type="dxa"/>
            <w:vAlign w:val="bottom"/>
            <w:tcBorders>
              <w:bottom w:val="single" w:sz="8" w:color="auto"/>
              <w:right w:val="single" w:sz="8" w:color="auto"/>
            </w:tcBorders>
          </w:tcPr>
          <w:p>
            <w:pPr>
              <w:ind w:left="100"/>
              <w:spacing w:after="0" w:line="160" w:lineRule="exact"/>
              <w:rPr>
                <w:sz w:val="20"/>
                <w:szCs w:val="20"/>
                <w:color w:val="auto"/>
              </w:rPr>
            </w:pPr>
            <w:r>
              <w:rPr>
                <w:rFonts w:ascii="Arial" w:cs="Arial" w:eastAsia="Arial" w:hAnsi="Arial"/>
                <w:sz w:val="14"/>
                <w:szCs w:val="14"/>
                <w:color w:val="3B3838"/>
              </w:rPr>
              <w:t>ESG criteria</w:t>
            </w:r>
          </w:p>
        </w:tc>
        <w:tc>
          <w:tcPr>
            <w:tcW w:w="1620" w:type="dxa"/>
            <w:vAlign w:val="bottom"/>
            <w:tcBorders>
              <w:bottom w:val="single" w:sz="8" w:color="auto"/>
              <w:right w:val="single" w:sz="8" w:color="auto"/>
            </w:tcBorders>
          </w:tcPr>
          <w:p>
            <w:pPr>
              <w:ind w:left="80"/>
              <w:spacing w:after="0" w:line="160" w:lineRule="exact"/>
              <w:rPr>
                <w:sz w:val="20"/>
                <w:szCs w:val="20"/>
                <w:color w:val="auto"/>
              </w:rPr>
            </w:pPr>
            <w:r>
              <w:rPr>
                <w:rFonts w:ascii="Arial" w:cs="Arial" w:eastAsia="Arial" w:hAnsi="Arial"/>
                <w:sz w:val="14"/>
                <w:szCs w:val="14"/>
                <w:color w:val="3B3838"/>
              </w:rPr>
              <w:t>with ESG guidelines</w:t>
            </w:r>
          </w:p>
        </w:tc>
        <w:tc>
          <w:tcPr>
            <w:tcW w:w="8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color w:val="3B3838"/>
                <w:w w:val="99"/>
              </w:rPr>
              <w:t>Seguros</w:t>
            </w: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Strategy for</w:t>
            </w:r>
          </w:p>
        </w:tc>
        <w:tc>
          <w:tcPr>
            <w:tcW w:w="16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3B3838"/>
              </w:rPr>
              <w:t>Relations with issuers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to promote good ESG</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Relations</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line="160" w:lineRule="exact"/>
              <w:rPr>
                <w:sz w:val="20"/>
                <w:szCs w:val="20"/>
                <w:color w:val="auto"/>
              </w:rPr>
            </w:pPr>
            <w:r>
              <w:rPr>
                <w:rFonts w:ascii="Arial" w:cs="Arial" w:eastAsia="Arial" w:hAnsi="Arial"/>
                <w:sz w:val="14"/>
                <w:szCs w:val="14"/>
                <w:color w:val="3B3838"/>
              </w:rPr>
              <w:t>practices</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3B3838"/>
              </w:rPr>
              <w:t>Asset assessment in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Asset</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3B3838"/>
              </w:rPr>
              <w:t>alternative assets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according to ESG</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assessment</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guidelines (Private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according to</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debt, Real Estate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ESG</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Development,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guidelines</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Infrastructure, listed</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3B3838"/>
                <w:w w:val="98"/>
              </w:rPr>
              <w:t>Credicorp</w:t>
            </w:r>
          </w:p>
        </w:tc>
        <w:tc>
          <w:tcPr>
            <w:tcW w:w="0" w:type="dxa"/>
            <w:vAlign w:val="bottom"/>
          </w:tcPr>
          <w:p>
            <w:pPr>
              <w:spacing w:after="0"/>
              <w:rPr>
                <w:sz w:val="1"/>
                <w:szCs w:val="1"/>
                <w:color w:val="auto"/>
              </w:rPr>
            </w:pPr>
          </w:p>
        </w:tc>
      </w:tr>
      <w:tr>
        <w:trPr>
          <w:trHeight w:val="77"/>
        </w:trPr>
        <w:tc>
          <w:tcPr>
            <w:tcW w:w="106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0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ind w:left="80"/>
              <w:spacing w:after="0" w:line="160" w:lineRule="exact"/>
              <w:rPr>
                <w:sz w:val="20"/>
                <w:szCs w:val="20"/>
                <w:color w:val="auto"/>
              </w:rPr>
            </w:pPr>
            <w:r>
              <w:rPr>
                <w:rFonts w:ascii="Arial" w:cs="Arial" w:eastAsia="Arial" w:hAnsi="Arial"/>
                <w:sz w:val="14"/>
                <w:szCs w:val="14"/>
                <w:color w:val="3B3838"/>
              </w:rPr>
              <w:t>assets)</w:t>
            </w:r>
          </w:p>
        </w:tc>
        <w:tc>
          <w:tcPr>
            <w:tcW w:w="800" w:type="dxa"/>
            <w:vAlign w:val="bottom"/>
          </w:tcPr>
          <w:p>
            <w:pPr>
              <w:jc w:val="center"/>
              <w:spacing w:after="0" w:line="160" w:lineRule="exact"/>
              <w:rPr>
                <w:sz w:val="20"/>
                <w:szCs w:val="20"/>
                <w:color w:val="auto"/>
              </w:rPr>
            </w:pPr>
            <w:r>
              <w:rPr>
                <w:rFonts w:ascii="Arial" w:cs="Arial" w:eastAsia="Arial" w:hAnsi="Arial"/>
                <w:sz w:val="14"/>
                <w:szCs w:val="14"/>
                <w:color w:val="3B3838"/>
              </w:rPr>
              <w:t>Capital</w:t>
            </w: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ESG in the</w:t>
            </w:r>
          </w:p>
        </w:tc>
        <w:tc>
          <w:tcPr>
            <w:tcW w:w="16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3B3838"/>
              </w:rPr>
              <w:t>Incorporation of ESG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criteria in the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Investment</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Investment Advisory</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Advisory</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program for Wealth</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Process (GP)</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ind w:left="80"/>
              <w:spacing w:after="0" w:line="160" w:lineRule="exact"/>
              <w:rPr>
                <w:sz w:val="20"/>
                <w:szCs w:val="20"/>
                <w:color w:val="auto"/>
              </w:rPr>
            </w:pPr>
            <w:r>
              <w:rPr>
                <w:rFonts w:ascii="Arial" w:cs="Arial" w:eastAsia="Arial" w:hAnsi="Arial"/>
                <w:sz w:val="14"/>
                <w:szCs w:val="14"/>
                <w:color w:val="3B3838"/>
              </w:rPr>
              <w:t>Management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3B3838"/>
              </w:rPr>
              <w:t>ESG funds,</w:t>
            </w:r>
          </w:p>
        </w:tc>
        <w:tc>
          <w:tcPr>
            <w:tcW w:w="16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3B3838"/>
              </w:rPr>
              <w:t>topics and</w:t>
            </w: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3B3838"/>
              </w:rPr>
              <w:t>Offering of ESG funds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3B3838"/>
              </w:rPr>
              <w:t>impact</w:t>
            </w:r>
          </w:p>
        </w:tc>
        <w:tc>
          <w:tcPr>
            <w:tcW w:w="16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06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060" w:type="dxa"/>
            <w:vAlign w:val="bottom"/>
            <w:tcBorders>
              <w:bottom w:val="single" w:sz="8" w:color="auto"/>
              <w:right w:val="single" w:sz="8" w:color="auto"/>
            </w:tcBorders>
          </w:tcPr>
          <w:p>
            <w:pPr>
              <w:ind w:left="100"/>
              <w:spacing w:after="0" w:line="160" w:lineRule="exact"/>
              <w:rPr>
                <w:sz w:val="20"/>
                <w:szCs w:val="20"/>
                <w:color w:val="auto"/>
              </w:rPr>
            </w:pPr>
            <w:r>
              <w:rPr>
                <w:rFonts w:ascii="Arial" w:cs="Arial" w:eastAsia="Arial" w:hAnsi="Arial"/>
                <w:sz w:val="14"/>
                <w:szCs w:val="14"/>
                <w:color w:val="3B3838"/>
              </w:rPr>
              <w:t>investing</w:t>
            </w:r>
          </w:p>
        </w:tc>
        <w:tc>
          <w:tcPr>
            <w:tcW w:w="1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88</w:t>
      </w:r>
    </w:p>
    <w:p>
      <w:pPr>
        <w:sectPr>
          <w:pgSz w:w="11900" w:h="16838" w:orient="portrait"/>
          <w:cols w:equalWidth="0" w:num="3">
            <w:col w:w="3480" w:space="340"/>
            <w:col w:w="3480" w:space="340"/>
            <w:col w:w="3620"/>
          </w:cols>
          <w:pgMar w:left="320" w:top="115" w:right="319" w:bottom="1440" w:gutter="0" w:footer="0" w:header="0"/>
        </w:sectPr>
      </w:pPr>
    </w:p>
    <w:bookmarkStart w:id="91" w:name="page92"/>
    <w:bookmarkEnd w:id="91"/>
    <w:p>
      <w:pPr>
        <w:spacing w:after="0" w:line="1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3B3838"/>
        </w:rPr>
        <w:t>SUSTAINABLE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2211070" cy="2459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11070" cy="24599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1000" w:type="dxa"/>
            <w:vAlign w:val="bottom"/>
            <w:tcBorders>
              <w:top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3B3838"/>
              </w:rPr>
              <w:t>Initiative</w:t>
            </w:r>
          </w:p>
        </w:tc>
        <w:tc>
          <w:tcPr>
            <w:tcW w:w="1600" w:type="dxa"/>
            <w:vAlign w:val="bottom"/>
            <w:tcBorders>
              <w:top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3B3838"/>
              </w:rPr>
              <w:t>Description</w:t>
            </w:r>
          </w:p>
        </w:tc>
        <w:tc>
          <w:tcPr>
            <w:tcW w:w="880" w:type="dxa"/>
            <w:vAlign w:val="bottom"/>
            <w:tcBorders>
              <w:top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3B3838"/>
              </w:rPr>
              <w:t>Company</w:t>
            </w:r>
          </w:p>
        </w:tc>
        <w:tc>
          <w:tcPr>
            <w:tcW w:w="0" w:type="dxa"/>
            <w:vAlign w:val="bottom"/>
          </w:tcPr>
          <w:p>
            <w:pPr>
              <w:spacing w:after="0"/>
              <w:rPr>
                <w:sz w:val="1"/>
                <w:szCs w:val="1"/>
                <w:color w:val="auto"/>
              </w:rPr>
            </w:pPr>
          </w:p>
        </w:tc>
      </w:tr>
      <w:tr>
        <w:trPr>
          <w:trHeight w:val="164"/>
        </w:trPr>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3B3838"/>
              </w:rPr>
              <w:t>Sustainable and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3B3838"/>
              </w:rPr>
              <w:t>Sustainable</w:t>
            </w:r>
          </w:p>
        </w:tc>
        <w:tc>
          <w:tcPr>
            <w:tcW w:w="160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3B3838"/>
              </w:rPr>
              <w:t>transition financing,</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Financial</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i w:val="1"/>
                <w:iCs w:val="1"/>
                <w:color w:val="3B3838"/>
              </w:rPr>
              <w:t>Eco-factoring</w:t>
            </w:r>
            <w:r>
              <w:rPr>
                <w:rFonts w:ascii="Arial" w:cs="Arial" w:eastAsia="Arial" w:hAnsi="Arial"/>
                <w:sz w:val="15"/>
                <w:szCs w:val="15"/>
                <w:color w:val="3B3838"/>
              </w:rPr>
              <w:t>, own</w:t>
            </w:r>
          </w:p>
        </w:tc>
        <w:tc>
          <w:tcPr>
            <w:tcW w:w="880" w:type="dxa"/>
            <w:vAlign w:val="bottom"/>
          </w:tcPr>
          <w:p>
            <w:pPr>
              <w:jc w:val="center"/>
              <w:spacing w:after="0"/>
              <w:rPr>
                <w:sz w:val="20"/>
                <w:szCs w:val="20"/>
                <w:color w:val="auto"/>
              </w:rPr>
            </w:pPr>
            <w:r>
              <w:rPr>
                <w:rFonts w:ascii="Arial" w:cs="Arial" w:eastAsia="Arial" w:hAnsi="Arial"/>
                <w:sz w:val="15"/>
                <w:szCs w:val="15"/>
                <w:color w:val="3B3838"/>
              </w:rPr>
              <w:t>BCP</w:t>
            </w: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Products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issuance 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3B3838"/>
              </w:rPr>
              <w:t>sustainable bonds</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3B3838"/>
              </w:rPr>
              <w:t>Wholesale and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Retail loans for</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Sustainable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electric cars,</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3B3838"/>
              </w:rPr>
              <w:t>BCP</w:t>
            </w:r>
          </w:p>
        </w:tc>
        <w:tc>
          <w:tcPr>
            <w:tcW w:w="0" w:type="dxa"/>
            <w:vAlign w:val="bottom"/>
          </w:tcPr>
          <w:p>
            <w:pPr>
              <w:spacing w:after="0"/>
              <w:rPr>
                <w:sz w:val="1"/>
                <w:szCs w:val="1"/>
                <w:color w:val="auto"/>
              </w:rPr>
            </w:pPr>
          </w:p>
        </w:tc>
      </w:tr>
      <w:tr>
        <w:trPr>
          <w:trHeight w:val="81"/>
        </w:trPr>
        <w:tc>
          <w:tcPr>
            <w:tcW w:w="1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3B3838"/>
              </w:rPr>
              <w:t>Financial</w:t>
            </w:r>
          </w:p>
        </w:tc>
        <w:tc>
          <w:tcPr>
            <w:tcW w:w="1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3B3838"/>
              </w:rPr>
              <w:t>designs for products</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color w:val="3B3838"/>
              </w:rPr>
              <w:t>Bolivia</w:t>
            </w:r>
          </w:p>
        </w:tc>
        <w:tc>
          <w:tcPr>
            <w:tcW w:w="0" w:type="dxa"/>
            <w:vAlign w:val="bottom"/>
          </w:tcPr>
          <w:p>
            <w:pPr>
              <w:spacing w:after="0"/>
              <w:rPr>
                <w:sz w:val="1"/>
                <w:szCs w:val="1"/>
                <w:color w:val="auto"/>
              </w:rPr>
            </w:pPr>
          </w:p>
        </w:tc>
      </w:tr>
      <w:tr>
        <w:trPr>
          <w:trHeight w:val="93"/>
        </w:trPr>
        <w:tc>
          <w:tcPr>
            <w:tcW w:w="1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3B3838"/>
              </w:rPr>
              <w:t>Products</w:t>
            </w:r>
          </w:p>
        </w:tc>
        <w:tc>
          <w:tcPr>
            <w:tcW w:w="1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3B3838"/>
              </w:rPr>
              <w:t>for energy transition</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00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and sustainable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3B3838"/>
              </w:rPr>
              <w:t>agriculture.</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3B3838"/>
              </w:rPr>
              <w:t>Position Corporate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Structuring</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Finance as a player</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and</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in sustainable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placement</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finance in the green</w:t>
            </w:r>
          </w:p>
        </w:tc>
        <w:tc>
          <w:tcPr>
            <w:tcW w:w="880" w:type="dxa"/>
            <w:vAlign w:val="bottom"/>
          </w:tcPr>
          <w:p>
            <w:pPr>
              <w:jc w:val="center"/>
              <w:spacing w:after="0"/>
              <w:rPr>
                <w:sz w:val="20"/>
                <w:szCs w:val="20"/>
                <w:color w:val="auto"/>
              </w:rPr>
            </w:pPr>
            <w:r>
              <w:rPr>
                <w:rFonts w:ascii="Arial" w:cs="Arial" w:eastAsia="Arial" w:hAnsi="Arial"/>
                <w:sz w:val="15"/>
                <w:szCs w:val="15"/>
                <w:color w:val="3B3838"/>
              </w:rPr>
              <w:t>Credicorp</w:t>
            </w: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of</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and social bond</w:t>
            </w:r>
          </w:p>
        </w:tc>
        <w:tc>
          <w:tcPr>
            <w:tcW w:w="880" w:type="dxa"/>
            <w:vAlign w:val="bottom"/>
          </w:tcPr>
          <w:p>
            <w:pPr>
              <w:jc w:val="center"/>
              <w:spacing w:after="0"/>
              <w:rPr>
                <w:sz w:val="20"/>
                <w:szCs w:val="20"/>
                <w:color w:val="auto"/>
              </w:rPr>
            </w:pPr>
            <w:r>
              <w:rPr>
                <w:rFonts w:ascii="Arial" w:cs="Arial" w:eastAsia="Arial" w:hAnsi="Arial"/>
                <w:sz w:val="15"/>
                <w:szCs w:val="15"/>
                <w:color w:val="3B3838"/>
              </w:rPr>
              <w:t>Capital</w:t>
            </w:r>
          </w:p>
        </w:tc>
        <w:tc>
          <w:tcPr>
            <w:tcW w:w="0" w:type="dxa"/>
            <w:vAlign w:val="bottom"/>
          </w:tcPr>
          <w:p>
            <w:pPr>
              <w:spacing w:after="0"/>
              <w:rPr>
                <w:sz w:val="1"/>
                <w:szCs w:val="1"/>
                <w:color w:val="auto"/>
              </w:rPr>
            </w:pPr>
          </w:p>
        </w:tc>
      </w:tr>
      <w:tr>
        <w:trPr>
          <w:trHeight w:val="173"/>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earmarked</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market in Latin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emissions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3B3838"/>
              </w:rPr>
              <w:t>America</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3B3838"/>
        </w:rPr>
        <w:t>FINANCIAL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1991360" cy="31330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91360" cy="31330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Initiative</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Description</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3B3838"/>
              </w:rPr>
              <w:t>Company</w:t>
            </w:r>
          </w:p>
        </w:tc>
        <w:tc>
          <w:tcPr>
            <w:tcW w:w="0" w:type="dxa"/>
            <w:vAlign w:val="bottom"/>
          </w:tcPr>
          <w:p>
            <w:pPr>
              <w:spacing w:after="0"/>
              <w:rPr>
                <w:sz w:val="1"/>
                <w:szCs w:val="1"/>
                <w:color w:val="auto"/>
              </w:rPr>
            </w:pPr>
          </w:p>
        </w:tc>
      </w:tr>
      <w:tr>
        <w:trPr>
          <w:trHeight w:val="64"/>
        </w:trPr>
        <w:tc>
          <w:tcPr>
            <w:tcW w:w="72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7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Financial education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line="147" w:lineRule="exact"/>
              <w:rPr>
                <w:sz w:val="20"/>
                <w:szCs w:val="20"/>
                <w:color w:val="auto"/>
              </w:rPr>
            </w:pPr>
            <w:r>
              <w:rPr>
                <w:rFonts w:ascii="Arial" w:cs="Arial" w:eastAsia="Arial" w:hAnsi="Arial"/>
                <w:sz w:val="14"/>
                <w:szCs w:val="14"/>
                <w:color w:val="auto"/>
              </w:rPr>
              <w:t>ABC at</w:t>
            </w:r>
          </w:p>
        </w:tc>
        <w:tc>
          <w:tcPr>
            <w:tcW w:w="172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through mass media: web</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BCP –</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xml:space="preserve">series </w:t>
            </w:r>
            <w:r>
              <w:rPr>
                <w:rFonts w:ascii="Arial" w:cs="Arial" w:eastAsia="Arial" w:hAnsi="Arial"/>
                <w:sz w:val="14"/>
                <w:szCs w:val="14"/>
                <w:i w:val="1"/>
                <w:iCs w:val="1"/>
                <w:color w:val="auto"/>
              </w:rPr>
              <w:t>5to Piso, AON por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Mass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Redes ABC, Iniciativa a</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20"/>
                <w:szCs w:val="20"/>
                <w:color w:val="auto"/>
              </w:rPr>
            </w:pPr>
            <w:r>
              <w:rPr>
                <w:rFonts w:ascii="Arial" w:cs="Arial" w:eastAsia="Arial" w:hAnsi="Arial"/>
                <w:sz w:val="14"/>
                <w:szCs w:val="14"/>
                <w:color w:val="auto"/>
              </w:rPr>
              <w:t>media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xml:space="preserve">Amas de Casa, </w:t>
            </w:r>
            <w:r>
              <w:rPr>
                <w:rFonts w:ascii="Arial" w:cs="Arial" w:eastAsia="Arial" w:hAnsi="Arial"/>
                <w:sz w:val="14"/>
                <w:szCs w:val="14"/>
                <w:color w:val="auto"/>
              </w:rPr>
              <w:t>Client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bulletins, Influencers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line="155" w:lineRule="exact"/>
              <w:rPr>
                <w:sz w:val="20"/>
                <w:szCs w:val="20"/>
                <w:color w:val="auto"/>
              </w:rPr>
            </w:pPr>
            <w:r>
              <w:rPr>
                <w:rFonts w:ascii="Arial" w:cs="Arial" w:eastAsia="Arial" w:hAnsi="Arial"/>
                <w:sz w:val="14"/>
                <w:szCs w:val="14"/>
                <w:color w:val="auto"/>
              </w:rPr>
              <w:t>ABC del</w:t>
            </w:r>
          </w:p>
        </w:tc>
        <w:tc>
          <w:tcPr>
            <w:tcW w:w="17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BCP: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Online courses and</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7"/>
              </w:rPr>
              <w:t>BCP</w:t>
            </w:r>
          </w:p>
        </w:tc>
        <w:tc>
          <w:tcPr>
            <w:tcW w:w="0" w:type="dxa"/>
            <w:vAlign w:val="bottom"/>
          </w:tcPr>
          <w:p>
            <w:pPr>
              <w:spacing w:after="0"/>
              <w:rPr>
                <w:sz w:val="1"/>
                <w:szCs w:val="1"/>
                <w:color w:val="auto"/>
              </w:rPr>
            </w:pPr>
          </w:p>
        </w:tc>
      </w:tr>
      <w:tr>
        <w:trPr>
          <w:trHeight w:val="85"/>
        </w:trPr>
        <w:tc>
          <w:tcPr>
            <w:tcW w:w="720" w:type="dxa"/>
            <w:vAlign w:val="bottom"/>
            <w:vMerge w:val="restart"/>
          </w:tcPr>
          <w:p>
            <w:pPr>
              <w:spacing w:after="0"/>
              <w:rPr>
                <w:sz w:val="20"/>
                <w:szCs w:val="20"/>
                <w:color w:val="auto"/>
              </w:rPr>
            </w:pPr>
            <w:r>
              <w:rPr>
                <w:rFonts w:ascii="Arial" w:cs="Arial" w:eastAsia="Arial" w:hAnsi="Arial"/>
                <w:sz w:val="14"/>
                <w:szCs w:val="14"/>
                <w:color w:val="auto"/>
              </w:rPr>
              <w:t>Financial</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workshops for financial</w:t>
            </w: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20" w:type="dxa"/>
            <w:vAlign w:val="bottom"/>
            <w:vMerge w:val="continue"/>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Education</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20"/>
                <w:szCs w:val="20"/>
                <w:color w:val="auto"/>
              </w:rPr>
            </w:pPr>
            <w:r>
              <w:rPr>
                <w:rFonts w:ascii="Arial" w:cs="Arial" w:eastAsia="Arial" w:hAnsi="Arial"/>
                <w:sz w:val="14"/>
                <w:szCs w:val="14"/>
                <w:color w:val="auto"/>
              </w:rPr>
              <w:t>Training</w:t>
            </w:r>
          </w:p>
        </w:tc>
        <w:tc>
          <w:tcPr>
            <w:tcW w:w="17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line="155" w:lineRule="exact"/>
              <w:rPr>
                <w:sz w:val="20"/>
                <w:szCs w:val="20"/>
                <w:color w:val="auto"/>
              </w:rPr>
            </w:pPr>
            <w:r>
              <w:rPr>
                <w:rFonts w:ascii="Arial" w:cs="Arial" w:eastAsia="Arial" w:hAnsi="Arial"/>
                <w:sz w:val="14"/>
                <w:szCs w:val="14"/>
                <w:color w:val="auto"/>
              </w:rPr>
              <w:t>Financial</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Changes in undesirable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spacing w:after="0"/>
              <w:rPr>
                <w:sz w:val="20"/>
                <w:szCs w:val="20"/>
                <w:color w:val="auto"/>
              </w:rPr>
            </w:pPr>
            <w:r>
              <w:rPr>
                <w:rFonts w:ascii="Arial" w:cs="Arial" w:eastAsia="Arial" w:hAnsi="Arial"/>
                <w:sz w:val="14"/>
                <w:szCs w:val="14"/>
                <w:color w:val="auto"/>
              </w:rPr>
              <w:t>Education</w:t>
            </w:r>
          </w:p>
        </w:tc>
        <w:tc>
          <w:tcPr>
            <w:tcW w:w="1720" w:type="dxa"/>
            <w:vAlign w:val="bottom"/>
            <w:tcBorders>
              <w:right w:val="single" w:sz="8" w:color="auto"/>
            </w:tcBorders>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172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4"/>
                <w:szCs w:val="14"/>
                <w:color w:val="auto"/>
              </w:rPr>
              <w:t>financial behavior (over</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line="117" w:lineRule="exact"/>
              <w:rPr>
                <w:sz w:val="20"/>
                <w:szCs w:val="20"/>
                <w:color w:val="auto"/>
              </w:rPr>
            </w:pPr>
            <w:r>
              <w:rPr>
                <w:rFonts w:ascii="Arial" w:cs="Arial" w:eastAsia="Arial" w:hAnsi="Arial"/>
                <w:sz w:val="13"/>
                <w:szCs w:val="13"/>
                <w:color w:val="auto"/>
              </w:rPr>
              <w:t>from a</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7"/>
              </w:rPr>
              <w:t>indebtedness, delinquency,</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spacing w:after="0"/>
              <w:rPr>
                <w:sz w:val="20"/>
                <w:szCs w:val="20"/>
                <w:color w:val="auto"/>
              </w:rPr>
            </w:pPr>
            <w:r>
              <w:rPr>
                <w:rFonts w:ascii="Arial" w:cs="Arial" w:eastAsia="Arial" w:hAnsi="Arial"/>
                <w:sz w:val="14"/>
                <w:szCs w:val="14"/>
                <w:color w:val="auto"/>
              </w:rPr>
              <w:t>business</w:t>
            </w:r>
          </w:p>
        </w:tc>
        <w:tc>
          <w:tcPr>
            <w:tcW w:w="1720" w:type="dxa"/>
            <w:vAlign w:val="bottom"/>
            <w:tcBorders>
              <w:right w:val="single" w:sz="8" w:color="auto"/>
            </w:tcBorders>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overdrafts)</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20"/>
                <w:szCs w:val="20"/>
                <w:color w:val="auto"/>
              </w:rPr>
            </w:pPr>
            <w:r>
              <w:rPr>
                <w:rFonts w:ascii="Arial" w:cs="Arial" w:eastAsia="Arial" w:hAnsi="Arial"/>
                <w:sz w:val="14"/>
                <w:szCs w:val="14"/>
                <w:color w:val="auto"/>
                <w:w w:val="97"/>
              </w:rPr>
              <w:t>perspective</w:t>
            </w:r>
          </w:p>
        </w:tc>
        <w:tc>
          <w:tcPr>
            <w:tcW w:w="1720" w:type="dxa"/>
            <w:vAlign w:val="bottom"/>
            <w:tcBorders>
              <w:right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20" w:type="dxa"/>
            <w:vAlign w:val="bottom"/>
            <w:vMerge w:val="restart"/>
          </w:tcPr>
          <w:p>
            <w:pPr>
              <w:spacing w:after="0"/>
              <w:rPr>
                <w:sz w:val="20"/>
                <w:szCs w:val="20"/>
                <w:color w:val="auto"/>
              </w:rPr>
            </w:pPr>
            <w:r>
              <w:rPr>
                <w:rFonts w:ascii="Arial" w:cs="Arial" w:eastAsia="Arial" w:hAnsi="Arial"/>
                <w:sz w:val="14"/>
                <w:szCs w:val="14"/>
                <w:color w:val="auto"/>
              </w:rPr>
              <w:t>Client</w:t>
            </w:r>
          </w:p>
        </w:tc>
        <w:tc>
          <w:tcPr>
            <w:tcW w:w="17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Training clients to develop</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7"/>
              </w:rPr>
              <w:t>BCP</w:t>
            </w: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7"/>
              </w:rPr>
              <w:t>digital skills to operate from</w:t>
            </w: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spacing w:after="0"/>
              <w:rPr>
                <w:sz w:val="20"/>
                <w:szCs w:val="20"/>
                <w:color w:val="auto"/>
              </w:rPr>
            </w:pPr>
            <w:r>
              <w:rPr>
                <w:rFonts w:ascii="Arial" w:cs="Arial" w:eastAsia="Arial" w:hAnsi="Arial"/>
                <w:sz w:val="14"/>
                <w:szCs w:val="14"/>
                <w:color w:val="auto"/>
              </w:rPr>
              <w:t>academy</w:t>
            </w:r>
          </w:p>
        </w:tc>
        <w:tc>
          <w:tcPr>
            <w:tcW w:w="1720" w:type="dxa"/>
            <w:vAlign w:val="bottom"/>
            <w:tcBorders>
              <w:right w:val="single" w:sz="8" w:color="auto"/>
            </w:tcBorders>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6"/>
              </w:rPr>
              <w:t>Bolivia</w:t>
            </w:r>
          </w:p>
        </w:tc>
        <w:tc>
          <w:tcPr>
            <w:tcW w:w="0" w:type="dxa"/>
            <w:vAlign w:val="bottom"/>
          </w:tcPr>
          <w:p>
            <w:pPr>
              <w:spacing w:after="0"/>
              <w:rPr>
                <w:sz w:val="1"/>
                <w:szCs w:val="1"/>
                <w:color w:val="auto"/>
              </w:rPr>
            </w:pPr>
          </w:p>
        </w:tc>
      </w:tr>
      <w:tr>
        <w:trPr>
          <w:trHeight w:val="85"/>
        </w:trPr>
        <w:tc>
          <w:tcPr>
            <w:tcW w:w="720" w:type="dxa"/>
            <w:vAlign w:val="bottom"/>
            <w:vMerge w:val="continue"/>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any device</w:t>
            </w: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line="155" w:lineRule="exact"/>
              <w:rPr>
                <w:sz w:val="20"/>
                <w:szCs w:val="20"/>
                <w:color w:val="auto"/>
              </w:rPr>
            </w:pPr>
            <w:r>
              <w:rPr>
                <w:rFonts w:ascii="Arial" w:cs="Arial" w:eastAsia="Arial" w:hAnsi="Arial"/>
                <w:sz w:val="14"/>
                <w:szCs w:val="14"/>
                <w:color w:val="auto"/>
              </w:rPr>
              <w:t>Basic</w:t>
            </w:r>
          </w:p>
        </w:tc>
        <w:tc>
          <w:tcPr>
            <w:tcW w:w="17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Advise/Train our clients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program forthrough the Relationship</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Mibanco</w:t>
            </w:r>
          </w:p>
        </w:tc>
        <w:tc>
          <w:tcPr>
            <w:tcW w:w="0" w:type="dxa"/>
            <w:vAlign w:val="bottom"/>
          </w:tcPr>
          <w:p>
            <w:pPr>
              <w:spacing w:after="0"/>
              <w:rPr>
                <w:sz w:val="1"/>
                <w:szCs w:val="1"/>
                <w:color w:val="auto"/>
              </w:rPr>
            </w:pPr>
          </w:p>
        </w:tc>
      </w:tr>
      <w:tr>
        <w:trPr>
          <w:trHeight w:val="69"/>
        </w:trPr>
        <w:tc>
          <w:tcPr>
            <w:tcW w:w="720" w:type="dxa"/>
            <w:vAlign w:val="bottom"/>
            <w:vMerge w:val="restart"/>
          </w:tcPr>
          <w:p>
            <w:pPr>
              <w:spacing w:after="0"/>
              <w:rPr>
                <w:sz w:val="20"/>
                <w:szCs w:val="20"/>
                <w:color w:val="auto"/>
              </w:rPr>
            </w:pPr>
            <w:r>
              <w:rPr>
                <w:rFonts w:ascii="Arial" w:cs="Arial" w:eastAsia="Arial" w:hAnsi="Arial"/>
                <w:sz w:val="14"/>
                <w:szCs w:val="14"/>
                <w:color w:val="auto"/>
              </w:rPr>
              <w:t>Financial</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Advisors, who educate</w:t>
            </w: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720" w:type="dxa"/>
            <w:vAlign w:val="bottom"/>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4"/>
              </w:rPr>
              <w:t>Perú</w:t>
            </w:r>
          </w:p>
        </w:tc>
        <w:tc>
          <w:tcPr>
            <w:tcW w:w="0" w:type="dxa"/>
            <w:vAlign w:val="bottom"/>
          </w:tcPr>
          <w:p>
            <w:pPr>
              <w:spacing w:after="0"/>
              <w:rPr>
                <w:sz w:val="1"/>
                <w:szCs w:val="1"/>
                <w:color w:val="auto"/>
              </w:rPr>
            </w:pPr>
          </w:p>
        </w:tc>
      </w:tr>
      <w:tr>
        <w:trPr>
          <w:trHeight w:val="73"/>
        </w:trPr>
        <w:tc>
          <w:tcPr>
            <w:tcW w:w="720" w:type="dxa"/>
            <w:vAlign w:val="bottom"/>
            <w:vMerge w:val="restart"/>
          </w:tcPr>
          <w:p>
            <w:pPr>
              <w:spacing w:after="0"/>
              <w:rPr>
                <w:sz w:val="20"/>
                <w:szCs w:val="20"/>
                <w:color w:val="auto"/>
              </w:rPr>
            </w:pPr>
            <w:r>
              <w:rPr>
                <w:rFonts w:ascii="Arial" w:cs="Arial" w:eastAsia="Arial" w:hAnsi="Arial"/>
                <w:sz w:val="14"/>
                <w:szCs w:val="14"/>
                <w:color w:val="auto"/>
              </w:rPr>
              <w:t>and Digital</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about</w:t>
            </w: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20" w:type="dxa"/>
            <w:vAlign w:val="bottom"/>
            <w:tcBorders>
              <w:bottom w:val="single" w:sz="8" w:color="auto"/>
            </w:tcBorders>
          </w:tcPr>
          <w:p>
            <w:pPr>
              <w:spacing w:after="0" w:line="160" w:lineRule="exact"/>
              <w:rPr>
                <w:sz w:val="20"/>
                <w:szCs w:val="20"/>
                <w:color w:val="auto"/>
              </w:rPr>
            </w:pPr>
            <w:r>
              <w:rPr>
                <w:rFonts w:ascii="Arial" w:cs="Arial" w:eastAsia="Arial" w:hAnsi="Arial"/>
                <w:sz w:val="14"/>
                <w:szCs w:val="14"/>
                <w:color w:val="auto"/>
              </w:rPr>
              <w:t>Advice</w:t>
            </w:r>
          </w:p>
        </w:tc>
        <w:tc>
          <w:tcPr>
            <w:tcW w:w="172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4"/>
        </w:trPr>
        <w:tc>
          <w:tcPr>
            <w:tcW w:w="1120" w:type="dxa"/>
            <w:vAlign w:val="bottom"/>
            <w:tcBorders>
              <w:top w:val="single" w:sz="8" w:color="auto"/>
              <w:left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Financial Education</w:t>
            </w:r>
          </w:p>
        </w:tc>
        <w:tc>
          <w:tcPr>
            <w:tcW w:w="6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and Business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Management</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112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Training and advice</w:t>
            </w: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 digital matters for</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business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management and</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finance.</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Volunteer program to</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provide advice and</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Munay</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accompaniment to</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clients and training for</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entrepreneurs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Program to train</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 Consultor</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clients through</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partnerships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Leveraged synergies</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to work with Public</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Training</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and Private</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workshops with</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Partnerships to</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partnerships</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promote financial</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inclusion and</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education</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Webinars to manage</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Improving my</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business and finance</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bodega (corner</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imparted by experts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store)</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from CENTRUM, ISM</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and Mibanco.</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6"/>
              </w:rPr>
              <w:t>Webinars for business</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and financial</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Worshops to Talk</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management that are</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with Experts</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imparted by experts.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Finished in March</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2022.</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w w:val="97"/>
              </w:rPr>
              <w:t>Yo sumo, yo doy,</w:t>
            </w: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Volunteer program for</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yo soy</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financial education</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Advise/train our</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clients in Financial</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Education and</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Business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Management through</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Mibanco</w:t>
            </w: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Basic Program</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our Relationship</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Colombia</w:t>
            </w: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for Financial and</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Managers.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Digital Advice</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Create environmental</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6"/>
              </w:rPr>
              <w:t>awareness among our</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relationships</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6"/>
              </w:rPr>
              <w:t>managers so that they</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can provide</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365760</wp:posOffset>
            </wp:positionV>
            <wp:extent cx="715264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4"/>
        </w:trPr>
        <w:tc>
          <w:tcPr>
            <w:tcW w:w="1120" w:type="dxa"/>
            <w:vAlign w:val="bottom"/>
            <w:tcBorders>
              <w:top w:val="single" w:sz="8" w:color="auto"/>
              <w:left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environmental tips to</w:t>
            </w:r>
          </w:p>
        </w:tc>
        <w:tc>
          <w:tcPr>
            <w:tcW w:w="6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our clients.</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Miacademia del</w:t>
            </w: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Education for</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12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line="125" w:lineRule="exact"/>
              <w:rPr>
                <w:sz w:val="20"/>
                <w:szCs w:val="20"/>
                <w:color w:val="auto"/>
              </w:rPr>
            </w:pPr>
            <w:r>
              <w:rPr>
                <w:rFonts w:ascii="Arial" w:cs="Arial" w:eastAsia="Arial" w:hAnsi="Arial"/>
                <w:sz w:val="14"/>
                <w:szCs w:val="14"/>
                <w:color w:val="auto"/>
              </w:rPr>
              <w:t>business</w:t>
            </w: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Progreso</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management</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20" w:type="dxa"/>
            <w:vAlign w:val="bottom"/>
            <w:tcBorders>
              <w:left w:val="single" w:sz="8" w:color="auto"/>
              <w:right w:val="single" w:sz="8" w:color="auto"/>
            </w:tcBorders>
          </w:tcPr>
          <w:p>
            <w:pPr>
              <w:spacing w:after="0"/>
              <w:rPr>
                <w:sz w:val="3"/>
                <w:szCs w:val="3"/>
                <w:color w:val="auto"/>
              </w:rPr>
            </w:pPr>
          </w:p>
        </w:tc>
        <w:tc>
          <w:tcPr>
            <w:tcW w:w="1380" w:type="dxa"/>
            <w:vAlign w:val="bottom"/>
            <w:tcBorders>
              <w:right w:val="single" w:sz="8" w:color="auto"/>
            </w:tcBorders>
            <w:vMerge w:val="continue"/>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Financial education</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and pension savings</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ABC of Pension</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through online</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Savings</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workshops, web</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Prima</w:t>
            </w:r>
          </w:p>
        </w:tc>
        <w:tc>
          <w:tcPr>
            <w:tcW w:w="0" w:type="dxa"/>
            <w:vAlign w:val="bottom"/>
          </w:tcPr>
          <w:p>
            <w:pPr>
              <w:spacing w:after="0"/>
              <w:rPr>
                <w:sz w:val="1"/>
                <w:szCs w:val="1"/>
                <w:color w:val="auto"/>
              </w:rPr>
            </w:pPr>
          </w:p>
        </w:tc>
      </w:tr>
      <w:tr>
        <w:trPr>
          <w:trHeight w:val="58"/>
        </w:trPr>
        <w:tc>
          <w:tcPr>
            <w:tcW w:w="1120" w:type="dxa"/>
            <w:vAlign w:val="bottom"/>
            <w:tcBorders>
              <w:left w:val="single" w:sz="8" w:color="auto"/>
              <w:right w:val="single" w:sz="8" w:color="auto"/>
            </w:tcBorders>
          </w:tcPr>
          <w:p>
            <w:pPr>
              <w:spacing w:after="0"/>
              <w:rPr>
                <w:sz w:val="5"/>
                <w:szCs w:val="5"/>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education and</w:t>
            </w:r>
          </w:p>
        </w:tc>
        <w:tc>
          <w:tcPr>
            <w:tcW w:w="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120" w:type="dxa"/>
            <w:vAlign w:val="bottom"/>
            <w:tcBorders>
              <w:left w:val="single" w:sz="8" w:color="auto"/>
              <w:right w:val="single" w:sz="8" w:color="auto"/>
            </w:tcBorders>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AFP</w:t>
            </w:r>
          </w:p>
        </w:tc>
        <w:tc>
          <w:tcPr>
            <w:tcW w:w="0" w:type="dxa"/>
            <w:vAlign w:val="bottom"/>
          </w:tcPr>
          <w:p>
            <w:pPr>
              <w:spacing w:after="0"/>
              <w:rPr>
                <w:sz w:val="1"/>
                <w:szCs w:val="1"/>
                <w:color w:val="auto"/>
              </w:rPr>
            </w:pPr>
          </w:p>
        </w:tc>
      </w:tr>
      <w:tr>
        <w:trPr>
          <w:trHeight w:val="61"/>
        </w:trPr>
        <w:tc>
          <w:tcPr>
            <w:tcW w:w="1120" w:type="dxa"/>
            <w:vAlign w:val="bottom"/>
            <w:tcBorders>
              <w:left w:val="single" w:sz="8" w:color="auto"/>
              <w:right w:val="single" w:sz="8" w:color="auto"/>
            </w:tcBorders>
          </w:tcPr>
          <w:p>
            <w:pPr>
              <w:spacing w:after="0"/>
              <w:rPr>
                <w:sz w:val="5"/>
                <w:szCs w:val="5"/>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8"/>
              </w:rPr>
              <w:t>courses at workshops</w:t>
            </w:r>
          </w:p>
        </w:tc>
        <w:tc>
          <w:tcPr>
            <w:tcW w:w="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120" w:type="dxa"/>
            <w:vAlign w:val="bottom"/>
            <w:tcBorders>
              <w:left w:val="single" w:sz="8" w:color="auto"/>
              <w:right w:val="single" w:sz="8" w:color="auto"/>
            </w:tcBorders>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El Depa</w:t>
            </w: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Educational web</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120" w:type="dxa"/>
            <w:vAlign w:val="bottom"/>
            <w:tcBorders>
              <w:left w:val="single" w:sz="8" w:color="auto"/>
              <w:right w:val="single" w:sz="8" w:color="auto"/>
            </w:tcBorders>
            <w:vMerge w:val="continue"/>
          </w:tcPr>
          <w:p>
            <w:pPr>
              <w:spacing w:after="0"/>
              <w:rPr>
                <w:sz w:val="7"/>
                <w:szCs w:val="7"/>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series</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Education on</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insurance, imparted</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through mass media,</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ABC at Pacífico</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communications</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courses and</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education from a</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business perspective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Pacífico</w:t>
            </w: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Training program on</w:t>
            </w:r>
          </w:p>
        </w:tc>
        <w:tc>
          <w:tcPr>
            <w:tcW w:w="6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9"/>
              </w:rPr>
              <w:t>Seguros</w:t>
            </w: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Comunidad</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risk prevention for</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Segura</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vulnerable</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populations</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Preventing</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Protege 365</w:t>
            </w: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occupational risks for</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client companies</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89</w:t>
      </w:r>
    </w:p>
    <w:p>
      <w:pPr>
        <w:sectPr>
          <w:pgSz w:w="11900" w:h="16838" w:orient="portrait"/>
          <w:cols w:equalWidth="0" w:num="3">
            <w:col w:w="3480" w:space="340"/>
            <w:col w:w="3140" w:space="680"/>
            <w:col w:w="3620"/>
          </w:cols>
          <w:pgMar w:left="320" w:top="120" w:right="319" w:bottom="1440" w:gutter="0" w:footer="0" w:header="0"/>
        </w:sectPr>
      </w:pPr>
    </w:p>
    <w:bookmarkStart w:id="92" w:name="page93"/>
    <w:bookmarkEnd w:id="92"/>
    <w:p>
      <w:pPr>
        <w:ind w:right="480"/>
        <w:spacing w:after="0" w:line="273" w:lineRule="auto"/>
        <w:rPr>
          <w:sz w:val="20"/>
          <w:szCs w:val="20"/>
          <w:color w:val="auto"/>
        </w:rPr>
      </w:pPr>
      <w:r>
        <w:rPr>
          <w:rFonts w:ascii="Arial" w:cs="Arial" w:eastAsia="Arial" w:hAnsi="Arial"/>
          <w:sz w:val="25"/>
          <w:szCs w:val="25"/>
          <w:b w:val="1"/>
          <w:bCs w:val="1"/>
          <w:color w:val="auto"/>
        </w:rPr>
        <w:t>Integrating Sustainability in our Operating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43344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201F1E"/>
        </w:rPr>
        <w:t xml:space="preserve">Our </w:t>
      </w:r>
      <w:r>
        <w:rPr>
          <w:rFonts w:ascii="Arial" w:cs="Arial" w:eastAsia="Arial" w:hAnsi="Arial"/>
          <w:sz w:val="15"/>
          <w:szCs w:val="15"/>
          <w:b w:val="1"/>
          <w:bCs w:val="1"/>
          <w:color w:val="201F1E"/>
        </w:rPr>
        <w:t>enablers</w:t>
      </w:r>
      <w:r>
        <w:rPr>
          <w:rFonts w:ascii="Arial" w:cs="Arial" w:eastAsia="Arial" w:hAnsi="Arial"/>
          <w:sz w:val="15"/>
          <w:szCs w:val="15"/>
          <w:color w:val="201F1E"/>
        </w:rPr>
        <w:t xml:space="preserve"> are the fronts through which we integrate sustainability in the operating model. They act as levers for the </w:t>
      </w:r>
      <w:r>
        <w:rPr>
          <w:rFonts w:ascii="Arial" w:cs="Arial" w:eastAsia="Arial" w:hAnsi="Arial"/>
          <w:sz w:val="15"/>
          <w:szCs w:val="15"/>
          <w:b w:val="1"/>
          <w:bCs w:val="1"/>
          <w:color w:val="201F1E"/>
        </w:rPr>
        <w:t>internal changes</w:t>
      </w:r>
      <w:r>
        <w:rPr>
          <w:rFonts w:ascii="Arial" w:cs="Arial" w:eastAsia="Arial" w:hAnsi="Arial"/>
          <w:sz w:val="15"/>
          <w:szCs w:val="15"/>
          <w:color w:val="201F1E"/>
        </w:rPr>
        <w:t xml:space="preserve"> that the organization needs to make to successfully execute the sustainability strategy. The working fronts that we have prioritized correspond to the main corporate functions at Credicorp:</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360" w:type="dxa"/>
            <w:vAlign w:val="bottom"/>
            <w:tcBorders>
              <w:top w:val="single" w:sz="8" w:color="auto"/>
              <w:left w:val="single" w:sz="8" w:color="auto"/>
              <w:right w:val="single" w:sz="8" w:color="auto"/>
            </w:tcBorders>
            <w:shd w:val="clear" w:color="auto" w:fill="F2F2F2"/>
          </w:tcPr>
          <w:p>
            <w:pPr>
              <w:jc w:val="center"/>
              <w:spacing w:after="0" w:line="173" w:lineRule="exact"/>
              <w:rPr>
                <w:sz w:val="20"/>
                <w:szCs w:val="20"/>
                <w:color w:val="auto"/>
              </w:rPr>
            </w:pPr>
            <w:r>
              <w:rPr>
                <w:rFonts w:ascii="Arial" w:cs="Arial" w:eastAsia="Arial" w:hAnsi="Arial"/>
                <w:sz w:val="17"/>
                <w:szCs w:val="17"/>
                <w:b w:val="1"/>
                <w:bCs w:val="1"/>
                <w:color w:val="auto"/>
                <w:w w:val="99"/>
              </w:rPr>
              <w:t>Operating</w:t>
            </w:r>
          </w:p>
        </w:tc>
        <w:tc>
          <w:tcPr>
            <w:tcW w:w="4040" w:type="dxa"/>
            <w:vAlign w:val="bottom"/>
            <w:tcBorders>
              <w:top w:val="single" w:sz="8" w:color="auto"/>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60" w:type="dxa"/>
            <w:vAlign w:val="bottom"/>
            <w:tcBorders>
              <w:left w:val="single" w:sz="8" w:color="auto"/>
              <w:right w:val="single" w:sz="8" w:color="auto"/>
            </w:tcBorders>
            <w:shd w:val="clear" w:color="auto" w:fill="F2F2F2"/>
          </w:tcPr>
          <w:p>
            <w:pPr>
              <w:jc w:val="center"/>
              <w:spacing w:after="0" w:line="185" w:lineRule="exact"/>
              <w:rPr>
                <w:sz w:val="20"/>
                <w:szCs w:val="20"/>
                <w:color w:val="auto"/>
              </w:rPr>
            </w:pPr>
            <w:r>
              <w:rPr>
                <w:rFonts w:ascii="Arial" w:cs="Arial" w:eastAsia="Arial" w:hAnsi="Arial"/>
                <w:sz w:val="17"/>
                <w:szCs w:val="17"/>
                <w:b w:val="1"/>
                <w:bCs w:val="1"/>
                <w:color w:val="auto"/>
              </w:rPr>
              <w:t>Function /</w:t>
            </w:r>
          </w:p>
        </w:tc>
        <w:tc>
          <w:tcPr>
            <w:tcW w:w="4040" w:type="dxa"/>
            <w:vAlign w:val="bottom"/>
            <w:tcBorders>
              <w:right w:val="single" w:sz="8" w:color="auto"/>
            </w:tcBorders>
            <w:shd w:val="clear" w:color="auto" w:fill="F2F2F2"/>
          </w:tcPr>
          <w:p>
            <w:pPr>
              <w:ind w:left="820"/>
              <w:spacing w:after="0" w:line="185" w:lineRule="exact"/>
              <w:rPr>
                <w:sz w:val="20"/>
                <w:szCs w:val="20"/>
                <w:color w:val="auto"/>
              </w:rPr>
            </w:pPr>
            <w:r>
              <w:rPr>
                <w:rFonts w:ascii="Arial" w:cs="Arial" w:eastAsia="Arial" w:hAnsi="Arial"/>
                <w:sz w:val="17"/>
                <w:szCs w:val="17"/>
                <w:b w:val="1"/>
                <w:bCs w:val="1"/>
                <w:color w:val="auto"/>
              </w:rPr>
              <w:t>SUSTAINABILITY ENABLERS</w:t>
            </w:r>
          </w:p>
        </w:tc>
        <w:tc>
          <w:tcPr>
            <w:tcW w:w="0" w:type="dxa"/>
            <w:vAlign w:val="bottom"/>
          </w:tcPr>
          <w:p>
            <w:pPr>
              <w:spacing w:after="0"/>
              <w:rPr>
                <w:sz w:val="1"/>
                <w:szCs w:val="1"/>
                <w:color w:val="auto"/>
              </w:rPr>
            </w:pPr>
          </w:p>
        </w:tc>
      </w:tr>
      <w:tr>
        <w:trPr>
          <w:trHeight w:val="208"/>
        </w:trPr>
        <w:tc>
          <w:tcPr>
            <w:tcW w:w="1360" w:type="dxa"/>
            <w:vAlign w:val="bottom"/>
            <w:tcBorders>
              <w:left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7"/>
                <w:szCs w:val="17"/>
                <w:b w:val="1"/>
                <w:bCs w:val="1"/>
                <w:color w:val="auto"/>
              </w:rPr>
              <w:t>Area</w:t>
            </w:r>
          </w:p>
        </w:tc>
        <w:tc>
          <w:tcPr>
            <w:tcW w:w="4040" w:type="dxa"/>
            <w:vAlign w:val="bottom"/>
            <w:tcBorders>
              <w:bottom w:val="single" w:sz="8" w:color="auto"/>
              <w:right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5"/>
                <w:szCs w:val="15"/>
                <w:color w:val="auto"/>
              </w:rPr>
              <w:t>Human</w:t>
            </w:r>
          </w:p>
        </w:tc>
        <w:tc>
          <w:tcPr>
            <w:tcW w:w="40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Drive change management</w:t>
            </w:r>
          </w:p>
        </w:tc>
        <w:tc>
          <w:tcPr>
            <w:tcW w:w="0" w:type="dxa"/>
            <w:vAlign w:val="bottom"/>
          </w:tcPr>
          <w:p>
            <w:pPr>
              <w:spacing w:after="0"/>
              <w:rPr>
                <w:sz w:val="1"/>
                <w:szCs w:val="1"/>
                <w:color w:val="auto"/>
              </w:rPr>
            </w:pPr>
          </w:p>
        </w:tc>
      </w:tr>
      <w:tr>
        <w:trPr>
          <w:trHeight w:val="173"/>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Resource</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Build the workforce of the future</w:t>
            </w:r>
          </w:p>
        </w:tc>
        <w:tc>
          <w:tcPr>
            <w:tcW w:w="0" w:type="dxa"/>
            <w:vAlign w:val="bottom"/>
          </w:tcPr>
          <w:p>
            <w:pPr>
              <w:spacing w:after="0"/>
              <w:rPr>
                <w:sz w:val="1"/>
                <w:szCs w:val="1"/>
                <w:color w:val="auto"/>
              </w:rPr>
            </w:pPr>
          </w:p>
        </w:tc>
      </w:tr>
      <w:tr>
        <w:trPr>
          <w:trHeight w:val="19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Management</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Champion diversity, inclusion and gender equality</w:t>
            </w:r>
          </w:p>
        </w:tc>
        <w:tc>
          <w:tcPr>
            <w:tcW w:w="0" w:type="dxa"/>
            <w:vAlign w:val="bottom"/>
          </w:tcPr>
          <w:p>
            <w:pPr>
              <w:spacing w:after="0"/>
              <w:rPr>
                <w:sz w:val="1"/>
                <w:szCs w:val="1"/>
                <w:color w:val="auto"/>
              </w:rPr>
            </w:pPr>
          </w:p>
        </w:tc>
      </w:tr>
      <w:tr>
        <w:trPr>
          <w:trHeight w:val="173"/>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and</w:t>
            </w:r>
          </w:p>
        </w:tc>
        <w:tc>
          <w:tcPr>
            <w:tcW w:w="4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Development</w:t>
            </w:r>
          </w:p>
        </w:tc>
        <w:tc>
          <w:tcPr>
            <w:tcW w:w="4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Risks</w:t>
            </w:r>
          </w:p>
        </w:tc>
        <w:tc>
          <w:tcPr>
            <w:tcW w:w="40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Integrate ESG factors into risk management</w:t>
            </w:r>
          </w:p>
        </w:tc>
        <w:tc>
          <w:tcPr>
            <w:tcW w:w="0" w:type="dxa"/>
            <w:vAlign w:val="bottom"/>
          </w:tcPr>
          <w:p>
            <w:pPr>
              <w:spacing w:after="0"/>
              <w:rPr>
                <w:sz w:val="1"/>
                <w:szCs w:val="1"/>
                <w:color w:val="auto"/>
              </w:rPr>
            </w:pPr>
          </w:p>
        </w:tc>
      </w:tr>
      <w:tr>
        <w:trPr>
          <w:trHeight w:val="111"/>
        </w:trPr>
        <w:tc>
          <w:tcPr>
            <w:tcW w:w="1360" w:type="dxa"/>
            <w:vAlign w:val="bottom"/>
            <w:tcBorders>
              <w:left w:val="single" w:sz="8" w:color="auto"/>
              <w:right w:val="single" w:sz="8" w:color="auto"/>
            </w:tcBorders>
            <w:vMerge w:val="continue"/>
          </w:tcPr>
          <w:p>
            <w:pPr>
              <w:spacing w:after="0"/>
              <w:rPr>
                <w:sz w:val="9"/>
                <w:szCs w:val="9"/>
                <w:color w:val="auto"/>
              </w:rPr>
            </w:pPr>
          </w:p>
        </w:tc>
        <w:tc>
          <w:tcPr>
            <w:tcW w:w="4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framework</w:t>
            </w: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40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right w:val="single" w:sz="8" w:color="auto"/>
            </w:tcBorders>
          </w:tcPr>
          <w:p>
            <w:pPr>
              <w:spacing w:after="0"/>
              <w:rPr>
                <w:sz w:val="12"/>
                <w:szCs w:val="12"/>
                <w:color w:val="auto"/>
              </w:rPr>
            </w:pPr>
          </w:p>
        </w:tc>
        <w:tc>
          <w:tcPr>
            <w:tcW w:w="40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Be a steward of long-term value creation</w:t>
            </w:r>
          </w:p>
        </w:tc>
        <w:tc>
          <w:tcPr>
            <w:tcW w:w="0" w:type="dxa"/>
            <w:vAlign w:val="bottom"/>
          </w:tcPr>
          <w:p>
            <w:pPr>
              <w:spacing w:after="0"/>
              <w:rPr>
                <w:sz w:val="1"/>
                <w:szCs w:val="1"/>
                <w:color w:val="auto"/>
              </w:rPr>
            </w:pPr>
          </w:p>
        </w:tc>
      </w:tr>
      <w:tr>
        <w:trPr>
          <w:trHeight w:val="173"/>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Finance</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Optimize communications and reporting to capital</w:t>
            </w:r>
          </w:p>
        </w:tc>
        <w:tc>
          <w:tcPr>
            <w:tcW w:w="0" w:type="dxa"/>
            <w:vAlign w:val="bottom"/>
          </w:tcPr>
          <w:p>
            <w:pPr>
              <w:spacing w:after="0"/>
              <w:rPr>
                <w:sz w:val="1"/>
                <w:szCs w:val="1"/>
                <w:color w:val="auto"/>
              </w:rPr>
            </w:pPr>
          </w:p>
        </w:tc>
      </w:tr>
      <w:tr>
        <w:trPr>
          <w:trHeight w:val="192"/>
        </w:trPr>
        <w:tc>
          <w:tcPr>
            <w:tcW w:w="1360" w:type="dxa"/>
            <w:vAlign w:val="bottom"/>
            <w:tcBorders>
              <w:left w:val="single" w:sz="8" w:color="auto"/>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markets</w:t>
            </w: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Compliance and</w:t>
            </w:r>
          </w:p>
        </w:tc>
        <w:tc>
          <w:tcPr>
            <w:tcW w:w="40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Encourage people to do the right thing</w:t>
            </w:r>
          </w:p>
        </w:tc>
        <w:tc>
          <w:tcPr>
            <w:tcW w:w="0" w:type="dxa"/>
            <w:vAlign w:val="bottom"/>
          </w:tcPr>
          <w:p>
            <w:pPr>
              <w:spacing w:after="0"/>
              <w:rPr>
                <w:sz w:val="1"/>
                <w:szCs w:val="1"/>
                <w:color w:val="auto"/>
              </w:rPr>
            </w:pPr>
          </w:p>
        </w:tc>
      </w:tr>
      <w:tr>
        <w:trPr>
          <w:trHeight w:val="174"/>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ethics</w:t>
            </w:r>
          </w:p>
        </w:tc>
        <w:tc>
          <w:tcPr>
            <w:tcW w:w="4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Corporate</w:t>
            </w:r>
          </w:p>
        </w:tc>
        <w:tc>
          <w:tcPr>
            <w:tcW w:w="40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Enhance corporate governance frameworks</w:t>
            </w:r>
          </w:p>
        </w:tc>
        <w:tc>
          <w:tcPr>
            <w:tcW w:w="0" w:type="dxa"/>
            <w:vAlign w:val="bottom"/>
          </w:tcPr>
          <w:p>
            <w:pPr>
              <w:spacing w:after="0"/>
              <w:rPr>
                <w:sz w:val="1"/>
                <w:szCs w:val="1"/>
                <w:color w:val="auto"/>
              </w:rPr>
            </w:pPr>
          </w:p>
        </w:tc>
      </w:tr>
      <w:tr>
        <w:trPr>
          <w:trHeight w:val="174"/>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Governance</w:t>
            </w:r>
          </w:p>
        </w:tc>
        <w:tc>
          <w:tcPr>
            <w:tcW w:w="4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Others</w:t>
            </w:r>
          </w:p>
        </w:tc>
        <w:tc>
          <w:tcPr>
            <w:tcW w:w="40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Social Responsibility</w:t>
            </w:r>
          </w:p>
        </w:tc>
        <w:tc>
          <w:tcPr>
            <w:tcW w:w="0" w:type="dxa"/>
            <w:vAlign w:val="bottom"/>
          </w:tcPr>
          <w:p>
            <w:pPr>
              <w:spacing w:after="0"/>
              <w:rPr>
                <w:sz w:val="1"/>
                <w:szCs w:val="1"/>
                <w:color w:val="auto"/>
              </w:rPr>
            </w:pPr>
          </w:p>
        </w:tc>
      </w:tr>
      <w:tr>
        <w:trPr>
          <w:trHeight w:val="111"/>
        </w:trPr>
        <w:tc>
          <w:tcPr>
            <w:tcW w:w="1360" w:type="dxa"/>
            <w:vAlign w:val="bottom"/>
            <w:tcBorders>
              <w:left w:val="single" w:sz="8" w:color="auto"/>
              <w:right w:val="single" w:sz="8" w:color="auto"/>
            </w:tcBorders>
            <w:vMerge w:val="continue"/>
          </w:tcPr>
          <w:p>
            <w:pPr>
              <w:spacing w:after="0"/>
              <w:rPr>
                <w:sz w:val="9"/>
                <w:szCs w:val="9"/>
                <w:color w:val="auto"/>
              </w:rPr>
            </w:pPr>
          </w:p>
        </w:tc>
        <w:tc>
          <w:tcPr>
            <w:tcW w:w="4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Reduce direct environmental footprint</w:t>
            </w: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40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300"/>
        <w:spacing w:after="0" w:line="256" w:lineRule="auto"/>
        <w:rPr>
          <w:sz w:val="20"/>
          <w:szCs w:val="20"/>
          <w:color w:val="auto"/>
        </w:rPr>
      </w:pPr>
      <w:r>
        <w:rPr>
          <w:rFonts w:ascii="Arial" w:cs="Arial" w:eastAsia="Arial" w:hAnsi="Arial"/>
          <w:sz w:val="25"/>
          <w:szCs w:val="25"/>
          <w:b w:val="1"/>
          <w:bCs w:val="1"/>
          <w:color w:val="auto"/>
        </w:rPr>
        <w:t>Change Management - Integrating sustainability in the DNA or our leaders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43344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To achieve sustainable transformation, we recognized a primordial need to incorporate sustainability into the organizational culture and in the DNA of both our leaders and employees. In 2021, we began to develop a change management strategy and successfully rolled out efforts to foster our employees’ knowledge and understanding of our sustainability strategy. Additionally, we worked to generate a sustainability structure and equip it with the tools and support that leaders need to incorporate sustainability at the management level.</w:t>
      </w:r>
    </w:p>
    <w:p>
      <w:pPr>
        <w:spacing w:after="0" w:line="20" w:lineRule="exact"/>
        <w:rPr>
          <w:sz w:val="20"/>
          <w:szCs w:val="20"/>
          <w:color w:val="auto"/>
        </w:rPr>
      </w:pPr>
      <w:r>
        <w:rPr>
          <w:sz w:val="20"/>
          <w:szCs w:val="20"/>
          <w:color w:val="auto"/>
        </w:rPr>
        <w:br w:type="column"/>
      </w:r>
    </w:p>
    <w:p>
      <w:pPr>
        <w:jc w:val="center"/>
        <w:ind w:left="20"/>
        <w:spacing w:after="0" w:line="261" w:lineRule="auto"/>
        <w:rPr>
          <w:sz w:val="20"/>
          <w:szCs w:val="20"/>
          <w:color w:val="auto"/>
        </w:rPr>
      </w:pPr>
      <w:r>
        <w:rPr>
          <w:rFonts w:ascii="Arial" w:cs="Arial" w:eastAsia="Arial" w:hAnsi="Arial"/>
          <w:sz w:val="17"/>
          <w:szCs w:val="17"/>
          <w:b w:val="1"/>
          <w:bCs w:val="1"/>
          <w:color w:val="4472C4"/>
        </w:rPr>
        <w:t>WE STRIVE TO INTEGRATE SUSTAINABILITY IN THE DNA OF OUR LEADERS AND EMPLOYEES</w:t>
      </w:r>
    </w:p>
    <w:p>
      <w:pPr>
        <w:spacing w:after="0" w:line="152" w:lineRule="exact"/>
        <w:rPr>
          <w:sz w:val="20"/>
          <w:szCs w:val="20"/>
          <w:color w:val="auto"/>
        </w:rPr>
      </w:pPr>
    </w:p>
    <w:p>
      <w:pPr>
        <w:jc w:val="both"/>
        <w:ind w:right="20"/>
        <w:spacing w:after="0" w:line="246" w:lineRule="auto"/>
        <w:rPr>
          <w:sz w:val="20"/>
          <w:szCs w:val="20"/>
          <w:color w:val="auto"/>
        </w:rPr>
      </w:pPr>
      <w:r>
        <w:rPr>
          <w:rFonts w:ascii="Arial" w:cs="Arial" w:eastAsia="Arial" w:hAnsi="Arial"/>
          <w:sz w:val="15"/>
          <w:szCs w:val="15"/>
          <w:color w:val="auto"/>
        </w:rPr>
        <w:t>In 2022, we continued initiatives to prepare the organizational context to insert sustainability in our companies’ processes and management. We worked closely with senior leaders and middle managers to strengthen their knowledge and commitment.</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Furthermore, as part of the incorporation of sustainability, we have an ESG indicator, which represents between 15% and 20% of the performance chart of both the CEO of Credicorp and the CEOs of the subsidiaries. This indicator varies between companies and is aligned with the corporate business strategy and/or of each subsidiary, as the case may be.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change management plan addresses four strategic axes, which contemplate specific initiatives at the corporate and subsidiary level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209550</wp:posOffset>
            </wp:positionV>
            <wp:extent cx="2927985" cy="12515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2798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05" w:right="319" w:bottom="1440" w:gutter="0" w:footer="0" w:header="0"/>
        </w:sectPr>
      </w:pPr>
    </w:p>
    <w:bookmarkStart w:id="93" w:name="page94"/>
    <w:bookmarkEnd w:id="93"/>
    <w:p>
      <w:pPr>
        <w:jc w:val="center"/>
        <w:ind w:right="12"/>
        <w:spacing w:after="0"/>
        <w:rPr>
          <w:sz w:val="20"/>
          <w:szCs w:val="20"/>
          <w:color w:val="auto"/>
        </w:rPr>
      </w:pPr>
      <w:r>
        <w:rPr>
          <w:rFonts w:ascii="Arial" w:cs="Arial" w:eastAsia="Arial" w:hAnsi="Arial"/>
          <w:sz w:val="15"/>
          <w:szCs w:val="15"/>
          <w:b w:val="1"/>
          <w:bCs w:val="1"/>
          <w:color w:val="auto"/>
        </w:rPr>
        <w:t>Corporate Sustainability Training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3425825" cy="53295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5825" cy="5329555"/>
                    </a:xfrm>
                    <a:prstGeom prst="rect">
                      <a:avLst/>
                    </a:prstGeom>
                    <a:noFill/>
                  </pic:spPr>
                </pic:pic>
              </a:graphicData>
            </a:graphic>
          </wp:anchor>
        </w:drawing>
      </w:r>
    </w:p>
    <w:p>
      <w:pPr>
        <w:jc w:val="center"/>
        <w:ind w:right="52"/>
        <w:spacing w:after="0"/>
        <w:rPr>
          <w:sz w:val="20"/>
          <w:szCs w:val="20"/>
          <w:color w:val="auto"/>
        </w:rPr>
      </w:pPr>
      <w:r>
        <w:rPr>
          <w:rFonts w:ascii="Arial" w:cs="Arial" w:eastAsia="Arial" w:hAnsi="Arial"/>
          <w:sz w:val="15"/>
          <w:szCs w:val="15"/>
          <w:b w:val="1"/>
          <w:bCs w:val="1"/>
          <w:color w:val="auto"/>
        </w:rPr>
        <w:t>- CREDICORP -</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104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20"/>
              <w:spacing w:after="0" w:line="164" w:lineRule="exact"/>
              <w:rPr>
                <w:sz w:val="20"/>
                <w:szCs w:val="20"/>
                <w:color w:val="auto"/>
              </w:rPr>
            </w:pPr>
            <w:r>
              <w:rPr>
                <w:rFonts w:ascii="Arial" w:cs="Arial" w:eastAsia="Arial" w:hAnsi="Arial"/>
                <w:sz w:val="15"/>
                <w:szCs w:val="15"/>
                <w:b w:val="1"/>
                <w:bCs w:val="1"/>
                <w:color w:val="auto"/>
              </w:rPr>
              <w:t>Results</w:t>
            </w:r>
          </w:p>
        </w:tc>
        <w:tc>
          <w:tcPr>
            <w:tcW w:w="10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gridSpan w:val="2"/>
          </w:tcPr>
          <w:p>
            <w:pPr>
              <w:ind w:left="120"/>
              <w:spacing w:after="0" w:line="164" w:lineRule="exact"/>
              <w:rPr>
                <w:sz w:val="20"/>
                <w:szCs w:val="20"/>
                <w:color w:val="auto"/>
              </w:rPr>
            </w:pPr>
            <w:r>
              <w:rPr>
                <w:rFonts w:ascii="Arial" w:cs="Arial" w:eastAsia="Arial" w:hAnsi="Arial"/>
                <w:sz w:val="15"/>
                <w:szCs w:val="15"/>
                <w:b w:val="1"/>
                <w:bCs w:val="1"/>
                <w:color w:val="auto"/>
              </w:rPr>
              <w:t>Participants</w:t>
            </w: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b w:val="1"/>
                <w:bCs w:val="1"/>
                <w:color w:val="auto"/>
              </w:rPr>
              <w:t>T2B</w:t>
            </w:r>
          </w:p>
        </w:tc>
        <w:tc>
          <w:tcPr>
            <w:tcW w:w="0" w:type="dxa"/>
            <w:vAlign w:val="bottom"/>
          </w:tcPr>
          <w:p>
            <w:pPr>
              <w:spacing w:after="0"/>
              <w:rPr>
                <w:sz w:val="1"/>
                <w:szCs w:val="1"/>
                <w:color w:val="auto"/>
              </w:rPr>
            </w:pPr>
          </w:p>
        </w:tc>
      </w:tr>
      <w:tr>
        <w:trPr>
          <w:trHeight w:val="146"/>
        </w:trPr>
        <w:tc>
          <w:tcPr>
            <w:tcW w:w="10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rPr>
              <w:t>How</w:t>
            </w: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5"/>
                <w:szCs w:val="15"/>
                <w:b w:val="1"/>
                <w:bCs w:val="1"/>
                <w:color w:val="auto"/>
              </w:rPr>
              <w:t>Segment</w:t>
            </w:r>
          </w:p>
        </w:tc>
        <w:tc>
          <w:tcPr>
            <w:tcW w:w="1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Objectives/Issues</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auto"/>
              </w:rPr>
              <w:t>strategic is</w:t>
            </w:r>
          </w:p>
        </w:tc>
        <w:tc>
          <w:tcPr>
            <w:tcW w:w="0" w:type="dxa"/>
            <w:vAlign w:val="bottom"/>
          </w:tcPr>
          <w:p>
            <w:pPr>
              <w:spacing w:after="0"/>
              <w:rPr>
                <w:sz w:val="1"/>
                <w:szCs w:val="1"/>
                <w:color w:val="auto"/>
              </w:rPr>
            </w:pPr>
          </w:p>
        </w:tc>
      </w:tr>
      <w:tr>
        <w:trPr>
          <w:trHeight w:val="69"/>
        </w:trPr>
        <w:tc>
          <w:tcPr>
            <w:tcW w:w="104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sustainability</w:t>
            </w:r>
          </w:p>
        </w:tc>
        <w:tc>
          <w:tcPr>
            <w:tcW w:w="0" w:type="dxa"/>
            <w:vAlign w:val="bottom"/>
          </w:tcPr>
          <w:p>
            <w:pPr>
              <w:spacing w:after="0"/>
              <w:rPr>
                <w:sz w:val="1"/>
                <w:szCs w:val="1"/>
                <w:color w:val="auto"/>
              </w:rPr>
            </w:pPr>
          </w:p>
        </w:tc>
      </w:tr>
      <w:tr>
        <w:trPr>
          <w:trHeight w:val="169"/>
        </w:trPr>
        <w:tc>
          <w:tcPr>
            <w:tcW w:w="10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ind w:left="460"/>
              <w:spacing w:after="0" w:line="169" w:lineRule="exact"/>
              <w:rPr>
                <w:sz w:val="20"/>
                <w:szCs w:val="20"/>
                <w:color w:val="auto"/>
              </w:rPr>
            </w:pPr>
            <w:r>
              <w:rPr>
                <w:rFonts w:ascii="Arial" w:cs="Arial" w:eastAsia="Arial" w:hAnsi="Arial"/>
                <w:sz w:val="15"/>
                <w:szCs w:val="15"/>
                <w:b w:val="1"/>
                <w:bCs w:val="1"/>
                <w:color w:val="auto"/>
              </w:rPr>
              <w:t>treated</w:t>
            </w:r>
          </w:p>
        </w:tc>
        <w:tc>
          <w:tcPr>
            <w:tcW w:w="6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rPr>
              <w:t>% of</w:t>
            </w:r>
          </w:p>
        </w:tc>
        <w:tc>
          <w:tcPr>
            <w:tcW w:w="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rPr>
              <w:t>Content</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total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quality</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auto"/>
              </w:rPr>
              <w:t>for the future</w:t>
            </w:r>
          </w:p>
        </w:tc>
        <w:tc>
          <w:tcPr>
            <w:tcW w:w="0" w:type="dxa"/>
            <w:vAlign w:val="bottom"/>
          </w:tcPr>
          <w:p>
            <w:pPr>
              <w:spacing w:after="0"/>
              <w:rPr>
                <w:sz w:val="1"/>
                <w:szCs w:val="1"/>
                <w:color w:val="auto"/>
              </w:rPr>
            </w:pPr>
          </w:p>
        </w:tc>
      </w:tr>
      <w:tr>
        <w:trPr>
          <w:trHeight w:val="108"/>
        </w:trPr>
        <w:tc>
          <w:tcPr>
            <w:tcW w:w="10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of Credicorp</w:t>
            </w: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auto"/>
                <w:w w:val="99"/>
              </w:rPr>
              <w:t>and its</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subsidiaries?</w:t>
            </w:r>
          </w:p>
        </w:tc>
        <w:tc>
          <w:tcPr>
            <w:tcW w:w="0" w:type="dxa"/>
            <w:vAlign w:val="bottom"/>
          </w:tcPr>
          <w:p>
            <w:pPr>
              <w:spacing w:after="0"/>
              <w:rPr>
                <w:sz w:val="1"/>
                <w:szCs w:val="1"/>
                <w:color w:val="auto"/>
              </w:rPr>
            </w:pPr>
          </w:p>
        </w:tc>
      </w:tr>
      <w:tr>
        <w:trPr>
          <w:trHeight w:val="164"/>
        </w:trPr>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Keep directors up-</w:t>
            </w:r>
          </w:p>
        </w:tc>
        <w:tc>
          <w:tcPr>
            <w:tcW w:w="6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to-date with regard</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to trends and new</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material issues for</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Boards in the</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financial sector</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(Example: Human</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Rights and diversity</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Director</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and inclusion). ESG</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28</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78%</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78%</w:t>
            </w:r>
          </w:p>
        </w:tc>
        <w:tc>
          <w:tcPr>
            <w:tcW w:w="1060" w:type="dxa"/>
            <w:vAlign w:val="bottom"/>
          </w:tcPr>
          <w:p>
            <w:pPr>
              <w:jc w:val="center"/>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reflections that un</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director should</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keep in mind,</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including auditing,</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risks and</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compensation and</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nominations.</w:t>
            </w:r>
          </w:p>
        </w:tc>
        <w:tc>
          <w:tcPr>
            <w:tcW w:w="60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4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Review of ESG</w:t>
            </w:r>
          </w:p>
        </w:tc>
        <w:tc>
          <w:tcPr>
            <w:tcW w:w="6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committees,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trends. Emphasis</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managers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on environmental</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63</w:t>
            </w: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with</w:t>
            </w:r>
          </w:p>
        </w:tc>
        <w:tc>
          <w:tcPr>
            <w:tcW w:w="1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issues and climate</w:t>
            </w:r>
          </w:p>
        </w:tc>
        <w:tc>
          <w:tcPr>
            <w:tcW w:w="60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almost</w:t>
            </w:r>
          </w:p>
        </w:tc>
        <w:tc>
          <w:tcPr>
            <w:tcW w:w="68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6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5"/>
                <w:szCs w:val="15"/>
                <w:color w:val="auto"/>
              </w:rPr>
              <w:t>senior</w:t>
            </w:r>
          </w:p>
        </w:tc>
        <w:tc>
          <w:tcPr>
            <w:tcW w:w="54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5"/>
                <w:szCs w:val="15"/>
                <w:color w:val="auto"/>
                <w:w w:val="99"/>
              </w:rPr>
              <w:t>87%</w:t>
            </w:r>
          </w:p>
        </w:tc>
        <w:tc>
          <w:tcPr>
            <w:tcW w:w="1060" w:type="dxa"/>
            <w:vAlign w:val="bottom"/>
          </w:tcPr>
          <w:p>
            <w:pPr>
              <w:jc w:val="center"/>
              <w:spacing w:after="0" w:line="13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corporate</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change.</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leaders</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75%</w:t>
            </w: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40" w:type="dxa"/>
            <w:vAlign w:val="bottom"/>
            <w:tcBorders>
              <w:right w:val="single" w:sz="8" w:color="auto"/>
            </w:tcBorders>
          </w:tcPr>
          <w:p>
            <w:pPr>
              <w:ind w:left="40"/>
              <w:spacing w:after="0" w:line="126" w:lineRule="exact"/>
              <w:rPr>
                <w:sz w:val="20"/>
                <w:szCs w:val="20"/>
                <w:color w:val="auto"/>
              </w:rPr>
            </w:pPr>
            <w:r>
              <w:rPr>
                <w:rFonts w:ascii="Arial" w:cs="Arial" w:eastAsia="Arial" w:hAnsi="Arial"/>
                <w:sz w:val="14"/>
                <w:szCs w:val="14"/>
                <w:color w:val="auto"/>
              </w:rPr>
              <w:t>functions and</w:t>
            </w:r>
          </w:p>
        </w:tc>
        <w:tc>
          <w:tcPr>
            <w:tcW w:w="146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4"/>
                <w:szCs w:val="14"/>
                <w:color w:val="auto"/>
              </w:rPr>
              <w:t>Opportunity in “E”:</w:t>
            </w:r>
          </w:p>
        </w:tc>
        <w:tc>
          <w:tcPr>
            <w:tcW w:w="60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sustainability</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global trends and</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leaders</w:t>
            </w:r>
          </w:p>
        </w:tc>
        <w:tc>
          <w:tcPr>
            <w:tcW w:w="1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Credicorp’s context</w:t>
            </w:r>
          </w:p>
        </w:tc>
        <w:tc>
          <w:tcPr>
            <w:tcW w:w="60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Provide introductory</w:t>
            </w:r>
          </w:p>
        </w:tc>
        <w:tc>
          <w:tcPr>
            <w:tcW w:w="6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and transversal</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sustainability</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content adapted to</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Mid-level</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mid-level</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04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management</w:t>
            </w:r>
          </w:p>
        </w:tc>
        <w:tc>
          <w:tcPr>
            <w:tcW w:w="60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4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vMerge w:val="continue"/>
          </w:tcPr>
          <w:p>
            <w:pPr>
              <w:spacing w:after="0"/>
              <w:rPr>
                <w:sz w:val="12"/>
                <w:szCs w:val="12"/>
                <w:color w:val="auto"/>
              </w:rPr>
            </w:pPr>
          </w:p>
        </w:tc>
        <w:tc>
          <w:tcPr>
            <w:tcW w:w="6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5"/>
                <w:szCs w:val="15"/>
                <w:color w:val="auto"/>
              </w:rPr>
              <w:t>857</w:t>
            </w:r>
          </w:p>
        </w:tc>
        <w:tc>
          <w:tcPr>
            <w:tcW w:w="5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5"/>
                <w:szCs w:val="15"/>
                <w:color w:val="auto"/>
              </w:rPr>
              <w:t>+60%</w:t>
            </w:r>
          </w:p>
        </w:tc>
        <w:tc>
          <w:tcPr>
            <w:tcW w:w="6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5"/>
                <w:szCs w:val="15"/>
                <w:color w:val="auto"/>
                <w:w w:val="99"/>
              </w:rPr>
              <w:t>72%</w:t>
            </w:r>
          </w:p>
        </w:tc>
        <w:tc>
          <w:tcPr>
            <w:tcW w:w="1060" w:type="dxa"/>
            <w:vAlign w:val="bottom"/>
          </w:tcPr>
          <w:p>
            <w:pPr>
              <w:jc w:val="center"/>
              <w:spacing w:after="0" w:line="139"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26"/>
        </w:trPr>
        <w:tc>
          <w:tcPr>
            <w:tcW w:w="1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General</w:t>
            </w:r>
          </w:p>
        </w:tc>
        <w:tc>
          <w:tcPr>
            <w:tcW w:w="146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4"/>
                <w:szCs w:val="14"/>
                <w:color w:val="auto"/>
              </w:rPr>
              <w:t>leaders; this is in</w:t>
            </w:r>
          </w:p>
        </w:tc>
        <w:tc>
          <w:tcPr>
            <w:tcW w:w="60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04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addition to the</w:t>
            </w:r>
          </w:p>
        </w:tc>
        <w:tc>
          <w:tcPr>
            <w:tcW w:w="60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04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sustainability</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course for</w:t>
            </w:r>
          </w:p>
        </w:tc>
        <w:tc>
          <w:tcPr>
            <w:tcW w:w="6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employees</w:t>
            </w:r>
          </w:p>
        </w:tc>
        <w:tc>
          <w:tcPr>
            <w:tcW w:w="60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108"/>
        <w:spacing w:after="0" w:line="244" w:lineRule="auto"/>
        <w:rPr>
          <w:sz w:val="20"/>
          <w:szCs w:val="20"/>
          <w:color w:val="auto"/>
        </w:rPr>
      </w:pPr>
      <w:r>
        <w:rPr>
          <w:rFonts w:ascii="Arial" w:cs="Arial" w:eastAsia="Arial" w:hAnsi="Arial"/>
          <w:sz w:val="15"/>
          <w:szCs w:val="15"/>
          <w:color w:val="auto"/>
        </w:rPr>
        <w:t>Within our change management framework, we provided specific training on sustainability issues to middle managers at each subsidiary and utilized course content that is relevant to each line of business. The levels of satisfaction with the contents were always above 76% and participants’ perception of the strategic relevance of incorporating sustainability at their subsidiary was consistently 73% or above after each training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8834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84" w:lineRule="exact"/>
        <w:rPr>
          <w:sz w:val="20"/>
          <w:szCs w:val="20"/>
          <w:color w:val="auto"/>
        </w:rPr>
      </w:pPr>
    </w:p>
    <w:p>
      <w:pPr>
        <w:ind w:left="8" w:hanging="8"/>
        <w:spacing w:after="0" w:line="189" w:lineRule="auto"/>
        <w:tabs>
          <w:tab w:leader="none" w:pos="155" w:val="left"/>
        </w:tabs>
        <w:numPr>
          <w:ilvl w:val="0"/>
          <w:numId w:val="45"/>
        </w:numPr>
        <w:rPr>
          <w:rFonts w:ascii="Arial" w:cs="Arial" w:eastAsia="Arial" w:hAnsi="Arial"/>
          <w:sz w:val="17"/>
          <w:szCs w:val="17"/>
          <w:color w:val="auto"/>
          <w:vertAlign w:val="superscript"/>
        </w:rPr>
      </w:pPr>
      <w:r>
        <w:rPr>
          <w:rFonts w:ascii="Arial" w:cs="Arial" w:eastAsia="Arial" w:hAnsi="Arial"/>
          <w:sz w:val="10"/>
          <w:szCs w:val="10"/>
          <w:color w:val="auto"/>
        </w:rPr>
        <w:t>Average results of the Labor Climate Survey of Credicorp Subsidiaries, 2022: : BCP Perú, BCP Bolivia, Mibanco Perú, Mibanco Colombia, Pacífico Seguros, Prima AFP y Credicorp Capital</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both"/>
        <w:ind w:left="120"/>
        <w:spacing w:after="0" w:line="246" w:lineRule="auto"/>
        <w:rPr>
          <w:sz w:val="20"/>
          <w:szCs w:val="20"/>
          <w:color w:val="auto"/>
        </w:rPr>
      </w:pPr>
      <w:r>
        <w:rPr>
          <w:rFonts w:ascii="Arial" w:cs="Arial" w:eastAsia="Arial" w:hAnsi="Arial"/>
          <w:sz w:val="15"/>
          <w:szCs w:val="15"/>
          <w:color w:val="auto"/>
        </w:rPr>
        <w:t>On-going training via courses and seminars are also provided by our corporate sustainability team to bolster specific teams’ knowledge, such as Wholesale Banking, Loans, SME-Business Banking, Corporate Compliance, BCP Risks and Supplier Management.</w:t>
      </w:r>
    </w:p>
    <w:p>
      <w:pPr>
        <w:spacing w:after="0" w:line="157" w:lineRule="exact"/>
        <w:rPr>
          <w:sz w:val="20"/>
          <w:szCs w:val="20"/>
          <w:color w:val="auto"/>
        </w:rPr>
      </w:pPr>
    </w:p>
    <w:p>
      <w:pPr>
        <w:jc w:val="both"/>
        <w:ind w:left="120"/>
        <w:spacing w:after="0" w:line="246" w:lineRule="auto"/>
        <w:rPr>
          <w:sz w:val="20"/>
          <w:szCs w:val="20"/>
          <w:color w:val="auto"/>
        </w:rPr>
      </w:pPr>
      <w:r>
        <w:rPr>
          <w:rFonts w:ascii="Arial" w:cs="Arial" w:eastAsia="Arial" w:hAnsi="Arial"/>
          <w:sz w:val="15"/>
          <w:szCs w:val="15"/>
          <w:color w:val="auto"/>
        </w:rPr>
        <w:t>To measure the success of the implementation of our Change Management Program, we included three questions in the annual workplace satisfaction survey. The results obtained were well above the top-two-box of 75% that was initially sought.</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280" w:type="dxa"/>
            <w:vAlign w:val="bottom"/>
            <w:tcBorders>
              <w:top w:val="single" w:sz="8" w:color="auto"/>
              <w:left w:val="single" w:sz="8" w:color="auto"/>
              <w:right w:val="single" w:sz="8" w:color="auto"/>
            </w:tcBorders>
          </w:tcPr>
          <w:p>
            <w:pPr>
              <w:ind w:left="100"/>
              <w:spacing w:after="0" w:line="173" w:lineRule="exact"/>
              <w:rPr>
                <w:sz w:val="20"/>
                <w:szCs w:val="20"/>
                <w:color w:val="auto"/>
              </w:rPr>
            </w:pPr>
            <w:r>
              <w:rPr>
                <w:rFonts w:ascii="Arial" w:cs="Arial" w:eastAsia="Arial" w:hAnsi="Arial"/>
                <w:sz w:val="17"/>
                <w:szCs w:val="17"/>
                <w:b w:val="1"/>
                <w:bCs w:val="1"/>
                <w:color w:val="auto"/>
              </w:rPr>
              <w:t>Questions from the workplace climate survey</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Credicorp</w:t>
            </w:r>
            <w:r>
              <w:rPr>
                <w:rFonts w:ascii="Arial" w:cs="Arial" w:eastAsia="Arial" w:hAnsi="Arial"/>
                <w:sz w:val="28"/>
                <w:szCs w:val="28"/>
                <w:b w:val="1"/>
                <w:bCs w:val="1"/>
                <w:color w:val="auto"/>
                <w:w w:val="92"/>
                <w:vertAlign w:val="superscript"/>
              </w:rPr>
              <w:t>23</w:t>
            </w:r>
          </w:p>
        </w:tc>
        <w:tc>
          <w:tcPr>
            <w:tcW w:w="0" w:type="dxa"/>
            <w:vAlign w:val="bottom"/>
          </w:tcPr>
          <w:p>
            <w:pPr>
              <w:spacing w:after="0"/>
              <w:rPr>
                <w:sz w:val="1"/>
                <w:szCs w:val="1"/>
                <w:color w:val="auto"/>
              </w:rPr>
            </w:pPr>
          </w:p>
        </w:tc>
      </w:tr>
      <w:tr>
        <w:trPr>
          <w:trHeight w:val="208"/>
        </w:trPr>
        <w:tc>
          <w:tcPr>
            <w:tcW w:w="4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2022</w:t>
            </w:r>
          </w:p>
        </w:tc>
        <w:tc>
          <w:tcPr>
            <w:tcW w:w="11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28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I believe that at Credicorp and within my company, there is</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true willingness to advance in the implementation of</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91%</w:t>
            </w:r>
          </w:p>
        </w:tc>
        <w:tc>
          <w:tcPr>
            <w:tcW w:w="0" w:type="dxa"/>
            <w:vAlign w:val="bottom"/>
          </w:tcPr>
          <w:p>
            <w:pPr>
              <w:spacing w:after="0"/>
              <w:rPr>
                <w:sz w:val="1"/>
                <w:szCs w:val="1"/>
                <w:color w:val="auto"/>
              </w:rPr>
            </w:pPr>
          </w:p>
        </w:tc>
      </w:tr>
      <w:tr>
        <w:trPr>
          <w:trHeight w:val="174"/>
        </w:trPr>
        <w:tc>
          <w:tcPr>
            <w:tcW w:w="4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initiatives and the sustainability strategy</w:t>
            </w:r>
          </w:p>
        </w:tc>
        <w:tc>
          <w:tcPr>
            <w:tcW w:w="1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28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I understand the relevance of sustainability to the success</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94%</w:t>
            </w:r>
          </w:p>
        </w:tc>
        <w:tc>
          <w:tcPr>
            <w:tcW w:w="0" w:type="dxa"/>
            <w:vAlign w:val="bottom"/>
          </w:tcPr>
          <w:p>
            <w:pPr>
              <w:spacing w:after="0"/>
              <w:rPr>
                <w:sz w:val="1"/>
                <w:szCs w:val="1"/>
                <w:color w:val="auto"/>
              </w:rPr>
            </w:pPr>
          </w:p>
        </w:tc>
      </w:tr>
      <w:tr>
        <w:trPr>
          <w:trHeight w:val="93"/>
        </w:trPr>
        <w:tc>
          <w:tcPr>
            <w:tcW w:w="42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of Credicorp, my company and stakeholders</w:t>
            </w: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28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Credicorp and my company have made tangible and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91%</w:t>
            </w:r>
          </w:p>
        </w:tc>
        <w:tc>
          <w:tcPr>
            <w:tcW w:w="0" w:type="dxa"/>
            <w:vAlign w:val="bottom"/>
          </w:tcPr>
          <w:p>
            <w:pPr>
              <w:spacing w:after="0"/>
              <w:rPr>
                <w:sz w:val="1"/>
                <w:szCs w:val="1"/>
                <w:color w:val="auto"/>
              </w:rPr>
            </w:pPr>
          </w:p>
        </w:tc>
      </w:tr>
      <w:tr>
        <w:trPr>
          <w:trHeight w:val="93"/>
        </w:trPr>
        <w:tc>
          <w:tcPr>
            <w:tcW w:w="42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concrete progress with regard to sustainability</w:t>
            </w: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1440"/>
        <w:spacing w:after="0" w:line="273" w:lineRule="auto"/>
        <w:rPr>
          <w:sz w:val="20"/>
          <w:szCs w:val="20"/>
          <w:color w:val="auto"/>
        </w:rPr>
      </w:pPr>
      <w:r>
        <w:rPr>
          <w:rFonts w:ascii="Arial" w:cs="Arial" w:eastAsia="Arial" w:hAnsi="Arial"/>
          <w:sz w:val="25"/>
          <w:szCs w:val="25"/>
          <w:b w:val="1"/>
          <w:bCs w:val="1"/>
          <w:color w:val="auto"/>
        </w:rPr>
        <w:t>Integrating ESG factors in the risk management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343344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Economic and Financial Performance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201-2</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1</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 key enabler of our sustainability strategy entails integrating ESG factors in the risk management framework. Despite the fact that we actively manage both our loan and investment fronts, we are seeking to enhance the robustness of management by developing a framework for ESG risk management that aligns our efforts with the best practices in the financial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100330</wp:posOffset>
            </wp:positionV>
            <wp:extent cx="2927985" cy="812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27985" cy="81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132" w:right="319" w:bottom="1440" w:gutter="0" w:footer="0" w:header="0"/>
        </w:sectPr>
      </w:pPr>
    </w:p>
    <w:bookmarkStart w:id="94" w:name="page95"/>
    <w:bookmarkEnd w:id="94"/>
    <w:p>
      <w:pPr>
        <w:spacing w:after="0" w:line="34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2021, we developed an ambitious project with clear objectives that will cover the entire organization and strengthen our management of ESG risks in the short, medium and long-term. The project is currently covering the wholesale loan business line at BCP and BCP Bolivia and the investment business line at Credicorp Capital, Pacífico Seguros, Prima AFP subsidiaries and Treasury at BCP.</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Development of the framework to manage ESG risks began with establishing an aspiration for financing and investment. Subsequently, each of these business lines developed a work plan to 2025. The progress in active management of ESG risks is currently concentrated in the loan and investment lines and is seen primarily at the Environmental level. Progress is further described in the Environmental Chapter, in the section </w:t>
      </w:r>
      <w:r>
        <w:rPr>
          <w:rFonts w:ascii="Arial" w:cs="Arial" w:eastAsia="Arial" w:hAnsi="Arial"/>
          <w:sz w:val="15"/>
          <w:szCs w:val="15"/>
          <w:i w:val="1"/>
          <w:iCs w:val="1"/>
          <w:color w:val="auto"/>
        </w:rPr>
        <w:t>“2) Environmental –</w:t>
      </w:r>
      <w:r>
        <w:rPr>
          <w:rFonts w:ascii="Arial" w:cs="Arial" w:eastAsia="Arial" w:hAnsi="Arial"/>
          <w:sz w:val="15"/>
          <w:szCs w:val="15"/>
          <w:color w:val="auto"/>
        </w:rPr>
        <w:t xml:space="preserve"> </w:t>
      </w:r>
      <w:r>
        <w:rPr>
          <w:rFonts w:ascii="Arial" w:cs="Arial" w:eastAsia="Arial" w:hAnsi="Arial"/>
          <w:sz w:val="15"/>
          <w:szCs w:val="15"/>
          <w:i w:val="1"/>
          <w:iCs w:val="1"/>
          <w:color w:val="auto"/>
        </w:rPr>
        <w:t>ESG Risk Management”.</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 stewards of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343344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30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201F1E"/>
        </w:rPr>
        <w:t>Integrating ESG factors in the Finance function is another fundamental enabler with two fronts: processes and indicator management. In terms of processes, we strive to ensure that our decision-making process is more comprehensive and incorporates our vision of sustainability and its impact on stakeholders. With regard to indicator management, we recognize that progress must be measured quantitatively and qualitatively. As such, in 2022 we continued to utilize our corporate dashboard for sustainability metrics, which consolidates our follow-up on the sustainability program’s progress in fulfilling our ambitions. This is a joint effort between the Finance team and the Sustainability Office, in coordination with sustainability leaders at the subsidiary level, their teams and different “owners” within the business.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Integrating ESG factors in the Finance process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201F1E"/>
        </w:rPr>
        <w:t>In 2022, we began to explore how to leverage finance processes to improve our alignment with our ESG ambitions. As we continue to explore, in 2023 we will begin to experiment with some pilots for project assessment as we refine our review process and quarterly focus.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Our Sustainability Metrics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201F1E"/>
        </w:rPr>
        <w:t>We have a corporate sustainability dashboard for sustainability metrics, which is comprised of the main indicators that we use to measure our strategy and which correspond to the ambitions in our 3 pillars. These metrics contemplate transversal indicators, for example measuring carbon footprints, and specific indicators that are aligned with initiatives at the subsidiary level. To review the results of the corporate metrics, please refer to the annex: Corporate Dashboard for Metrics.</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201F1E"/>
        </w:rPr>
        <w:t>At the corporate level in 2022, we continued to refine our indicator management. With the assistance of international experts, we designed a methodology to measure the impact of our initiatives on society (primarily on our clients) and on the environment. In 2023, we will use this methodology to identify and measure impacts</w:t>
      </w:r>
    </w:p>
    <w:p>
      <w:pPr>
        <w:spacing w:after="0" w:line="20" w:lineRule="exact"/>
        <w:rPr>
          <w:sz w:val="20"/>
          <w:szCs w:val="20"/>
          <w:color w:val="auto"/>
        </w:rPr>
      </w:pPr>
      <w:r>
        <w:rPr>
          <w:sz w:val="20"/>
          <w:szCs w:val="20"/>
          <w:color w:val="auto"/>
        </w:rPr>
        <w:br w:type="column"/>
      </w:r>
    </w:p>
    <w:p>
      <w:pPr>
        <w:jc w:val="both"/>
        <w:ind w:right="20"/>
        <w:spacing w:after="0"/>
        <w:rPr>
          <w:sz w:val="20"/>
          <w:szCs w:val="20"/>
          <w:color w:val="auto"/>
        </w:rPr>
      </w:pPr>
      <w:r>
        <w:rPr>
          <w:rFonts w:ascii="Arial" w:cs="Arial" w:eastAsia="Arial" w:hAnsi="Arial"/>
          <w:sz w:val="15"/>
          <w:szCs w:val="15"/>
          <w:color w:val="201F1E"/>
        </w:rPr>
        <w:t xml:space="preserve">by subsidiary. In 2023, we will continue to strengthen our metrics as we </w:t>
      </w:r>
      <w:r>
        <w:rPr>
          <w:rFonts w:ascii="Arial" w:cs="Arial" w:eastAsia="Arial" w:hAnsi="Arial"/>
          <w:sz w:val="16"/>
          <w:szCs w:val="16"/>
          <w:color w:val="201F1E"/>
        </w:rPr>
        <w:t xml:space="preserve">develop corporate guidelines, </w:t>
      </w:r>
      <w:r>
        <w:rPr>
          <w:rFonts w:ascii="Arial" w:cs="Arial" w:eastAsia="Arial" w:hAnsi="Arial"/>
          <w:sz w:val="15"/>
          <w:szCs w:val="15"/>
          <w:color w:val="201F1E"/>
        </w:rPr>
        <w:t>definitions and objectives for different</w:t>
      </w:r>
      <w:r>
        <w:rPr>
          <w:rFonts w:ascii="Arial" w:cs="Arial" w:eastAsia="Arial" w:hAnsi="Arial"/>
          <w:sz w:val="16"/>
          <w:szCs w:val="16"/>
          <w:color w:val="201F1E"/>
        </w:rPr>
        <w:t xml:space="preserve"> </w:t>
      </w:r>
      <w:r>
        <w:rPr>
          <w:rFonts w:ascii="Arial" w:cs="Arial" w:eastAsia="Arial" w:hAnsi="Arial"/>
          <w:sz w:val="15"/>
          <w:szCs w:val="15"/>
          <w:color w:val="201F1E"/>
        </w:rPr>
        <w:t>platforms. Our focus will be on aspects that present higher maturity levels, such as financial inclusion and financial education.</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Additionally, the subsidiaries incorporate various key sustainability indicators in their aspirational strategic objectives. Next, we provide details on these indicators, with an eye on the mid-term</w:t>
      </w:r>
      <w:r>
        <w:rPr>
          <w:rFonts w:ascii="Arial" w:cs="Arial" w:eastAsia="Arial" w:hAnsi="Arial"/>
          <w:sz w:val="15"/>
          <w:szCs w:val="15"/>
          <w:color w:val="201F1E"/>
        </w:rPr>
        <w:t>:</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020" w:type="dxa"/>
            <w:vAlign w:val="bottom"/>
            <w:tcBorders>
              <w:top w:val="single" w:sz="8" w:color="auto"/>
              <w:left w:val="single" w:sz="8" w:color="auto"/>
              <w:bottom w:val="single" w:sz="8" w:color="auto"/>
              <w:right w:val="single" w:sz="8" w:color="auto"/>
            </w:tcBorders>
            <w:shd w:val="clear" w:color="auto" w:fill="D9E1F2"/>
          </w:tcPr>
          <w:p>
            <w:pPr>
              <w:jc w:val="center"/>
              <w:spacing w:after="0"/>
              <w:rPr>
                <w:sz w:val="20"/>
                <w:szCs w:val="20"/>
                <w:color w:val="auto"/>
              </w:rPr>
            </w:pPr>
            <w:r>
              <w:rPr>
                <w:rFonts w:ascii="Arial" w:cs="Arial" w:eastAsia="Arial" w:hAnsi="Arial"/>
                <w:sz w:val="17"/>
                <w:szCs w:val="17"/>
                <w:b w:val="1"/>
                <w:bCs w:val="1"/>
                <w:color w:val="auto"/>
                <w:w w:val="98"/>
              </w:rPr>
              <w:t>Subsidiary</w:t>
            </w:r>
          </w:p>
        </w:tc>
        <w:tc>
          <w:tcPr>
            <w:tcW w:w="1140" w:type="dxa"/>
            <w:vAlign w:val="bottom"/>
            <w:tcBorders>
              <w:top w:val="single" w:sz="8" w:color="auto"/>
              <w:bottom w:val="single" w:sz="8" w:color="auto"/>
              <w:right w:val="single" w:sz="8" w:color="auto"/>
            </w:tcBorders>
            <w:shd w:val="clear" w:color="auto" w:fill="D9E1F2"/>
          </w:tcPr>
          <w:p>
            <w:pPr>
              <w:ind w:left="200"/>
              <w:spacing w:after="0"/>
              <w:rPr>
                <w:sz w:val="20"/>
                <w:szCs w:val="20"/>
                <w:color w:val="auto"/>
              </w:rPr>
            </w:pPr>
            <w:r>
              <w:rPr>
                <w:rFonts w:ascii="Arial" w:cs="Arial" w:eastAsia="Arial" w:hAnsi="Arial"/>
                <w:sz w:val="17"/>
                <w:szCs w:val="17"/>
                <w:b w:val="1"/>
                <w:bCs w:val="1"/>
                <w:color w:val="auto"/>
              </w:rPr>
              <w:t>Platform</w:t>
            </w:r>
          </w:p>
        </w:tc>
        <w:tc>
          <w:tcPr>
            <w:tcW w:w="2060" w:type="dxa"/>
            <w:vAlign w:val="bottom"/>
            <w:tcBorders>
              <w:top w:val="single" w:sz="8" w:color="auto"/>
              <w:bottom w:val="single" w:sz="8" w:color="auto"/>
              <w:right w:val="single" w:sz="8" w:color="auto"/>
            </w:tcBorders>
            <w:shd w:val="clear" w:color="auto" w:fill="D9E1F2"/>
          </w:tcPr>
          <w:p>
            <w:pPr>
              <w:ind w:left="660"/>
              <w:spacing w:after="0"/>
              <w:rPr>
                <w:sz w:val="20"/>
                <w:szCs w:val="20"/>
                <w:color w:val="auto"/>
              </w:rPr>
            </w:pPr>
            <w:r>
              <w:rPr>
                <w:rFonts w:ascii="Arial" w:cs="Arial" w:eastAsia="Arial" w:hAnsi="Arial"/>
                <w:sz w:val="17"/>
                <w:szCs w:val="17"/>
                <w:b w:val="1"/>
                <w:bCs w:val="1"/>
                <w:color w:val="auto"/>
              </w:rPr>
              <w:t>Indicator</w:t>
            </w:r>
          </w:p>
        </w:tc>
        <w:tc>
          <w:tcPr>
            <w:tcW w:w="1200" w:type="dxa"/>
            <w:vAlign w:val="bottom"/>
            <w:tcBorders>
              <w:top w:val="single" w:sz="8" w:color="auto"/>
              <w:bottom w:val="single" w:sz="8" w:color="auto"/>
              <w:right w:val="single" w:sz="8" w:color="auto"/>
            </w:tcBorders>
            <w:shd w:val="clear" w:color="auto" w:fill="D9E1F2"/>
          </w:tcPr>
          <w:p>
            <w:pPr>
              <w:jc w:val="center"/>
              <w:spacing w:after="0"/>
              <w:rPr>
                <w:sz w:val="20"/>
                <w:szCs w:val="20"/>
                <w:color w:val="auto"/>
              </w:rPr>
            </w:pPr>
            <w:r>
              <w:rPr>
                <w:rFonts w:ascii="Arial" w:cs="Arial" w:eastAsia="Arial" w:hAnsi="Arial"/>
                <w:sz w:val="17"/>
                <w:szCs w:val="17"/>
                <w:b w:val="1"/>
                <w:bCs w:val="1"/>
                <w:color w:val="auto"/>
                <w:w w:val="95"/>
              </w:rPr>
              <w:t>2025</w:t>
            </w: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Number of new clients</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Financial</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who have been financially</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020" w:type="dxa"/>
            <w:vAlign w:val="bottom"/>
            <w:tcBorders>
              <w:left w:val="single" w:sz="8" w:color="auto"/>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7"/>
              </w:rPr>
              <w:t>BCP</w:t>
            </w:r>
          </w:p>
        </w:tc>
        <w:tc>
          <w:tcPr>
            <w:tcW w:w="114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included that have made</w:t>
            </w:r>
          </w:p>
        </w:tc>
        <w:tc>
          <w:tcPr>
            <w:tcW w:w="1200" w:type="dxa"/>
            <w:vAlign w:val="bottom"/>
            <w:tcBorders>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9"/>
              </w:rPr>
              <w:t>6 million</w:t>
            </w:r>
          </w:p>
        </w:tc>
        <w:tc>
          <w:tcPr>
            <w:tcW w:w="0" w:type="dxa"/>
            <w:vAlign w:val="bottom"/>
          </w:tcPr>
          <w:p>
            <w:pPr>
              <w:spacing w:after="0"/>
              <w:rPr>
                <w:sz w:val="1"/>
                <w:szCs w:val="1"/>
                <w:color w:val="auto"/>
              </w:rPr>
            </w:pPr>
          </w:p>
        </w:tc>
      </w:tr>
      <w:tr>
        <w:trPr>
          <w:trHeight w:val="92"/>
        </w:trPr>
        <w:tc>
          <w:tcPr>
            <w:tcW w:w="102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Inclusion</w:t>
            </w:r>
          </w:p>
        </w:tc>
        <w:tc>
          <w:tcPr>
            <w:tcW w:w="206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3 transactions on average</w:t>
            </w: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020" w:type="dxa"/>
            <w:vAlign w:val="bottom"/>
            <w:tcBorders>
              <w:left w:val="single" w:sz="8" w:color="auto"/>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ind w:left="40"/>
              <w:spacing w:after="0" w:line="188" w:lineRule="exact"/>
              <w:rPr>
                <w:sz w:val="20"/>
                <w:szCs w:val="20"/>
                <w:color w:val="auto"/>
              </w:rPr>
            </w:pPr>
            <w:r>
              <w:rPr>
                <w:rFonts w:ascii="Arial" w:cs="Arial" w:eastAsia="Arial" w:hAnsi="Arial"/>
                <w:sz w:val="17"/>
                <w:szCs w:val="17"/>
                <w:color w:val="auto"/>
              </w:rPr>
              <w:t>over the last 3 months</w:t>
            </w:r>
          </w:p>
        </w:tc>
        <w:tc>
          <w:tcPr>
            <w:tcW w:w="1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Opportunities</w:t>
            </w:r>
          </w:p>
        </w:tc>
        <w:tc>
          <w:tcPr>
            <w:tcW w:w="20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and products</w:t>
            </w:r>
          </w:p>
        </w:tc>
        <w:tc>
          <w:tcPr>
            <w:tcW w:w="20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for women to</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Women banked (% of</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65%</w:t>
            </w: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9"/>
              </w:rPr>
              <w:t>Mibanco</w:t>
            </w:r>
          </w:p>
        </w:tc>
        <w:tc>
          <w:tcPr>
            <w:tcW w:w="114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bolster</w:t>
            </w: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total banked)</w:t>
            </w: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02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4"/>
              </w:rPr>
              <w:t>Perú</w:t>
            </w: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financial</w:t>
            </w:r>
          </w:p>
        </w:tc>
        <w:tc>
          <w:tcPr>
            <w:tcW w:w="20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40"/>
              <w:spacing w:after="0" w:line="188" w:lineRule="exact"/>
              <w:rPr>
                <w:sz w:val="20"/>
                <w:szCs w:val="20"/>
                <w:color w:val="auto"/>
              </w:rPr>
            </w:pPr>
            <w:r>
              <w:rPr>
                <w:rFonts w:ascii="Arial" w:cs="Arial" w:eastAsia="Arial" w:hAnsi="Arial"/>
                <w:sz w:val="17"/>
                <w:szCs w:val="17"/>
                <w:color w:val="auto"/>
              </w:rPr>
              <w:t>inclusion</w:t>
            </w:r>
          </w:p>
        </w:tc>
        <w:tc>
          <w:tcPr>
            <w:tcW w:w="20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Financial</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Market share (%) of</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25%</w:t>
            </w: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Inclusion</w:t>
            </w:r>
          </w:p>
        </w:tc>
        <w:tc>
          <w:tcPr>
            <w:tcW w:w="206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banked population</w:t>
            </w: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020" w:type="dxa"/>
            <w:vAlign w:val="bottom"/>
            <w:tcBorders>
              <w:left w:val="single" w:sz="8" w:color="auto"/>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206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Mibanco</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Financial</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People banked from 2023</w:t>
            </w:r>
          </w:p>
        </w:tc>
        <w:tc>
          <w:tcPr>
            <w:tcW w:w="120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rPr>
              <w:t>140 thousand</w:t>
            </w:r>
          </w:p>
        </w:tc>
        <w:tc>
          <w:tcPr>
            <w:tcW w:w="0" w:type="dxa"/>
            <w:vAlign w:val="bottom"/>
          </w:tcPr>
          <w:p>
            <w:pPr>
              <w:spacing w:after="0"/>
              <w:rPr>
                <w:sz w:val="1"/>
                <w:szCs w:val="1"/>
                <w:color w:val="auto"/>
              </w:rPr>
            </w:pPr>
          </w:p>
        </w:tc>
      </w:tr>
      <w:tr>
        <w:trPr>
          <w:trHeight w:val="92"/>
        </w:trPr>
        <w:tc>
          <w:tcPr>
            <w:tcW w:w="102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to 2025</w:t>
            </w:r>
          </w:p>
        </w:tc>
        <w:tc>
          <w:tcPr>
            <w:tcW w:w="1200" w:type="dxa"/>
            <w:vAlign w:val="bottom"/>
            <w:tcBorders>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8"/>
              </w:rPr>
              <w:t>additional</w:t>
            </w:r>
          </w:p>
        </w:tc>
        <w:tc>
          <w:tcPr>
            <w:tcW w:w="0" w:type="dxa"/>
            <w:vAlign w:val="bottom"/>
          </w:tcPr>
          <w:p>
            <w:pPr>
              <w:spacing w:after="0"/>
              <w:rPr>
                <w:sz w:val="1"/>
                <w:szCs w:val="1"/>
                <w:color w:val="auto"/>
              </w:rPr>
            </w:pPr>
          </w:p>
        </w:tc>
      </w:tr>
      <w:tr>
        <w:trPr>
          <w:trHeight w:val="92"/>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Colombia</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Inclusion</w:t>
            </w:r>
          </w:p>
        </w:tc>
        <w:tc>
          <w:tcPr>
            <w:tcW w:w="206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people</w:t>
            </w:r>
          </w:p>
        </w:tc>
        <w:tc>
          <w:tcPr>
            <w:tcW w:w="0" w:type="dxa"/>
            <w:vAlign w:val="bottom"/>
          </w:tcPr>
          <w:p>
            <w:pPr>
              <w:spacing w:after="0"/>
              <w:rPr>
                <w:sz w:val="1"/>
                <w:szCs w:val="1"/>
                <w:color w:val="auto"/>
              </w:rPr>
            </w:pPr>
          </w:p>
        </w:tc>
      </w:tr>
      <w:tr>
        <w:trPr>
          <w:trHeight w:val="88"/>
        </w:trPr>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Financial</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Stock of inclusive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4.2 million</w:t>
            </w: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Inclusion</w:t>
            </w:r>
          </w:p>
        </w:tc>
        <w:tc>
          <w:tcPr>
            <w:tcW w:w="206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insurance policies</w:t>
            </w: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020" w:type="dxa"/>
            <w:vAlign w:val="bottom"/>
            <w:tcBorders>
              <w:left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206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Insurance education</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Financial</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indicator derived from</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63%</w:t>
            </w: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Pacífico</w:t>
            </w:r>
          </w:p>
        </w:tc>
        <w:tc>
          <w:tcPr>
            <w:tcW w:w="114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Education</w:t>
            </w: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Public Opinion in the</w:t>
            </w: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02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02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Reputation Study</w:t>
            </w: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Seguros</w:t>
            </w:r>
          </w:p>
        </w:tc>
        <w:tc>
          <w:tcPr>
            <w:tcW w:w="114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2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Simplicity</w:t>
            </w: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Indicator to measure</w:t>
            </w:r>
          </w:p>
        </w:tc>
        <w:tc>
          <w:tcPr>
            <w:tcW w:w="1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02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and</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satisfaction with simplicity</w:t>
            </w:r>
          </w:p>
        </w:tc>
        <w:tc>
          <w:tcPr>
            <w:tcW w:w="120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3"/>
              </w:rPr>
              <w:t>81%</w:t>
            </w: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40"/>
              <w:spacing w:after="0" w:line="188" w:lineRule="exact"/>
              <w:rPr>
                <w:sz w:val="20"/>
                <w:szCs w:val="20"/>
                <w:color w:val="auto"/>
              </w:rPr>
            </w:pPr>
            <w:r>
              <w:rPr>
                <w:rFonts w:ascii="Arial" w:cs="Arial" w:eastAsia="Arial" w:hAnsi="Arial"/>
                <w:sz w:val="17"/>
                <w:szCs w:val="17"/>
                <w:color w:val="auto"/>
              </w:rPr>
              <w:t>transparency</w:t>
            </w:r>
          </w:p>
        </w:tc>
        <w:tc>
          <w:tcPr>
            <w:tcW w:w="2060" w:type="dxa"/>
            <w:vAlign w:val="bottom"/>
            <w:tcBorders>
              <w:bottom w:val="single" w:sz="8" w:color="auto"/>
              <w:right w:val="single" w:sz="8" w:color="auto"/>
            </w:tcBorders>
          </w:tcPr>
          <w:p>
            <w:pPr>
              <w:ind w:left="40"/>
              <w:spacing w:after="0" w:line="188" w:lineRule="exact"/>
              <w:rPr>
                <w:sz w:val="20"/>
                <w:szCs w:val="20"/>
                <w:color w:val="auto"/>
              </w:rPr>
            </w:pPr>
            <w:r>
              <w:rPr>
                <w:rFonts w:ascii="Arial" w:cs="Arial" w:eastAsia="Arial" w:hAnsi="Arial"/>
                <w:sz w:val="17"/>
                <w:szCs w:val="17"/>
                <w:color w:val="auto"/>
              </w:rPr>
              <w:t>and transparency</w:t>
            </w:r>
          </w:p>
        </w:tc>
        <w:tc>
          <w:tcPr>
            <w:tcW w:w="1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Sustainable</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PRI Assessment: Policy</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4 points</w:t>
            </w: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AuMs</w:t>
            </w:r>
          </w:p>
        </w:tc>
        <w:tc>
          <w:tcPr>
            <w:tcW w:w="206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Module</w:t>
            </w: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020" w:type="dxa"/>
            <w:vAlign w:val="bottom"/>
            <w:tcBorders>
              <w:left w:val="single" w:sz="8" w:color="auto"/>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206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PRI Assessment: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5 points</w:t>
            </w: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rPr>
              <w:t>Credicorp</w:t>
            </w:r>
          </w:p>
        </w:tc>
        <w:tc>
          <w:tcPr>
            <w:tcW w:w="114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Sustainable</w:t>
            </w: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Investment and</w:t>
            </w:r>
          </w:p>
        </w:tc>
        <w:tc>
          <w:tcPr>
            <w:tcW w:w="1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20" w:type="dxa"/>
            <w:vAlign w:val="bottom"/>
            <w:tcBorders>
              <w:left w:val="single" w:sz="8" w:color="auto"/>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i w:val="1"/>
                <w:iCs w:val="1"/>
                <w:color w:val="auto"/>
              </w:rPr>
              <w:t>(2024)</w:t>
            </w:r>
          </w:p>
        </w:tc>
        <w:tc>
          <w:tcPr>
            <w:tcW w:w="0" w:type="dxa"/>
            <w:vAlign w:val="bottom"/>
          </w:tcPr>
          <w:p>
            <w:pPr>
              <w:spacing w:after="0"/>
              <w:rPr>
                <w:sz w:val="1"/>
                <w:szCs w:val="1"/>
                <w:color w:val="auto"/>
              </w:rPr>
            </w:pPr>
          </w:p>
        </w:tc>
      </w:tr>
      <w:tr>
        <w:trPr>
          <w:trHeight w:val="97"/>
        </w:trPr>
        <w:tc>
          <w:tcPr>
            <w:tcW w:w="1020" w:type="dxa"/>
            <w:vAlign w:val="bottom"/>
            <w:tcBorders>
              <w:left w:val="single" w:sz="8" w:color="auto"/>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rPr>
              <w:t>Capital</w:t>
            </w:r>
          </w:p>
        </w:tc>
        <w:tc>
          <w:tcPr>
            <w:tcW w:w="114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AuMs</w:t>
            </w:r>
          </w:p>
        </w:tc>
        <w:tc>
          <w:tcPr>
            <w:tcW w:w="206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Stewardship Policy</w:t>
            </w: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2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ind w:left="40"/>
              <w:spacing w:after="0" w:line="188" w:lineRule="exact"/>
              <w:rPr>
                <w:sz w:val="20"/>
                <w:szCs w:val="20"/>
                <w:color w:val="auto"/>
              </w:rPr>
            </w:pPr>
            <w:r>
              <w:rPr>
                <w:rFonts w:ascii="Arial" w:cs="Arial" w:eastAsia="Arial" w:hAnsi="Arial"/>
                <w:sz w:val="17"/>
                <w:szCs w:val="17"/>
                <w:color w:val="auto"/>
              </w:rPr>
              <w:t>module</w:t>
            </w:r>
          </w:p>
        </w:tc>
        <w:tc>
          <w:tcPr>
            <w:tcW w:w="1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7"/>
              </w:rPr>
              <w:t>BCP</w:t>
            </w:r>
          </w:p>
        </w:tc>
        <w:tc>
          <w:tcPr>
            <w:tcW w:w="11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Financial</w:t>
            </w:r>
          </w:p>
        </w:tc>
        <w:tc>
          <w:tcPr>
            <w:tcW w:w="206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Usability in Soli</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50%</w:t>
            </w:r>
          </w:p>
        </w:tc>
        <w:tc>
          <w:tcPr>
            <w:tcW w:w="0" w:type="dxa"/>
            <w:vAlign w:val="bottom"/>
          </w:tcPr>
          <w:p>
            <w:pPr>
              <w:spacing w:after="0"/>
              <w:rPr>
                <w:sz w:val="1"/>
                <w:szCs w:val="1"/>
                <w:color w:val="auto"/>
              </w:rPr>
            </w:pPr>
          </w:p>
        </w:tc>
      </w:tr>
      <w:tr>
        <w:trPr>
          <w:trHeight w:val="111"/>
        </w:trPr>
        <w:tc>
          <w:tcPr>
            <w:tcW w:w="1020" w:type="dxa"/>
            <w:vAlign w:val="bottom"/>
            <w:tcBorders>
              <w:left w:val="single" w:sz="8" w:color="auto"/>
              <w:right w:val="single" w:sz="8" w:color="auto"/>
            </w:tcBorders>
            <w:vMerge w:val="restart"/>
          </w:tcPr>
          <w:p>
            <w:pPr>
              <w:jc w:val="center"/>
              <w:spacing w:after="0" w:line="188" w:lineRule="exact"/>
              <w:rPr>
                <w:sz w:val="20"/>
                <w:szCs w:val="20"/>
                <w:color w:val="auto"/>
              </w:rPr>
            </w:pPr>
            <w:r>
              <w:rPr>
                <w:rFonts w:ascii="Arial" w:cs="Arial" w:eastAsia="Arial" w:hAnsi="Arial"/>
                <w:sz w:val="17"/>
                <w:szCs w:val="17"/>
                <w:color w:val="auto"/>
                <w:w w:val="99"/>
              </w:rPr>
              <w:t>Bolivia</w:t>
            </w:r>
          </w:p>
        </w:tc>
        <w:tc>
          <w:tcPr>
            <w:tcW w:w="1140" w:type="dxa"/>
            <w:vAlign w:val="bottom"/>
            <w:tcBorders>
              <w:right w:val="single" w:sz="8" w:color="auto"/>
            </w:tcBorders>
            <w:vMerge w:val="restart"/>
          </w:tcPr>
          <w:p>
            <w:pPr>
              <w:ind w:left="40"/>
              <w:spacing w:after="0" w:line="188" w:lineRule="exact"/>
              <w:rPr>
                <w:sz w:val="20"/>
                <w:szCs w:val="20"/>
                <w:color w:val="auto"/>
              </w:rPr>
            </w:pPr>
            <w:r>
              <w:rPr>
                <w:rFonts w:ascii="Arial" w:cs="Arial" w:eastAsia="Arial" w:hAnsi="Arial"/>
                <w:sz w:val="17"/>
                <w:szCs w:val="17"/>
                <w:color w:val="auto"/>
              </w:rPr>
              <w:t>Inclusion</w:t>
            </w:r>
          </w:p>
        </w:tc>
        <w:tc>
          <w:tcPr>
            <w:tcW w:w="20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0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40" w:right="31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04"/>
        </w:trPr>
        <w:tc>
          <w:tcPr>
            <w:tcW w:w="700" w:type="dxa"/>
            <w:vAlign w:val="bottom"/>
            <w:tcBorders>
              <w:top w:val="single" w:sz="8" w:color="auto"/>
              <w:left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spacing w:after="0"/>
              <w:rPr>
                <w:sz w:val="17"/>
                <w:szCs w:val="17"/>
                <w:color w:val="auto"/>
              </w:rPr>
            </w:pPr>
          </w:p>
        </w:tc>
        <w:tc>
          <w:tcPr>
            <w:tcW w:w="2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PRI Assessment: Investment</w:t>
            </w:r>
          </w:p>
        </w:tc>
        <w:tc>
          <w:tcPr>
            <w:tcW w:w="12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0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Sustainable</w:t>
            </w:r>
          </w:p>
        </w:tc>
        <w:tc>
          <w:tcPr>
            <w:tcW w:w="232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and Stewardship Policy</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r>
        <w:trPr>
          <w:trHeight w:val="95"/>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AuMs</w:t>
            </w:r>
          </w:p>
        </w:tc>
        <w:tc>
          <w:tcPr>
            <w:tcW w:w="232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module and Indirect Assets</w:t>
            </w:r>
          </w:p>
        </w:tc>
        <w:tc>
          <w:tcPr>
            <w:tcW w:w="1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700" w:type="dxa"/>
            <w:vAlign w:val="bottom"/>
            <w:tcBorders>
              <w:left w:val="single" w:sz="8" w:color="auto"/>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00" w:type="dxa"/>
            <w:vAlign w:val="bottom"/>
            <w:tcBorders>
              <w:left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ind w:left="40"/>
              <w:spacing w:after="0" w:line="188" w:lineRule="exact"/>
              <w:rPr>
                <w:sz w:val="20"/>
                <w:szCs w:val="20"/>
                <w:color w:val="auto"/>
              </w:rPr>
            </w:pPr>
            <w:r>
              <w:rPr>
                <w:rFonts w:ascii="Arial" w:cs="Arial" w:eastAsia="Arial" w:hAnsi="Arial"/>
                <w:sz w:val="17"/>
                <w:szCs w:val="17"/>
                <w:color w:val="auto"/>
              </w:rPr>
              <w:t>Module</w:t>
            </w:r>
          </w:p>
        </w:tc>
        <w:tc>
          <w:tcPr>
            <w:tcW w:w="1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Financial</w:t>
            </w:r>
          </w:p>
        </w:tc>
        <w:tc>
          <w:tcPr>
            <w:tcW w:w="232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Open voluntary contribution</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270,000</w:t>
            </w:r>
          </w:p>
        </w:tc>
        <w:tc>
          <w:tcPr>
            <w:tcW w:w="0" w:type="dxa"/>
            <w:vAlign w:val="bottom"/>
          </w:tcPr>
          <w:p>
            <w:pPr>
              <w:spacing w:after="0"/>
              <w:rPr>
                <w:sz w:val="1"/>
                <w:szCs w:val="1"/>
                <w:color w:val="auto"/>
              </w:rPr>
            </w:pPr>
          </w:p>
        </w:tc>
      </w:tr>
      <w:tr>
        <w:trPr>
          <w:trHeight w:val="92"/>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vMerge w:val="restart"/>
          </w:tcPr>
          <w:p>
            <w:pPr>
              <w:ind w:left="40"/>
              <w:spacing w:after="0" w:line="176" w:lineRule="exact"/>
              <w:rPr>
                <w:sz w:val="20"/>
                <w:szCs w:val="20"/>
                <w:color w:val="auto"/>
              </w:rPr>
            </w:pPr>
            <w:r>
              <w:rPr>
                <w:rFonts w:ascii="Arial" w:cs="Arial" w:eastAsia="Arial" w:hAnsi="Arial"/>
                <w:sz w:val="17"/>
                <w:szCs w:val="17"/>
                <w:color w:val="auto"/>
              </w:rPr>
              <w:t>accounts for pensions that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accounts</w:t>
            </w:r>
          </w:p>
        </w:tc>
        <w:tc>
          <w:tcPr>
            <w:tcW w:w="0" w:type="dxa"/>
            <w:vAlign w:val="bottom"/>
          </w:tcPr>
          <w:p>
            <w:pPr>
              <w:spacing w:after="0"/>
              <w:rPr>
                <w:sz w:val="1"/>
                <w:szCs w:val="1"/>
                <w:color w:val="auto"/>
              </w:rPr>
            </w:pPr>
          </w:p>
        </w:tc>
      </w:tr>
      <w:tr>
        <w:trPr>
          <w:trHeight w:val="83"/>
        </w:trPr>
        <w:tc>
          <w:tcPr>
            <w:tcW w:w="700" w:type="dxa"/>
            <w:vAlign w:val="bottom"/>
            <w:tcBorders>
              <w:left w:val="single" w:sz="8" w:color="auto"/>
              <w:right w:val="single" w:sz="8" w:color="auto"/>
            </w:tcBorders>
          </w:tcPr>
          <w:p>
            <w:pPr>
              <w:spacing w:after="0"/>
              <w:rPr>
                <w:sz w:val="7"/>
                <w:szCs w:val="7"/>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Inclusion</w:t>
            </w:r>
          </w:p>
        </w:tc>
        <w:tc>
          <w:tcPr>
            <w:tcW w:w="232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Prima</w:t>
            </w:r>
          </w:p>
        </w:tc>
        <w:tc>
          <w:tcPr>
            <w:tcW w:w="110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have a positive balance</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accumulated</w:t>
            </w:r>
          </w:p>
        </w:tc>
        <w:tc>
          <w:tcPr>
            <w:tcW w:w="0" w:type="dxa"/>
            <w:vAlign w:val="bottom"/>
          </w:tcPr>
          <w:p>
            <w:pPr>
              <w:spacing w:after="0"/>
              <w:rPr>
                <w:sz w:val="1"/>
                <w:szCs w:val="1"/>
                <w:color w:val="auto"/>
              </w:rPr>
            </w:pPr>
          </w:p>
        </w:tc>
      </w:tr>
      <w:tr>
        <w:trPr>
          <w:trHeight w:val="92"/>
        </w:trPr>
        <w:tc>
          <w:tcPr>
            <w:tcW w:w="700" w:type="dxa"/>
            <w:vAlign w:val="bottom"/>
            <w:tcBorders>
              <w:left w:val="single" w:sz="8" w:color="auto"/>
              <w:right w:val="single" w:sz="8" w:color="auto"/>
            </w:tcBorders>
            <w:vMerge w:val="continue"/>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23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70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6"/>
              </w:rPr>
              <w:t>AFP</w:t>
            </w:r>
          </w:p>
        </w:tc>
        <w:tc>
          <w:tcPr>
            <w:tcW w:w="1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0" w:type="dxa"/>
            <w:vAlign w:val="bottom"/>
            <w:tcBorders>
              <w:left w:val="single" w:sz="8" w:color="auto"/>
              <w:right w:val="single" w:sz="8" w:color="auto"/>
            </w:tcBorders>
            <w:vMerge w:val="continue"/>
          </w:tcPr>
          <w:p>
            <w:pPr>
              <w:spacing w:after="0"/>
              <w:rPr>
                <w:sz w:val="16"/>
                <w:szCs w:val="16"/>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Financial</w:t>
            </w:r>
          </w:p>
        </w:tc>
        <w:tc>
          <w:tcPr>
            <w:tcW w:w="232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Young people impacted by</w:t>
            </w: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the financial education</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92"/>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Education</w:t>
            </w:r>
          </w:p>
        </w:tc>
        <w:tc>
          <w:tcPr>
            <w:tcW w:w="23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program</w:t>
            </w: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23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70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rPr>
              <w:t>Simplicity</w:t>
            </w:r>
          </w:p>
        </w:tc>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Understanding of</w:t>
            </w: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vMerge w:val="restart"/>
          </w:tcPr>
          <w:p>
            <w:pPr>
              <w:ind w:left="40"/>
              <w:spacing w:after="0" w:line="185" w:lineRule="exact"/>
              <w:rPr>
                <w:sz w:val="20"/>
                <w:szCs w:val="20"/>
                <w:color w:val="auto"/>
              </w:rPr>
            </w:pPr>
            <w:r>
              <w:rPr>
                <w:rFonts w:ascii="Arial" w:cs="Arial" w:eastAsia="Arial" w:hAnsi="Arial"/>
                <w:sz w:val="17"/>
                <w:szCs w:val="17"/>
                <w:color w:val="auto"/>
              </w:rPr>
              <w:t>and</w:t>
            </w:r>
          </w:p>
        </w:tc>
        <w:tc>
          <w:tcPr>
            <w:tcW w:w="23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92"/>
        </w:trPr>
        <w:tc>
          <w:tcPr>
            <w:tcW w:w="70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communications</w:t>
            </w:r>
          </w:p>
        </w:tc>
        <w:tc>
          <w:tcPr>
            <w:tcW w:w="1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11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transparency</w:t>
            </w:r>
          </w:p>
        </w:tc>
        <w:tc>
          <w:tcPr>
            <w:tcW w:w="232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right="800"/>
        <w:spacing w:after="0" w:line="273" w:lineRule="auto"/>
        <w:rPr>
          <w:sz w:val="20"/>
          <w:szCs w:val="20"/>
          <w:color w:val="auto"/>
        </w:rPr>
      </w:pPr>
      <w:r>
        <w:rPr>
          <w:rFonts w:ascii="Arial" w:cs="Arial" w:eastAsia="Arial" w:hAnsi="Arial"/>
          <w:sz w:val="25"/>
          <w:szCs w:val="25"/>
          <w:b w:val="1"/>
          <w:bCs w:val="1"/>
          <w:color w:val="auto"/>
        </w:rPr>
        <w:t>Strengthening relations with the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43344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33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Since the founding of Credicorp and its listing on stock exchanges, we have developed a series of communications channels with different participants in the capital markets. These venues are bi-directional and allow us to transmit information on our strategy, management and progress and to gather information on the expectations of the aforementioned participants and incorporate the same in our decision-making process. The universe of participants in the capital markets includes investors, analysts, regulatory institutions, rating agencies and proxy advisors.</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After creating the Sustainability Program, we saw a need to improve access to relevant information on sustainability. As such, in 2021 Credicorp incorporated international standards for sustainability reporting: Global Reporting Initiative (GRI) and Sustainability Accounting Standard Board (SASB). In 2022, we published a complementary </w:t>
      </w:r>
      <w:r>
        <w:rPr>
          <w:rFonts w:ascii="Arial" w:cs="Arial" w:eastAsia="Arial" w:hAnsi="Arial"/>
          <w:sz w:val="15"/>
          <w:szCs w:val="15"/>
          <w:u w:val="single" w:color="auto"/>
          <w:color w:val="auto"/>
        </w:rPr>
        <w:t>annex</w:t>
      </w:r>
      <w:r>
        <w:rPr>
          <w:rFonts w:ascii="Arial" w:cs="Arial" w:eastAsia="Arial" w:hAnsi="Arial"/>
          <w:sz w:val="15"/>
          <w:szCs w:val="15"/>
          <w:color w:val="auto"/>
        </w:rPr>
        <w:t xml:space="preserve"> that contains variables of interest to investors and rating agencies. Over time, we expect to increase the robustness of this content. The materiality analysis presented in this report used a large portion of the information obtained in interactions with these participants, which leveraged the trust relations we have forged over the years to improve the richness of the qualitative and quantitative data acquired. The results of this analysis are described in the </w:t>
      </w:r>
      <w:r>
        <w:rPr>
          <w:rFonts w:ascii="Arial" w:cs="Arial" w:eastAsia="Arial" w:hAnsi="Arial"/>
          <w:sz w:val="15"/>
          <w:szCs w:val="15"/>
          <w:i w:val="1"/>
          <w:iCs w:val="1"/>
          <w:color w:val="auto"/>
        </w:rPr>
        <w:t>“Materiality Analysis and Strategy”</w:t>
      </w:r>
      <w:r>
        <w:rPr>
          <w:rFonts w:ascii="Arial" w:cs="Arial" w:eastAsia="Arial" w:hAnsi="Arial"/>
          <w:sz w:val="15"/>
          <w:szCs w:val="15"/>
          <w:color w:val="auto"/>
        </w:rPr>
        <w:t xml:space="preserve"> section.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2F5496"/>
        </w:rPr>
        <w:t>Investor Relations</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Our management of and relations with investors are guided by our purpose to “connect the market to Credicorp’s strategy and value.” To accomplish this, we build relations through on-going communication and interaction with the market’s participants. Our interactions are bi-directional (from and to the company) and</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5"/>
          <w:szCs w:val="15"/>
          <w:color w:val="auto"/>
        </w:rPr>
        <w:t>serve as a platform to inform the market of our value proposition and incorporate stakeholder expectations in the Group’s strategic decision-making processes.</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Our relations are governed by 3 principles:</w:t>
      </w:r>
    </w:p>
    <w:p>
      <w:pPr>
        <w:spacing w:after="0" w:line="173" w:lineRule="exact"/>
        <w:rPr>
          <w:sz w:val="20"/>
          <w:szCs w:val="20"/>
          <w:color w:val="auto"/>
        </w:rPr>
      </w:pPr>
    </w:p>
    <w:p>
      <w:pPr>
        <w:jc w:val="both"/>
        <w:ind w:left="520" w:right="20" w:hanging="303"/>
        <w:spacing w:after="0" w:line="249" w:lineRule="auto"/>
        <w:tabs>
          <w:tab w:leader="none" w:pos="520" w:val="left"/>
        </w:tabs>
        <w:numPr>
          <w:ilvl w:val="0"/>
          <w:numId w:val="46"/>
        </w:numPr>
        <w:rPr>
          <w:rFonts w:ascii="Arial" w:cs="Arial" w:eastAsia="Arial" w:hAnsi="Arial"/>
          <w:sz w:val="15"/>
          <w:szCs w:val="15"/>
          <w:b w:val="1"/>
          <w:bCs w:val="1"/>
          <w:color w:val="E93CAC"/>
        </w:rPr>
      </w:pPr>
      <w:r>
        <w:rPr>
          <w:rFonts w:ascii="Arial" w:cs="Arial" w:eastAsia="Arial" w:hAnsi="Arial"/>
          <w:sz w:val="15"/>
          <w:szCs w:val="15"/>
          <w:color w:val="auto"/>
        </w:rPr>
        <w:t>Transparency and equity: providing relevant strategic, financial, and operational information in a transparent fashion that respects parameters of equal treatment for all stakeholders.</w:t>
      </w:r>
    </w:p>
    <w:p>
      <w:pPr>
        <w:spacing w:after="0" w:line="166" w:lineRule="exact"/>
        <w:rPr>
          <w:rFonts w:ascii="Arial" w:cs="Arial" w:eastAsia="Arial" w:hAnsi="Arial"/>
          <w:sz w:val="15"/>
          <w:szCs w:val="15"/>
          <w:b w:val="1"/>
          <w:bCs w:val="1"/>
          <w:color w:val="E93CAC"/>
        </w:rPr>
      </w:pPr>
    </w:p>
    <w:p>
      <w:pPr>
        <w:jc w:val="both"/>
        <w:ind w:left="520" w:right="20" w:hanging="303"/>
        <w:spacing w:after="0" w:line="245" w:lineRule="auto"/>
        <w:tabs>
          <w:tab w:leader="none" w:pos="520" w:val="left"/>
        </w:tabs>
        <w:numPr>
          <w:ilvl w:val="0"/>
          <w:numId w:val="46"/>
        </w:numPr>
        <w:rPr>
          <w:rFonts w:ascii="Arial" w:cs="Arial" w:eastAsia="Arial" w:hAnsi="Arial"/>
          <w:sz w:val="15"/>
          <w:szCs w:val="15"/>
          <w:b w:val="1"/>
          <w:bCs w:val="1"/>
          <w:color w:val="E93CAC"/>
        </w:rPr>
      </w:pPr>
      <w:r>
        <w:rPr>
          <w:rFonts w:ascii="Arial" w:cs="Arial" w:eastAsia="Arial" w:hAnsi="Arial"/>
          <w:sz w:val="15"/>
          <w:szCs w:val="15"/>
          <w:color w:val="auto"/>
        </w:rPr>
        <w:t>Opportunity and Quality: guaranteeing opportune disclosure of information to our stakeholders and providing high-quality information in terms of presentation, analysis, and consistency, in accordance with application legislation and best practices, so that they can make informed and on-target decisions.</w:t>
      </w:r>
    </w:p>
    <w:p>
      <w:pPr>
        <w:spacing w:after="0" w:line="168" w:lineRule="exact"/>
        <w:rPr>
          <w:rFonts w:ascii="Arial" w:cs="Arial" w:eastAsia="Arial" w:hAnsi="Arial"/>
          <w:sz w:val="15"/>
          <w:szCs w:val="15"/>
          <w:b w:val="1"/>
          <w:bCs w:val="1"/>
          <w:color w:val="E93CAC"/>
        </w:rPr>
      </w:pPr>
    </w:p>
    <w:p>
      <w:pPr>
        <w:ind w:left="520" w:right="20" w:hanging="303"/>
        <w:spacing w:after="0" w:line="258" w:lineRule="auto"/>
        <w:tabs>
          <w:tab w:leader="none" w:pos="520" w:val="left"/>
        </w:tabs>
        <w:numPr>
          <w:ilvl w:val="0"/>
          <w:numId w:val="46"/>
        </w:numPr>
        <w:rPr>
          <w:rFonts w:ascii="Arial" w:cs="Arial" w:eastAsia="Arial" w:hAnsi="Arial"/>
          <w:sz w:val="15"/>
          <w:szCs w:val="15"/>
          <w:b w:val="1"/>
          <w:bCs w:val="1"/>
          <w:color w:val="E93CAC"/>
        </w:rPr>
      </w:pPr>
      <w:r>
        <w:rPr>
          <w:rFonts w:ascii="Arial" w:cs="Arial" w:eastAsia="Arial" w:hAnsi="Arial"/>
          <w:sz w:val="15"/>
          <w:szCs w:val="15"/>
          <w:color w:val="auto"/>
        </w:rPr>
        <w:t>Empathy and Assertiveness: forging trust-based relations that benefit the company and the stakeholders represented on it.</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Our communications and interactions are maintained through diverse channels, including meetings, calls, conferences, events, publications, among others which are frequently used. Additionally, Credicorp's website (</w:t>
      </w:r>
      <w:r>
        <w:rPr>
          <w:rFonts w:ascii="Arial" w:cs="Arial" w:eastAsia="Arial" w:hAnsi="Arial"/>
          <w:sz w:val="15"/>
          <w:szCs w:val="15"/>
          <w:u w:val="single" w:color="auto"/>
          <w:color w:val="auto"/>
        </w:rPr>
        <w:t>credicorp.gcs-web.com</w:t>
      </w:r>
      <w:r>
        <w:rPr>
          <w:rFonts w:ascii="Arial" w:cs="Arial" w:eastAsia="Arial" w:hAnsi="Arial"/>
          <w:sz w:val="15"/>
          <w:szCs w:val="15"/>
          <w:color w:val="auto"/>
          <w:highlight w:val="white"/>
        </w:rPr>
        <w:t>) contains information about the company and its subsidiaries. The</w:t>
      </w:r>
      <w:r>
        <w:rPr>
          <w:rFonts w:ascii="Arial" w:cs="Arial" w:eastAsia="Arial" w:hAnsi="Arial"/>
          <w:sz w:val="15"/>
          <w:szCs w:val="15"/>
          <w:color w:val="auto"/>
        </w:rPr>
        <w:t xml:space="preserve"> website includes stock information, dividend policy, financial results, quarterly and annual reports and presentations, events and conferences, press releases, information reported to U.S. Security and Exchange Commission (SEC), sustainability documents, whistleblower system, among others.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In 2022, we continued to inform the capital markets of our progress in the realm of sustainability and placed particular emphasis on ESG in our conference calls for quarterly results. To further disseminate information on our sustainability and ESG journeys, in 2022 we hosted a number of encounters to discuss our focus and achievements and rolled out our second ESG Update and visited investors in New York, London and Paris. We received powerful feedback at these meetings and are better equipped to understand investors’ concerns and expectations.</w:t>
      </w:r>
    </w:p>
    <w:p>
      <w:pPr>
        <w:spacing w:after="0" w:line="318"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 xml:space="preserve">For more detail about our Investor interactions, please visit the Annex of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0000EE"/>
        </w:rPr>
        <w:t>How</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0000EE"/>
        </w:rPr>
        <w:t>we approach relations with our stakeholders</w:t>
      </w:r>
      <w:r>
        <w:rPr>
          <w:rFonts w:ascii="Arial" w:cs="Arial" w:eastAsia="Arial" w:hAnsi="Arial"/>
          <w:sz w:val="15"/>
          <w:szCs w:val="15"/>
          <w:i w:val="1"/>
          <w:iCs w:val="1"/>
          <w:color w:val="000000"/>
          <w:highlight w:val="white"/>
        </w:rPr>
        <w:t>”</w:t>
      </w:r>
      <w:r>
        <w:rPr>
          <w:rFonts w:ascii="Arial" w:cs="Arial" w:eastAsia="Arial" w:hAnsi="Arial"/>
          <w:sz w:val="15"/>
          <w:szCs w:val="15"/>
          <w:i w:val="1"/>
          <w:iCs w:val="1"/>
          <w:color w:val="0000EE"/>
        </w:rPr>
        <w:t xml:space="preserve"> </w:t>
      </w:r>
      <w:r>
        <w:rPr>
          <w:rFonts w:ascii="Arial" w:cs="Arial" w:eastAsia="Arial" w:hAnsi="Arial"/>
          <w:sz w:val="15"/>
          <w:szCs w:val="15"/>
          <w:color w:val="000000"/>
          <w:highlight w:val="white"/>
        </w:rPr>
        <w:t>or please direct communications</w:t>
      </w:r>
      <w:r>
        <w:rPr>
          <w:rFonts w:ascii="Arial" w:cs="Arial" w:eastAsia="Arial" w:hAnsi="Arial"/>
          <w:sz w:val="15"/>
          <w:szCs w:val="15"/>
          <w:i w:val="1"/>
          <w:iCs w:val="1"/>
          <w:color w:val="0000EE"/>
        </w:rPr>
        <w:t xml:space="preserve"> </w:t>
      </w:r>
      <w:r>
        <w:rPr>
          <w:rFonts w:ascii="Arial" w:cs="Arial" w:eastAsia="Arial" w:hAnsi="Arial"/>
          <w:sz w:val="15"/>
          <w:szCs w:val="15"/>
          <w:color w:val="000000"/>
        </w:rPr>
        <w:t>to our IR Inbox: investorrelations@credicorpperu.com.</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2F5496"/>
        </w:rPr>
        <w:t>Sustainability Ratings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Sustainability ratings provide us with information on how external agents view our performance on the ESG integration front. We seek to ensure that the progress of our management of the integration process translates into improvements in our ratings. Our score in these ratings has improved gradually over the past few years and in 2022, we registered improvement in the 3 ratings that are highly relevant to Credicorp: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20" w:right="319" w:bottom="1440" w:gutter="0" w:footer="0" w:header="0"/>
        </w:sectPr>
      </w:pPr>
    </w:p>
    <w:bookmarkStart w:id="96" w:name="page97"/>
    <w:bookmarkEnd w:id="96"/>
    <w:p>
      <w:pPr>
        <w:ind w:left="8"/>
        <w:spacing w:after="0"/>
        <w:rPr>
          <w:sz w:val="20"/>
          <w:szCs w:val="20"/>
          <w:color w:val="auto"/>
        </w:rPr>
      </w:pPr>
      <w:r>
        <w:rPr>
          <w:rFonts w:ascii="Arial" w:cs="Arial" w:eastAsia="Arial" w:hAnsi="Arial"/>
          <w:sz w:val="15"/>
          <w:szCs w:val="15"/>
          <w:color w:val="auto"/>
        </w:rPr>
        <w:t>MSCI: our rating rose from BBB in 2019 to AA in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109855</wp:posOffset>
            </wp:positionV>
            <wp:extent cx="2781935" cy="1054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819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Sustainalytics: on an inverse scale, we went from 30.8 in 2021 to 23.8 in 2022, going from “High Risk” to “Medium Risk,” where we are situated close to the lower limit of this category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2675890</wp:posOffset>
            </wp:positionV>
            <wp:extent cx="142748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27480" cy="7620"/>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99060</wp:posOffset>
            </wp:positionV>
            <wp:extent cx="2400935" cy="16103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935" cy="1610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Arial" w:cs="Arial" w:eastAsia="Arial" w:hAnsi="Arial"/>
          <w:sz w:val="15"/>
          <w:szCs w:val="15"/>
          <w:color w:val="auto"/>
        </w:rPr>
        <w:t>To the second consecutive year, we have been selected to be part of S&amp;P / BVL Peru General ESG Index 2022-2023 of Dow Jones Sustainability Index (DJSI). This index evaluates the performance of shares of Peruvian companies with regard to environmental, social and good corporate governance criteria. We improved our rating by 25%, situating at 55 points in 2022 versus 44 in 2021.</w:t>
      </w:r>
    </w:p>
    <w:p>
      <w:pPr>
        <w:spacing w:after="0" w:line="3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3B72E1"/>
        </w:rPr>
        <w:t>WE BELIEVE THAT THE IMPROVEMENTS IN OUR RATINGS ON THE MAIN SUSTAINABILITY INDEXES REFLECTS OUR PROGRESS TOWARD OUR VISION OF BECOMING A LEADER IN SUSTAINABILITY. WE ARE FULLY COMMITTED TO THIS ON-GOING EFFORT, WHICH HELPS US EXERCISE OUR ROLE AS AN AGENT OF CHANGE.</w:t>
      </w:r>
    </w:p>
    <w:p>
      <w:pPr>
        <w:spacing w:after="0" w:line="196" w:lineRule="exact"/>
        <w:rPr>
          <w:sz w:val="20"/>
          <w:szCs w:val="20"/>
          <w:color w:val="auto"/>
        </w:rPr>
      </w:pPr>
    </w:p>
    <w:p>
      <w:pPr>
        <w:ind w:right="340"/>
        <w:spacing w:after="0" w:line="249" w:lineRule="auto"/>
        <w:rPr>
          <w:sz w:val="20"/>
          <w:szCs w:val="20"/>
          <w:color w:val="auto"/>
        </w:rPr>
      </w:pPr>
      <w:r>
        <w:rPr>
          <w:rFonts w:ascii="Arial" w:cs="Arial" w:eastAsia="Arial" w:hAnsi="Arial"/>
          <w:sz w:val="15"/>
          <w:szCs w:val="15"/>
          <w:color w:val="auto"/>
        </w:rPr>
        <w:t>If we compare our progress with that of the rest of the industry, the improvements in our ratings position us above the average for the financial sector at a global level:</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8"/>
              </w:rPr>
              <w:t>Rating</w:t>
            </w:r>
          </w:p>
        </w:tc>
        <w:tc>
          <w:tcPr>
            <w:tcW w:w="6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shd w:val="clear" w:color="auto" w:fill="FBE4D5"/>
          </w:tcPr>
          <w:p>
            <w:pPr>
              <w:jc w:val="center"/>
              <w:spacing w:after="0" w:line="173" w:lineRule="exact"/>
              <w:rPr>
                <w:sz w:val="20"/>
                <w:szCs w:val="20"/>
                <w:color w:val="auto"/>
              </w:rPr>
            </w:pPr>
            <w:r>
              <w:rPr>
                <w:rFonts w:ascii="Arial" w:cs="Arial" w:eastAsia="Arial" w:hAnsi="Arial"/>
                <w:sz w:val="17"/>
                <w:szCs w:val="17"/>
                <w:b w:val="1"/>
                <w:bCs w:val="1"/>
                <w:color w:val="auto"/>
                <w:w w:val="97"/>
              </w:rPr>
              <w:t>Credicorp’s</w:t>
            </w:r>
          </w:p>
        </w:tc>
        <w:tc>
          <w:tcPr>
            <w:tcW w:w="960" w:type="dxa"/>
            <w:vAlign w:val="bottom"/>
            <w:tcBorders>
              <w:top w:val="single" w:sz="8" w:color="auto"/>
              <w:right w:val="single" w:sz="8" w:color="auto"/>
            </w:tcBorders>
            <w:shd w:val="clear" w:color="auto" w:fill="FBE4D5"/>
          </w:tcPr>
          <w:p>
            <w:pPr>
              <w:spacing w:after="0"/>
              <w:rPr>
                <w:sz w:val="15"/>
                <w:szCs w:val="15"/>
                <w:color w:val="auto"/>
              </w:rPr>
            </w:pP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8"/>
              </w:rPr>
              <w:t>Industry</w:t>
            </w:r>
          </w:p>
        </w:tc>
        <w:tc>
          <w:tcPr>
            <w:tcW w:w="9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vMerge w:val="continue"/>
          </w:tcPr>
          <w:p>
            <w:pPr>
              <w:spacing w:after="0"/>
              <w:rPr>
                <w:sz w:val="8"/>
                <w:szCs w:val="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8"/>
              </w:rPr>
              <w:t>Scale</w:t>
            </w:r>
          </w:p>
        </w:tc>
        <w:tc>
          <w:tcPr>
            <w:tcW w:w="1020" w:type="dxa"/>
            <w:vAlign w:val="bottom"/>
            <w:tcBorders>
              <w:right w:val="single" w:sz="8" w:color="auto"/>
            </w:tcBorders>
            <w:vMerge w:val="restart"/>
            <w:shd w:val="clear" w:color="auto" w:fill="FBE4D5"/>
          </w:tcPr>
          <w:p>
            <w:pPr>
              <w:jc w:val="center"/>
              <w:spacing w:after="0"/>
              <w:rPr>
                <w:sz w:val="20"/>
                <w:szCs w:val="20"/>
                <w:color w:val="auto"/>
              </w:rPr>
            </w:pPr>
            <w:r>
              <w:rPr>
                <w:rFonts w:ascii="Arial" w:cs="Arial" w:eastAsia="Arial" w:hAnsi="Arial"/>
                <w:sz w:val="17"/>
                <w:szCs w:val="17"/>
                <w:b w:val="1"/>
                <w:bCs w:val="1"/>
                <w:color w:val="auto"/>
                <w:w w:val="97"/>
              </w:rPr>
              <w:t>Current</w:t>
            </w:r>
          </w:p>
        </w:tc>
        <w:tc>
          <w:tcPr>
            <w:tcW w:w="960" w:type="dxa"/>
            <w:vAlign w:val="bottom"/>
            <w:tcBorders>
              <w:right w:val="single" w:sz="8" w:color="auto"/>
            </w:tcBorders>
            <w:vMerge w:val="restart"/>
            <w:shd w:val="clear" w:color="auto" w:fill="FBE4D5"/>
          </w:tcPr>
          <w:p>
            <w:pPr>
              <w:jc w:val="center"/>
              <w:spacing w:after="0"/>
              <w:rPr>
                <w:sz w:val="20"/>
                <w:szCs w:val="20"/>
                <w:color w:val="auto"/>
              </w:rPr>
            </w:pPr>
            <w:r>
              <w:rPr>
                <w:rFonts w:ascii="Arial" w:cs="Arial" w:eastAsia="Arial" w:hAnsi="Arial"/>
                <w:sz w:val="17"/>
                <w:szCs w:val="17"/>
                <w:b w:val="1"/>
                <w:bCs w:val="1"/>
                <w:color w:val="auto"/>
              </w:rPr>
              <w:t>Date</w:t>
            </w: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9"/>
              </w:rPr>
              <w:t>Comment</w:t>
            </w:r>
          </w:p>
        </w:tc>
        <w:tc>
          <w:tcPr>
            <w:tcW w:w="0" w:type="dxa"/>
            <w:vAlign w:val="bottom"/>
          </w:tcPr>
          <w:p>
            <w:pPr>
              <w:spacing w:after="0"/>
              <w:rPr>
                <w:sz w:val="1"/>
                <w:szCs w:val="1"/>
                <w:color w:val="auto"/>
              </w:rPr>
            </w:pPr>
          </w:p>
        </w:tc>
      </w:tr>
      <w:tr>
        <w:trPr>
          <w:trHeight w:val="173"/>
        </w:trPr>
        <w:tc>
          <w:tcPr>
            <w:tcW w:w="114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7"/>
                <w:szCs w:val="17"/>
                <w:b w:val="1"/>
                <w:bCs w:val="1"/>
                <w:color w:val="auto"/>
              </w:rPr>
              <w:t>Agency</w:t>
            </w:r>
          </w:p>
        </w:tc>
        <w:tc>
          <w:tcPr>
            <w:tcW w:w="620" w:type="dxa"/>
            <w:vAlign w:val="bottom"/>
            <w:tcBorders>
              <w:right w:val="single" w:sz="8" w:color="auto"/>
            </w:tcBorders>
            <w:vMerge w:val="continue"/>
          </w:tcPr>
          <w:p>
            <w:pPr>
              <w:spacing w:after="0"/>
              <w:rPr>
                <w:sz w:val="15"/>
                <w:szCs w:val="15"/>
                <w:color w:val="auto"/>
              </w:rPr>
            </w:pPr>
          </w:p>
        </w:tc>
        <w:tc>
          <w:tcPr>
            <w:tcW w:w="1020" w:type="dxa"/>
            <w:vAlign w:val="bottom"/>
            <w:tcBorders>
              <w:right w:val="single" w:sz="8" w:color="auto"/>
            </w:tcBorders>
            <w:vMerge w:val="continue"/>
            <w:shd w:val="clear" w:color="auto" w:fill="FBE4D5"/>
          </w:tcPr>
          <w:p>
            <w:pPr>
              <w:spacing w:after="0"/>
              <w:rPr>
                <w:sz w:val="15"/>
                <w:szCs w:val="15"/>
                <w:color w:val="auto"/>
              </w:rPr>
            </w:pPr>
          </w:p>
        </w:tc>
        <w:tc>
          <w:tcPr>
            <w:tcW w:w="960" w:type="dxa"/>
            <w:vAlign w:val="bottom"/>
            <w:tcBorders>
              <w:right w:val="single" w:sz="8" w:color="auto"/>
            </w:tcBorders>
            <w:vMerge w:val="continue"/>
            <w:shd w:val="clear" w:color="auto" w:fill="FBE4D5"/>
          </w:tcPr>
          <w:p>
            <w:pPr>
              <w:spacing w:after="0"/>
              <w:rPr>
                <w:sz w:val="15"/>
                <w:szCs w:val="15"/>
                <w:color w:val="auto"/>
              </w:rPr>
            </w:pPr>
          </w:p>
        </w:tc>
        <w:tc>
          <w:tcPr>
            <w:tcW w:w="7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7"/>
                <w:szCs w:val="17"/>
                <w:b w:val="1"/>
                <w:bCs w:val="1"/>
                <w:color w:val="auto"/>
                <w:w w:val="98"/>
              </w:rPr>
              <w:t>Average</w:t>
            </w:r>
          </w:p>
        </w:tc>
        <w:tc>
          <w:tcPr>
            <w:tcW w:w="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shd w:val="clear" w:color="auto" w:fill="FBE4D5"/>
          </w:tcPr>
          <w:p>
            <w:pPr>
              <w:jc w:val="center"/>
              <w:spacing w:after="0" w:line="127" w:lineRule="exact"/>
              <w:rPr>
                <w:sz w:val="20"/>
                <w:szCs w:val="20"/>
                <w:color w:val="auto"/>
              </w:rPr>
            </w:pPr>
            <w:r>
              <w:rPr>
                <w:rFonts w:ascii="Arial" w:cs="Arial" w:eastAsia="Arial" w:hAnsi="Arial"/>
                <w:sz w:val="14"/>
                <w:szCs w:val="14"/>
                <w:b w:val="1"/>
                <w:bCs w:val="1"/>
                <w:color w:val="auto"/>
              </w:rPr>
              <w:t>Rating</w:t>
            </w:r>
          </w:p>
        </w:tc>
        <w:tc>
          <w:tcPr>
            <w:tcW w:w="960" w:type="dxa"/>
            <w:vAlign w:val="bottom"/>
            <w:tcBorders>
              <w:bottom w:val="single" w:sz="8" w:color="auto"/>
              <w:right w:val="single" w:sz="8" w:color="auto"/>
            </w:tcBorders>
            <w:shd w:val="clear" w:color="auto" w:fill="FBE4D5"/>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CCC –</w:t>
            </w:r>
          </w:p>
        </w:tc>
        <w:tc>
          <w:tcPr>
            <w:tcW w:w="1020" w:type="dxa"/>
            <w:vAlign w:val="bottom"/>
            <w:tcBorders>
              <w:right w:val="single" w:sz="8" w:color="auto"/>
            </w:tcBorders>
            <w:shd w:val="clear" w:color="auto" w:fill="FBE4D5"/>
          </w:tcPr>
          <w:p>
            <w:pPr>
              <w:spacing w:after="0"/>
              <w:rPr>
                <w:sz w:val="15"/>
                <w:szCs w:val="15"/>
                <w:color w:val="auto"/>
              </w:rPr>
            </w:pPr>
          </w:p>
        </w:tc>
        <w:tc>
          <w:tcPr>
            <w:tcW w:w="960" w:type="dxa"/>
            <w:vAlign w:val="bottom"/>
            <w:tcBorders>
              <w:right w:val="single" w:sz="8" w:color="auto"/>
            </w:tcBorders>
            <w:shd w:val="clear" w:color="auto" w:fill="FBE4D5"/>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7"/>
                <w:szCs w:val="17"/>
                <w:color w:val="auto"/>
              </w:rPr>
              <w:t>Among</w:t>
            </w: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shd w:val="clear" w:color="auto" w:fill="FBE4D5"/>
          </w:tcPr>
          <w:p>
            <w:pPr>
              <w:spacing w:after="0"/>
              <w:rPr>
                <w:sz w:val="8"/>
                <w:szCs w:val="8"/>
                <w:color w:val="auto"/>
              </w:rPr>
            </w:pPr>
          </w:p>
        </w:tc>
        <w:tc>
          <w:tcPr>
            <w:tcW w:w="960" w:type="dxa"/>
            <w:vAlign w:val="bottom"/>
            <w:tcBorders>
              <w:right w:val="single" w:sz="8" w:color="auto"/>
            </w:tcBorders>
            <w:shd w:val="clear" w:color="auto" w:fill="FBE4D5"/>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9"/>
              </w:rPr>
              <w:t>the 34%</w:t>
            </w: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8"/>
              </w:rPr>
              <w:t>MSCI</w:t>
            </w:r>
          </w:p>
        </w:tc>
        <w:tc>
          <w:tcPr>
            <w:tcW w:w="620" w:type="dxa"/>
            <w:vAlign w:val="bottom"/>
            <w:tcBorders>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3"/>
              </w:rPr>
              <w:t>AAA</w:t>
            </w:r>
          </w:p>
        </w:tc>
        <w:tc>
          <w:tcPr>
            <w:tcW w:w="1020" w:type="dxa"/>
            <w:vAlign w:val="bottom"/>
            <w:tcBorders>
              <w:right w:val="single" w:sz="8" w:color="auto"/>
            </w:tcBorders>
            <w:vMerge w:val="restart"/>
            <w:shd w:val="clear" w:color="auto" w:fill="FBE4D5"/>
          </w:tcPr>
          <w:p>
            <w:pPr>
              <w:jc w:val="center"/>
              <w:spacing w:after="0" w:line="185" w:lineRule="exact"/>
              <w:rPr>
                <w:sz w:val="20"/>
                <w:szCs w:val="20"/>
                <w:color w:val="auto"/>
              </w:rPr>
            </w:pPr>
            <w:r>
              <w:rPr>
                <w:rFonts w:ascii="Arial" w:cs="Arial" w:eastAsia="Arial" w:hAnsi="Arial"/>
                <w:sz w:val="17"/>
                <w:szCs w:val="17"/>
                <w:color w:val="auto"/>
                <w:w w:val="99"/>
              </w:rPr>
              <w:t>AA (5.5)</w:t>
            </w:r>
          </w:p>
        </w:tc>
        <w:tc>
          <w:tcPr>
            <w:tcW w:w="960" w:type="dxa"/>
            <w:vAlign w:val="bottom"/>
            <w:tcBorders>
              <w:right w:val="single" w:sz="8" w:color="auto"/>
            </w:tcBorders>
            <w:vMerge w:val="restart"/>
            <w:shd w:val="clear" w:color="auto" w:fill="FBE4D5"/>
          </w:tcPr>
          <w:p>
            <w:pPr>
              <w:jc w:val="center"/>
              <w:spacing w:after="0" w:line="185" w:lineRule="exact"/>
              <w:rPr>
                <w:sz w:val="20"/>
                <w:szCs w:val="20"/>
                <w:color w:val="auto"/>
              </w:rPr>
            </w:pPr>
            <w:r>
              <w:rPr>
                <w:rFonts w:ascii="Arial" w:cs="Arial" w:eastAsia="Arial" w:hAnsi="Arial"/>
                <w:sz w:val="17"/>
                <w:szCs w:val="17"/>
                <w:color w:val="auto"/>
              </w:rPr>
              <w:t>Dec. 2022</w:t>
            </w:r>
          </w:p>
        </w:tc>
        <w:tc>
          <w:tcPr>
            <w:tcW w:w="780" w:type="dxa"/>
            <w:vAlign w:val="bottom"/>
            <w:tcBorders>
              <w:right w:val="single" w:sz="8" w:color="auto"/>
            </w:tcBorders>
            <w:vMerge w:val="restart"/>
          </w:tcPr>
          <w:p>
            <w:pPr>
              <w:jc w:val="right"/>
              <w:ind w:right="195"/>
              <w:spacing w:after="0" w:line="185" w:lineRule="exact"/>
              <w:rPr>
                <w:sz w:val="20"/>
                <w:szCs w:val="20"/>
                <w:color w:val="auto"/>
              </w:rPr>
            </w:pPr>
            <w:r>
              <w:rPr>
                <w:rFonts w:ascii="Arial" w:cs="Arial" w:eastAsia="Arial" w:hAnsi="Arial"/>
                <w:sz w:val="17"/>
                <w:szCs w:val="17"/>
                <w:color w:val="auto"/>
              </w:rPr>
              <w:t>5.0</w:t>
            </w: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shd w:val="clear" w:color="auto" w:fill="FBE4D5"/>
          </w:tcPr>
          <w:p>
            <w:pPr>
              <w:spacing w:after="0"/>
              <w:rPr>
                <w:sz w:val="8"/>
                <w:szCs w:val="8"/>
                <w:color w:val="auto"/>
              </w:rPr>
            </w:pPr>
          </w:p>
        </w:tc>
        <w:tc>
          <w:tcPr>
            <w:tcW w:w="960" w:type="dxa"/>
            <w:vAlign w:val="bottom"/>
            <w:tcBorders>
              <w:right w:val="single" w:sz="8" w:color="auto"/>
            </w:tcBorders>
            <w:vMerge w:val="continue"/>
            <w:shd w:val="clear" w:color="auto" w:fill="FBE4D5"/>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rPr>
              <w:t>with an AA</w:t>
            </w: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tcPr>
          <w:p>
            <w:pPr>
              <w:spacing w:after="0"/>
              <w:rPr>
                <w:sz w:val="8"/>
                <w:szCs w:val="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6"/>
              </w:rPr>
              <w:t>(0-10)</w:t>
            </w:r>
          </w:p>
        </w:tc>
        <w:tc>
          <w:tcPr>
            <w:tcW w:w="1020" w:type="dxa"/>
            <w:vAlign w:val="bottom"/>
            <w:tcBorders>
              <w:right w:val="single" w:sz="8" w:color="auto"/>
            </w:tcBorders>
            <w:shd w:val="clear" w:color="auto" w:fill="FBE4D5"/>
          </w:tcPr>
          <w:p>
            <w:pPr>
              <w:spacing w:after="0"/>
              <w:rPr>
                <w:sz w:val="8"/>
                <w:szCs w:val="8"/>
                <w:color w:val="auto"/>
              </w:rPr>
            </w:pPr>
          </w:p>
        </w:tc>
        <w:tc>
          <w:tcPr>
            <w:tcW w:w="960" w:type="dxa"/>
            <w:vAlign w:val="bottom"/>
            <w:tcBorders>
              <w:right w:val="single" w:sz="8" w:color="auto"/>
            </w:tcBorders>
            <w:shd w:val="clear" w:color="auto" w:fill="FBE4D5"/>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14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shd w:val="clear" w:color="auto" w:fill="FBE4D5"/>
          </w:tcPr>
          <w:p>
            <w:pPr>
              <w:spacing w:after="0"/>
              <w:rPr>
                <w:sz w:val="9"/>
                <w:szCs w:val="9"/>
                <w:color w:val="auto"/>
              </w:rPr>
            </w:pPr>
          </w:p>
        </w:tc>
        <w:tc>
          <w:tcPr>
            <w:tcW w:w="960" w:type="dxa"/>
            <w:vAlign w:val="bottom"/>
            <w:tcBorders>
              <w:right w:val="single" w:sz="8" w:color="auto"/>
            </w:tcBorders>
            <w:shd w:val="clear" w:color="auto" w:fill="FBE4D5"/>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line="188" w:lineRule="exact"/>
              <w:rPr>
                <w:sz w:val="20"/>
                <w:szCs w:val="20"/>
                <w:color w:val="auto"/>
              </w:rPr>
            </w:pPr>
            <w:r>
              <w:rPr>
                <w:rFonts w:ascii="Arial" w:cs="Arial" w:eastAsia="Arial" w:hAnsi="Arial"/>
                <w:sz w:val="17"/>
                <w:szCs w:val="17"/>
                <w:color w:val="auto"/>
                <w:w w:val="98"/>
              </w:rPr>
              <w:t>rating</w:t>
            </w:r>
          </w:p>
        </w:tc>
        <w:tc>
          <w:tcPr>
            <w:tcW w:w="0" w:type="dxa"/>
            <w:vAlign w:val="bottom"/>
          </w:tcPr>
          <w:p>
            <w:pPr>
              <w:spacing w:after="0"/>
              <w:rPr>
                <w:sz w:val="1"/>
                <w:szCs w:val="1"/>
                <w:color w:val="auto"/>
              </w:rPr>
            </w:pPr>
          </w:p>
        </w:tc>
      </w:tr>
      <w:tr>
        <w:trPr>
          <w:trHeight w:val="77"/>
        </w:trPr>
        <w:tc>
          <w:tcPr>
            <w:tcW w:w="114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shd w:val="clear" w:color="auto" w:fill="FBE4D5"/>
          </w:tcPr>
          <w:p>
            <w:pPr>
              <w:spacing w:after="0"/>
              <w:rPr>
                <w:sz w:val="6"/>
                <w:szCs w:val="6"/>
                <w:color w:val="auto"/>
              </w:rPr>
            </w:pPr>
          </w:p>
        </w:tc>
        <w:tc>
          <w:tcPr>
            <w:tcW w:w="960" w:type="dxa"/>
            <w:vAlign w:val="bottom"/>
            <w:tcBorders>
              <w:bottom w:val="single" w:sz="8" w:color="auto"/>
              <w:right w:val="single" w:sz="8" w:color="auto"/>
            </w:tcBorders>
            <w:shd w:val="clear" w:color="auto" w:fill="FBE4D5"/>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0 –</w:t>
            </w:r>
          </w:p>
        </w:tc>
        <w:tc>
          <w:tcPr>
            <w:tcW w:w="1020" w:type="dxa"/>
            <w:vAlign w:val="bottom"/>
            <w:tcBorders>
              <w:right w:val="single" w:sz="8" w:color="auto"/>
            </w:tcBorders>
            <w:vMerge w:val="restart"/>
            <w:shd w:val="clear" w:color="auto" w:fill="FBE4D5"/>
          </w:tcPr>
          <w:p>
            <w:pPr>
              <w:jc w:val="right"/>
              <w:ind w:right="278"/>
              <w:spacing w:after="0"/>
              <w:rPr>
                <w:sz w:val="20"/>
                <w:szCs w:val="20"/>
                <w:color w:val="auto"/>
              </w:rPr>
            </w:pPr>
            <w:r>
              <w:rPr>
                <w:rFonts w:ascii="Arial" w:cs="Arial" w:eastAsia="Arial" w:hAnsi="Arial"/>
                <w:sz w:val="17"/>
                <w:szCs w:val="17"/>
                <w:color w:val="auto"/>
              </w:rPr>
              <w:t>23.8</w:t>
            </w:r>
          </w:p>
        </w:tc>
        <w:tc>
          <w:tcPr>
            <w:tcW w:w="960" w:type="dxa"/>
            <w:vAlign w:val="bottom"/>
            <w:tcBorders>
              <w:right w:val="single" w:sz="8" w:color="auto"/>
            </w:tcBorders>
            <w:shd w:val="clear" w:color="auto" w:fill="FBE4D5"/>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7"/>
                <w:szCs w:val="17"/>
                <w:color w:val="auto"/>
                <w:w w:val="98"/>
              </w:rPr>
              <w:t>Ranked</w:t>
            </w: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rPr>
              <w:t>Sustainalytics</w:t>
            </w:r>
          </w:p>
        </w:tc>
        <w:tc>
          <w:tcPr>
            <w:tcW w:w="62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shd w:val="clear" w:color="auto" w:fill="FBE4D5"/>
          </w:tcPr>
          <w:p>
            <w:pPr>
              <w:spacing w:after="0"/>
              <w:rPr>
                <w:sz w:val="8"/>
                <w:szCs w:val="8"/>
                <w:color w:val="auto"/>
              </w:rPr>
            </w:pPr>
          </w:p>
        </w:tc>
        <w:tc>
          <w:tcPr>
            <w:tcW w:w="960" w:type="dxa"/>
            <w:vAlign w:val="bottom"/>
            <w:tcBorders>
              <w:right w:val="single" w:sz="8" w:color="auto"/>
            </w:tcBorders>
            <w:vMerge w:val="restart"/>
            <w:shd w:val="clear" w:color="auto" w:fill="FBE4D5"/>
          </w:tcPr>
          <w:p>
            <w:pPr>
              <w:jc w:val="center"/>
              <w:spacing w:after="0" w:line="185" w:lineRule="exact"/>
              <w:rPr>
                <w:sz w:val="20"/>
                <w:szCs w:val="20"/>
                <w:color w:val="auto"/>
              </w:rPr>
            </w:pPr>
            <w:r>
              <w:rPr>
                <w:rFonts w:ascii="Arial" w:cs="Arial" w:eastAsia="Arial" w:hAnsi="Arial"/>
                <w:sz w:val="17"/>
                <w:szCs w:val="17"/>
                <w:color w:val="auto"/>
              </w:rPr>
              <w:t>July 2022</w:t>
            </w:r>
          </w:p>
        </w:tc>
        <w:tc>
          <w:tcPr>
            <w:tcW w:w="780" w:type="dxa"/>
            <w:vAlign w:val="bottom"/>
            <w:tcBorders>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8"/>
              </w:rPr>
              <w:t>N/A</w:t>
            </w:r>
          </w:p>
        </w:tc>
        <w:tc>
          <w:tcPr>
            <w:tcW w:w="900" w:type="dxa"/>
            <w:vAlign w:val="bottom"/>
            <w:tcBorders>
              <w:right w:val="single" w:sz="8" w:color="auto"/>
            </w:tcBorders>
            <w:vMerge w:val="restart"/>
          </w:tcPr>
          <w:p>
            <w:pPr>
              <w:jc w:val="center"/>
              <w:spacing w:after="0" w:line="185" w:lineRule="exact"/>
              <w:rPr>
                <w:sz w:val="20"/>
                <w:szCs w:val="20"/>
                <w:color w:val="auto"/>
              </w:rPr>
            </w:pPr>
            <w:r>
              <w:rPr>
                <w:rFonts w:ascii="Arial" w:cs="Arial" w:eastAsia="Arial" w:hAnsi="Arial"/>
                <w:sz w:val="17"/>
                <w:szCs w:val="17"/>
                <w:color w:val="auto"/>
                <w:w w:val="97"/>
              </w:rPr>
              <w:t>325 of</w:t>
            </w:r>
          </w:p>
        </w:tc>
        <w:tc>
          <w:tcPr>
            <w:tcW w:w="0" w:type="dxa"/>
            <w:vAlign w:val="bottom"/>
          </w:tcPr>
          <w:p>
            <w:pPr>
              <w:spacing w:after="0"/>
              <w:rPr>
                <w:sz w:val="1"/>
                <w:szCs w:val="1"/>
                <w:color w:val="auto"/>
              </w:rPr>
            </w:pPr>
          </w:p>
        </w:tc>
      </w:tr>
      <w:tr>
        <w:trPr>
          <w:trHeight w:val="92"/>
        </w:trPr>
        <w:tc>
          <w:tcPr>
            <w:tcW w:w="1140" w:type="dxa"/>
            <w:vAlign w:val="bottom"/>
            <w:tcBorders>
              <w:left w:val="single" w:sz="8" w:color="auto"/>
              <w:right w:val="single" w:sz="8" w:color="auto"/>
            </w:tcBorders>
            <w:vMerge w:val="continue"/>
          </w:tcPr>
          <w:p>
            <w:pPr>
              <w:spacing w:after="0"/>
              <w:rPr>
                <w:sz w:val="8"/>
                <w:szCs w:val="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6"/>
              </w:rPr>
              <w:t>40+</w:t>
            </w:r>
          </w:p>
        </w:tc>
        <w:tc>
          <w:tcPr>
            <w:tcW w:w="1020" w:type="dxa"/>
            <w:vAlign w:val="bottom"/>
            <w:tcBorders>
              <w:right w:val="single" w:sz="8" w:color="auto"/>
            </w:tcBorders>
            <w:vMerge w:val="restart"/>
            <w:shd w:val="clear" w:color="auto" w:fill="FBE4D5"/>
          </w:tcPr>
          <w:p>
            <w:pPr>
              <w:jc w:val="center"/>
              <w:spacing w:after="0"/>
              <w:rPr>
                <w:sz w:val="20"/>
                <w:szCs w:val="20"/>
                <w:color w:val="auto"/>
              </w:rPr>
            </w:pPr>
            <w:r>
              <w:rPr>
                <w:rFonts w:ascii="Arial" w:cs="Arial" w:eastAsia="Arial" w:hAnsi="Arial"/>
                <w:sz w:val="17"/>
                <w:szCs w:val="17"/>
                <w:color w:val="auto"/>
              </w:rPr>
              <w:t>(Medium)</w:t>
            </w:r>
          </w:p>
        </w:tc>
        <w:tc>
          <w:tcPr>
            <w:tcW w:w="960" w:type="dxa"/>
            <w:vAlign w:val="bottom"/>
            <w:tcBorders>
              <w:right w:val="single" w:sz="8" w:color="auto"/>
            </w:tcBorders>
            <w:vMerge w:val="continue"/>
            <w:shd w:val="clear" w:color="auto" w:fill="FBE4D5"/>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14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shd w:val="clear" w:color="auto" w:fill="FBE4D5"/>
          </w:tcPr>
          <w:p>
            <w:pPr>
              <w:spacing w:after="0"/>
              <w:rPr>
                <w:sz w:val="9"/>
                <w:szCs w:val="9"/>
                <w:color w:val="auto"/>
              </w:rPr>
            </w:pPr>
          </w:p>
        </w:tc>
        <w:tc>
          <w:tcPr>
            <w:tcW w:w="960" w:type="dxa"/>
            <w:vAlign w:val="bottom"/>
            <w:tcBorders>
              <w:right w:val="single" w:sz="8" w:color="auto"/>
            </w:tcBorders>
            <w:shd w:val="clear" w:color="auto" w:fill="FBE4D5"/>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line="188" w:lineRule="exact"/>
              <w:rPr>
                <w:sz w:val="20"/>
                <w:szCs w:val="20"/>
                <w:color w:val="auto"/>
              </w:rPr>
            </w:pPr>
            <w:r>
              <w:rPr>
                <w:rFonts w:ascii="Arial" w:cs="Arial" w:eastAsia="Arial" w:hAnsi="Arial"/>
                <w:sz w:val="17"/>
                <w:szCs w:val="17"/>
                <w:color w:val="auto"/>
              </w:rPr>
              <w:t>1003</w:t>
            </w:r>
          </w:p>
        </w:tc>
        <w:tc>
          <w:tcPr>
            <w:tcW w:w="0" w:type="dxa"/>
            <w:vAlign w:val="bottom"/>
          </w:tcPr>
          <w:p>
            <w:pPr>
              <w:spacing w:after="0"/>
              <w:rPr>
                <w:sz w:val="1"/>
                <w:szCs w:val="1"/>
                <w:color w:val="auto"/>
              </w:rPr>
            </w:pPr>
          </w:p>
        </w:tc>
      </w:tr>
      <w:tr>
        <w:trPr>
          <w:trHeight w:val="77"/>
        </w:trPr>
        <w:tc>
          <w:tcPr>
            <w:tcW w:w="114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shd w:val="clear" w:color="auto" w:fill="FBE4D5"/>
          </w:tcPr>
          <w:p>
            <w:pPr>
              <w:spacing w:after="0"/>
              <w:rPr>
                <w:sz w:val="6"/>
                <w:szCs w:val="6"/>
                <w:color w:val="auto"/>
              </w:rPr>
            </w:pPr>
          </w:p>
        </w:tc>
        <w:tc>
          <w:tcPr>
            <w:tcW w:w="960" w:type="dxa"/>
            <w:vAlign w:val="bottom"/>
            <w:tcBorders>
              <w:bottom w:val="single" w:sz="8" w:color="auto"/>
              <w:right w:val="single" w:sz="8" w:color="auto"/>
            </w:tcBorders>
            <w:shd w:val="clear" w:color="auto" w:fill="FBE4D5"/>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shd w:val="clear" w:color="auto" w:fill="FBE4D5"/>
          </w:tcPr>
          <w:p>
            <w:pPr>
              <w:spacing w:after="0"/>
              <w:rPr>
                <w:sz w:val="15"/>
                <w:szCs w:val="15"/>
                <w:color w:val="auto"/>
              </w:rPr>
            </w:pPr>
          </w:p>
        </w:tc>
        <w:tc>
          <w:tcPr>
            <w:tcW w:w="960" w:type="dxa"/>
            <w:vAlign w:val="bottom"/>
            <w:tcBorders>
              <w:right w:val="single" w:sz="8" w:color="auto"/>
            </w:tcBorders>
            <w:shd w:val="clear" w:color="auto" w:fill="FBE4D5"/>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7"/>
                <w:szCs w:val="17"/>
                <w:color w:val="auto"/>
              </w:rPr>
              <w:t>87th</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S&amp;P Global</w:t>
            </w:r>
          </w:p>
        </w:tc>
        <w:tc>
          <w:tcPr>
            <w:tcW w:w="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0 - 100</w:t>
            </w:r>
          </w:p>
        </w:tc>
        <w:tc>
          <w:tcPr>
            <w:tcW w:w="1020" w:type="dxa"/>
            <w:vAlign w:val="bottom"/>
            <w:tcBorders>
              <w:right w:val="single" w:sz="8" w:color="auto"/>
            </w:tcBorders>
            <w:shd w:val="clear" w:color="auto" w:fill="FBE4D5"/>
          </w:tcPr>
          <w:p>
            <w:pPr>
              <w:jc w:val="right"/>
              <w:ind w:right="338"/>
              <w:spacing w:after="0" w:line="176" w:lineRule="exact"/>
              <w:rPr>
                <w:sz w:val="20"/>
                <w:szCs w:val="20"/>
                <w:color w:val="auto"/>
              </w:rPr>
            </w:pPr>
            <w:r>
              <w:rPr>
                <w:rFonts w:ascii="Arial" w:cs="Arial" w:eastAsia="Arial" w:hAnsi="Arial"/>
                <w:sz w:val="17"/>
                <w:szCs w:val="17"/>
                <w:color w:val="auto"/>
              </w:rPr>
              <w:t>55</w:t>
            </w:r>
          </w:p>
        </w:tc>
        <w:tc>
          <w:tcPr>
            <w:tcW w:w="960" w:type="dxa"/>
            <w:vAlign w:val="bottom"/>
            <w:tcBorders>
              <w:right w:val="single" w:sz="8" w:color="auto"/>
            </w:tcBorders>
            <w:shd w:val="clear" w:color="auto" w:fill="FBE4D5"/>
          </w:tcPr>
          <w:p>
            <w:pPr>
              <w:jc w:val="center"/>
              <w:spacing w:after="0" w:line="176" w:lineRule="exact"/>
              <w:rPr>
                <w:sz w:val="20"/>
                <w:szCs w:val="20"/>
                <w:color w:val="auto"/>
              </w:rPr>
            </w:pPr>
            <w:r>
              <w:rPr>
                <w:rFonts w:ascii="Arial" w:cs="Arial" w:eastAsia="Arial" w:hAnsi="Arial"/>
                <w:sz w:val="17"/>
                <w:szCs w:val="17"/>
                <w:color w:val="auto"/>
              </w:rPr>
              <w:t>Sept. 2022</w:t>
            </w:r>
          </w:p>
        </w:tc>
        <w:tc>
          <w:tcPr>
            <w:tcW w:w="780" w:type="dxa"/>
            <w:vAlign w:val="bottom"/>
            <w:tcBorders>
              <w:right w:val="single" w:sz="8" w:color="auto"/>
            </w:tcBorders>
          </w:tcPr>
          <w:p>
            <w:pPr>
              <w:jc w:val="right"/>
              <w:ind w:right="235"/>
              <w:spacing w:after="0" w:line="176" w:lineRule="exact"/>
              <w:rPr>
                <w:sz w:val="20"/>
                <w:szCs w:val="20"/>
                <w:color w:val="auto"/>
              </w:rPr>
            </w:pPr>
            <w:r>
              <w:rPr>
                <w:rFonts w:ascii="Arial" w:cs="Arial" w:eastAsia="Arial" w:hAnsi="Arial"/>
                <w:sz w:val="17"/>
                <w:szCs w:val="17"/>
                <w:color w:val="auto"/>
              </w:rPr>
              <w:t>28</w:t>
            </w: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percentile</w:t>
            </w:r>
          </w:p>
        </w:tc>
        <w:tc>
          <w:tcPr>
            <w:tcW w:w="0" w:type="dxa"/>
            <w:vAlign w:val="bottom"/>
          </w:tcPr>
          <w:p>
            <w:pPr>
              <w:spacing w:after="0"/>
              <w:rPr>
                <w:sz w:val="1"/>
                <w:szCs w:val="1"/>
                <w:color w:val="auto"/>
              </w:rPr>
            </w:pPr>
          </w:p>
        </w:tc>
      </w:tr>
      <w:tr>
        <w:trPr>
          <w:trHeight w:val="197"/>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shd w:val="clear" w:color="auto" w:fill="FBE4D5"/>
          </w:tcPr>
          <w:p>
            <w:pPr>
              <w:spacing w:after="0"/>
              <w:rPr>
                <w:sz w:val="17"/>
                <w:szCs w:val="17"/>
                <w:color w:val="auto"/>
              </w:rPr>
            </w:pPr>
          </w:p>
        </w:tc>
        <w:tc>
          <w:tcPr>
            <w:tcW w:w="960" w:type="dxa"/>
            <w:vAlign w:val="bottom"/>
            <w:tcBorders>
              <w:bottom w:val="single" w:sz="8" w:color="auto"/>
              <w:right w:val="single" w:sz="8" w:color="auto"/>
            </w:tcBorders>
            <w:shd w:val="clear" w:color="auto" w:fill="FBE4D5"/>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color w:val="auto"/>
                <w:vertAlign w:val="subscript"/>
              </w:rPr>
              <w:t>87</w:t>
            </w:r>
            <w:r>
              <w:rPr>
                <w:rFonts w:ascii="Arial" w:cs="Arial" w:eastAsia="Arial" w:hAnsi="Arial"/>
                <w:sz w:val="11"/>
                <w:szCs w:val="11"/>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8" w:space="440"/>
            <w:col w:w="5420"/>
          </w:cols>
          <w:pgMar w:left="312"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8" w:hanging="148"/>
        <w:spacing w:after="0"/>
        <w:tabs>
          <w:tab w:leader="none" w:pos="148" w:val="left"/>
        </w:tabs>
        <w:numPr>
          <w:ilvl w:val="0"/>
          <w:numId w:val="47"/>
        </w:numPr>
        <w:rPr>
          <w:rFonts w:ascii="Arial" w:cs="Arial" w:eastAsia="Arial" w:hAnsi="Arial"/>
          <w:sz w:val="19"/>
          <w:szCs w:val="19"/>
          <w:color w:val="auto"/>
          <w:vertAlign w:val="superscript"/>
        </w:rPr>
      </w:pPr>
      <w:r>
        <w:rPr>
          <w:rFonts w:ascii="Arial" w:cs="Arial" w:eastAsia="Arial" w:hAnsi="Arial"/>
          <w:sz w:val="12"/>
          <w:szCs w:val="12"/>
          <w:color w:val="auto"/>
        </w:rPr>
        <w:t>Percentage at the global level and for the banking industry</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40" w:right="31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37"/>
          <w:szCs w:val="37"/>
          <w:b w:val="1"/>
          <w:bCs w:val="1"/>
          <w:color w:val="auto"/>
        </w:rPr>
        <w:t>Chapter 1</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Social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SDG </w:t>
      </w:r>
      <w:r>
        <w:rPr>
          <w:rFonts w:ascii="Arial" w:cs="Arial" w:eastAsia="Arial" w:hAnsi="Arial"/>
          <w:sz w:val="15"/>
          <w:szCs w:val="15"/>
          <w:i w:val="1"/>
          <w:iCs w:val="1"/>
          <w:color w:val="auto"/>
        </w:rPr>
        <w:t>5, 8, 9, 10, 16, 17</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At Credicorp, we believe that to achieve our purpose, social issues must be at the core of our sustainability program. On the social front, we seek to contribute to sustainability through financial inclusion and financial education; innovation and transformation; diversity and equality of opportunities; enhanced wellbeing and retention of our employees; simplicity, transparency and client experience; and commitment to society and its needs. We believe that these axes are fundamental in efforts to achieving our purpose and our vision of being an agent of change and as such, constitute fronts of action on our sustainability journey.</w:t>
      </w:r>
    </w:p>
    <w:p>
      <w:pPr>
        <w:spacing w:after="0" w:line="33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social issue that ranked the highest in our materiality matrix was financial inclusion. Experience has shown us that this issue is highly correlated with financial education, and both are considered fundamental and inherent to our purpose and highly linked to our business model.</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All of our work platforms seek to generate positive impacts for the population, including our responsible and sustainable finance and investment platforms. As an example, we launched our first social bond, which was issued by Mibanco Colombia in 2022.</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b w:val="1"/>
          <w:bCs w:val="1"/>
          <w:color w:val="4472C4"/>
        </w:rPr>
        <w:t>OUR COMMITMENT TO FINANCIAL INCLUSION AND FINANCIAL EDUCATION GOES BEYOND EXPANDING ACCESS TO MORE AND BETTER FINANCIAL PRODUCTS. OUR END GAME IS ALSO TO ENSURE THAT ACCESS LEADS TO AN UPTICK IN USE AND MORE IMPORTANTLY, HEALTHY USE</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Additionally, our objectives for financial inclusion are linked to closing the gender gap and helping small businesses grow. Also, we are convinced that our partnerships will help multiply the positive effects that we generate for society.</w:t>
      </w:r>
    </w:p>
    <w:p>
      <w:pPr>
        <w:spacing w:after="0" w:line="332"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In terms of our clients, our ambition is to improve their experience and satisfaction by leveraging innovation and transformation while respecting principles of simplicity and transparency. On the employee front, we aspire to develop a model for the workforce of the future that is agile; contemplates a significant number of employees with digital profiles; improves the gender balance; and increases diversity inclusion. With regard to suppliers, we are well aware that responsible supplier management is crucial and aligned with our vision of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365125</wp:posOffset>
            </wp:positionV>
            <wp:extent cx="7152640"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To this end, we have launched a strategy for responsible procurement, which is described in depth in “1</w:t>
      </w:r>
      <w:r>
        <w:rPr>
          <w:rFonts w:ascii="Arial" w:cs="Arial" w:eastAsia="Arial" w:hAnsi="Arial"/>
          <w:sz w:val="15"/>
          <w:szCs w:val="15"/>
          <w:i w:val="1"/>
          <w:iCs w:val="1"/>
          <w:color w:val="auto"/>
        </w:rPr>
        <w:t>) Social management - Sustainable Management of</w:t>
      </w:r>
      <w:r>
        <w:rPr>
          <w:rFonts w:ascii="Arial" w:cs="Arial" w:eastAsia="Arial" w:hAnsi="Arial"/>
          <w:sz w:val="15"/>
          <w:szCs w:val="15"/>
          <w:color w:val="auto"/>
        </w:rPr>
        <w:t xml:space="preserve"> </w:t>
      </w:r>
      <w:r>
        <w:rPr>
          <w:rFonts w:ascii="Arial" w:cs="Arial" w:eastAsia="Arial" w:hAnsi="Arial"/>
          <w:sz w:val="15"/>
          <w:szCs w:val="15"/>
          <w:i w:val="1"/>
          <w:iCs w:val="1"/>
          <w:color w:val="auto"/>
        </w:rPr>
        <w:t>Suppliers</w:t>
      </w:r>
      <w:r>
        <w:rPr>
          <w:rFonts w:ascii="Arial" w:cs="Arial" w:eastAsia="Arial" w:hAnsi="Arial"/>
          <w:sz w:val="15"/>
          <w:szCs w:val="15"/>
          <w:color w:val="auto"/>
        </w:rPr>
        <w:t>” section.</w:t>
      </w:r>
    </w:p>
    <w:p>
      <w:pPr>
        <w:spacing w:after="0" w:line="124" w:lineRule="exact"/>
        <w:rPr>
          <w:sz w:val="20"/>
          <w:szCs w:val="20"/>
          <w:color w:val="auto"/>
        </w:rPr>
      </w:pPr>
    </w:p>
    <w:p>
      <w:pPr>
        <w:ind w:right="780"/>
        <w:spacing w:after="0" w:line="256" w:lineRule="auto"/>
        <w:rPr>
          <w:sz w:val="20"/>
          <w:szCs w:val="20"/>
          <w:color w:val="auto"/>
        </w:rPr>
      </w:pPr>
      <w:r>
        <w:rPr>
          <w:rFonts w:ascii="Arial" w:cs="Arial" w:eastAsia="Arial" w:hAnsi="Arial"/>
          <w:sz w:val="25"/>
          <w:szCs w:val="25"/>
          <w:b w:val="1"/>
          <w:bCs w:val="1"/>
          <w:color w:val="auto"/>
        </w:rPr>
        <w:t>Strengthening and Deepening Financial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343344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Financial Inclusion, Economic and Financial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413-1</w:t>
      </w:r>
    </w:p>
    <w:p>
      <w:pPr>
        <w:spacing w:after="0" w:line="18" w:lineRule="exact"/>
        <w:rPr>
          <w:sz w:val="20"/>
          <w:szCs w:val="20"/>
          <w:color w:val="auto"/>
        </w:rPr>
      </w:pPr>
    </w:p>
    <w:p>
      <w:pPr>
        <w:ind w:right="1940"/>
        <w:spacing w:after="0" w:line="258" w:lineRule="auto"/>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FN-CB-000.A, FN-CB-000.B, FN-CB-240a.3</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Pillar 1</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At Credicorp, we are convinced that financial inclusion contributes to wellbeing. This is why we work through all of our lines of business to develop products, services and channels to increase financial inclusion and reduce barriers to financial system access. Our objective is to contribute to generating the changes that our countries need by driving economic growth, prosperity, financial resilience and ultimately, the wellbeing of the societies in which we operate. The following figure from the Assessment of Sustainable Economic Development of the Boston Consulting Group shows the correlation between financial inclusion and wellbeing, which holds true across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104775</wp:posOffset>
            </wp:positionV>
            <wp:extent cx="2927985" cy="19691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2798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80"/>
        <w:spacing w:after="0" w:line="270" w:lineRule="auto"/>
        <w:rPr>
          <w:sz w:val="20"/>
          <w:szCs w:val="20"/>
          <w:color w:val="auto"/>
        </w:rPr>
      </w:pPr>
      <w:r>
        <w:rPr>
          <w:rFonts w:ascii="Arial" w:cs="Arial" w:eastAsia="Arial" w:hAnsi="Arial"/>
          <w:sz w:val="14"/>
          <w:szCs w:val="14"/>
          <w:b w:val="1"/>
          <w:bCs w:val="1"/>
          <w:color w:val="auto"/>
        </w:rPr>
        <w:t>Source: Assessment of Sustainable Economic Development, Boston Consulting Group, 2016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95</w:t>
      </w:r>
    </w:p>
    <w:p>
      <w:pPr>
        <w:sectPr>
          <w:pgSz w:w="11900" w:h="16838" w:orient="portrait"/>
          <w:cols w:equalWidth="0" w:num="2">
            <w:col w:w="5400" w:space="440"/>
            <w:col w:w="5420"/>
          </w:cols>
          <w:pgMar w:left="320" w:top="94" w:right="319" w:bottom="1440" w:gutter="0" w:footer="0" w:header="0"/>
        </w:sectPr>
      </w:pPr>
    </w:p>
    <w:bookmarkStart w:id="98" w:name="page99"/>
    <w:bookmarkEnd w:id="98"/>
    <w:p>
      <w:pPr>
        <w:spacing w:after="0" w:line="2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Our main initiatives on the financial inclusion front in 2022 included working with IPSOS to develop our second assessment of financial inclusion to measure gaps and monitor the evolution of inclusion in 8 countries in Latin America. Additionally, our subsidiaries worked to create solutions that are aligned with our financial inclusion and education objectives, which were rolled out for micro, small and medium businesses and individuals through our main inclusive products: Yape and Crédito Mujer (BCP); Crediagua and microfinance loans (Mibanco); and inclusive insurance (Pacífico Seguros).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Credicorp’s Financial Inclusion Index</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In 2022, as part of our commitment to increase financial inclusions, we published the second edition of the Financial Inclusion Index (FII), which we developed in conjunction with Ipsos. This year, the study was conducted in 8 countries in the region: Argentina (new entrant), Bolivia, Chile Colombia, Ecuador, Mexico, Panama and Peru. New social variables were added this year to analyze the relation between financial inclusion and individuals’ access to internet; form of self-identification; or presence in the entrepreneurial</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FII was widely distributed and commented on by media in the region that specialize in economy and finance. Presentations were made to public and private institutions linked to financial inclusions and at events that brought together financial companies, academia, business associations and the press. Additionally, this index was used as a springboard to develop two complementary studies that analyze the relation between financial inclusion and both gender gaps and digitalization. These documents were also broadly distributed in the region.</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index has consolidated its position as a very complete and updated map of financial inclusion in Latin American and has become a highly valuable tool for monitoring, analysis and debate.</w:t>
      </w:r>
    </w:p>
    <w:p>
      <w:pPr>
        <w:spacing w:after="0" w:line="12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3B72E1"/>
        </w:rPr>
        <w:t>THE FINANCIAL INCLUSION INDEX HELPS IDENTIFY GAPS, MONITOR ACHIEVEMENTS AND DECIDE ON ACTIONS TO DRIVE FINANCIAL INCLUSION IN THE REGION</w:t>
      </w:r>
    </w:p>
    <w:p>
      <w:pPr>
        <w:spacing w:after="0" w:line="147" w:lineRule="exact"/>
        <w:rPr>
          <w:sz w:val="20"/>
          <w:szCs w:val="20"/>
          <w:color w:val="auto"/>
        </w:rPr>
      </w:pPr>
    </w:p>
    <w:p>
      <w:pPr>
        <w:jc w:val="both"/>
        <w:ind w:left="2060" w:right="20"/>
        <w:spacing w:after="0" w:line="243" w:lineRule="auto"/>
        <w:rPr>
          <w:sz w:val="20"/>
          <w:szCs w:val="20"/>
          <w:color w:val="auto"/>
        </w:rPr>
      </w:pPr>
      <w:r>
        <w:rPr>
          <w:rFonts w:ascii="Arial" w:cs="Arial" w:eastAsia="Arial" w:hAnsi="Arial"/>
          <w:sz w:val="15"/>
          <w:szCs w:val="15"/>
          <w:color w:val="auto"/>
        </w:rPr>
        <w:t xml:space="preserve">The study assessed 3 dimensions of financial inclusion and led us to the conclusion that one of the main barriers to access savings and loan products is potential users’ lack of interest in the same or the perception that they do not need the financial system. You can peruse the results of the FII on Credicorp’s web page </w:t>
      </w:r>
      <w:r>
        <w:rPr>
          <w:rFonts w:ascii="Arial" w:cs="Arial" w:eastAsia="Arial" w:hAnsi="Arial"/>
          <w:sz w:val="15"/>
          <w:szCs w:val="15"/>
          <w:u w:val="single" w:color="auto"/>
          <w:color w:val="4472C4"/>
        </w:rPr>
        <w:t>here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-775335</wp:posOffset>
            </wp:positionV>
            <wp:extent cx="1317625" cy="1303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17625"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b w:val="1"/>
          <w:bCs w:val="1"/>
          <w:i w:val="1"/>
          <w:iCs w:val="1"/>
          <w:color w:val="4472C4"/>
        </w:rPr>
        <w:t>THE FINANCIAL INCLUSION INDEX 2022 ASSESSED 3 DIMENSIONS OF FINANCIAL INCLUSION: ACCESS, USE AND QUALITY PERCEIVED. THE HIGHEST SCORE WAS REGISTERED BY “QUALITY PERCEIVED.”</w:t>
      </w:r>
    </w:p>
    <w:p>
      <w:pPr>
        <w:spacing w:after="0" w:line="147" w:lineRule="exact"/>
        <w:rPr>
          <w:sz w:val="20"/>
          <w:szCs w:val="20"/>
          <w:color w:val="auto"/>
        </w:rPr>
      </w:pPr>
    </w:p>
    <w:p>
      <w:pPr>
        <w:jc w:val="center"/>
        <w:ind w:left="840"/>
        <w:spacing w:after="0" w:line="249" w:lineRule="auto"/>
        <w:rPr>
          <w:sz w:val="20"/>
          <w:szCs w:val="20"/>
          <w:color w:val="auto"/>
        </w:rPr>
      </w:pPr>
      <w:r>
        <w:rPr>
          <w:rFonts w:ascii="Arial" w:cs="Arial" w:eastAsia="Arial" w:hAnsi="Arial"/>
          <w:sz w:val="15"/>
          <w:szCs w:val="15"/>
          <w:b w:val="1"/>
          <w:bCs w:val="1"/>
          <w:color w:val="auto"/>
        </w:rPr>
        <w:t>Credicorp’s FII 2022 measures three aspects to determine the level of financial inclusion (on a scale from 0 to 100, where the higher the score, the higher the level of financial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-449580</wp:posOffset>
            </wp:positionV>
            <wp:extent cx="2400935" cy="1032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00935" cy="1032510"/>
                    </a:xfrm>
                    <a:prstGeom prst="rect">
                      <a:avLst/>
                    </a:prstGeom>
                    <a:noFill/>
                  </pic:spPr>
                </pic:pic>
              </a:graphicData>
            </a:graphic>
          </wp:anchor>
        </w:drawing>
      </w:r>
    </w:p>
    <w:tbl>
      <w:tblPr>
        <w:tblLayout w:type="fixed"/>
        <w:tblInd w:w="820" w:type="dxa"/>
        <w:tblCellMar>
          <w:top w:w="0" w:type="dxa"/>
          <w:left w:w="0" w:type="dxa"/>
          <w:bottom w:w="0" w:type="dxa"/>
          <w:right w:w="0" w:type="dxa"/>
        </w:tblCellMar>
      </w:tblPr>
      <w:tr>
        <w:trPr>
          <w:trHeight w:val="159"/>
        </w:trPr>
        <w:tc>
          <w:tcPr>
            <w:tcW w:w="900" w:type="dxa"/>
            <w:vAlign w:val="bottom"/>
            <w:tcBorders>
              <w:top w:val="single" w:sz="8" w:color="auto"/>
              <w:bottom w:val="single" w:sz="8" w:color="auto"/>
              <w:right w:val="single" w:sz="8" w:color="auto"/>
            </w:tcBorders>
          </w:tcPr>
          <w:p>
            <w:pPr>
              <w:spacing w:after="0"/>
              <w:rPr>
                <w:sz w:val="13"/>
                <w:szCs w:val="13"/>
                <w:color w:val="auto"/>
              </w:rPr>
            </w:pPr>
          </w:p>
        </w:tc>
        <w:tc>
          <w:tcPr>
            <w:tcW w:w="1020" w:type="dxa"/>
            <w:vAlign w:val="bottom"/>
            <w:tcBorders>
              <w:top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rPr>
              <w:t>2021</w:t>
            </w:r>
          </w:p>
        </w:tc>
        <w:tc>
          <w:tcPr>
            <w:tcW w:w="940" w:type="dxa"/>
            <w:vAlign w:val="bottom"/>
            <w:tcBorders>
              <w:top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rPr>
              <w:t>2022</w:t>
            </w:r>
          </w:p>
        </w:tc>
        <w:tc>
          <w:tcPr>
            <w:tcW w:w="920" w:type="dxa"/>
            <w:vAlign w:val="bottom"/>
            <w:tcBorders>
              <w:top w:val="single" w:sz="8" w:color="auto"/>
              <w:bottom w:val="single" w:sz="8" w:color="auto"/>
            </w:tcBorders>
          </w:tcPr>
          <w:p>
            <w:pPr>
              <w:ind w:left="100"/>
              <w:spacing w:after="0" w:line="159" w:lineRule="exact"/>
              <w:rPr>
                <w:sz w:val="20"/>
                <w:szCs w:val="20"/>
                <w:color w:val="auto"/>
              </w:rPr>
            </w:pPr>
            <w:r>
              <w:rPr>
                <w:rFonts w:ascii="Arial" w:cs="Arial" w:eastAsia="Arial" w:hAnsi="Arial"/>
                <w:sz w:val="15"/>
                <w:szCs w:val="15"/>
                <w:b w:val="1"/>
                <w:bCs w:val="1"/>
                <w:color w:val="auto"/>
              </w:rPr>
              <w:t>Variación</w:t>
            </w:r>
          </w:p>
        </w:tc>
      </w:tr>
      <w:tr>
        <w:trPr>
          <w:trHeight w:val="164"/>
        </w:trPr>
        <w:tc>
          <w:tcPr>
            <w:tcW w:w="900" w:type="dxa"/>
            <w:vAlign w:val="bottom"/>
            <w:tcBorders>
              <w:bottom w:val="single" w:sz="8" w:color="auto"/>
              <w:right w:val="single" w:sz="8" w:color="auto"/>
            </w:tcBorders>
            <w:shd w:val="clear" w:color="auto" w:fill="F7CAAC"/>
          </w:tcPr>
          <w:p>
            <w:pPr>
              <w:ind w:left="100"/>
              <w:spacing w:after="0" w:line="164" w:lineRule="exact"/>
              <w:rPr>
                <w:sz w:val="20"/>
                <w:szCs w:val="20"/>
                <w:color w:val="auto"/>
              </w:rPr>
            </w:pPr>
            <w:r>
              <w:rPr>
                <w:rFonts w:ascii="Arial" w:cs="Arial" w:eastAsia="Arial" w:hAnsi="Arial"/>
                <w:sz w:val="15"/>
                <w:szCs w:val="15"/>
                <w:color w:val="auto"/>
              </w:rPr>
              <w:t>Access</w:t>
            </w:r>
          </w:p>
        </w:tc>
        <w:tc>
          <w:tcPr>
            <w:tcW w:w="1020" w:type="dxa"/>
            <w:vAlign w:val="bottom"/>
            <w:tcBorders>
              <w:bottom w:val="single" w:sz="8" w:color="auto"/>
              <w:right w:val="single" w:sz="8" w:color="auto"/>
            </w:tcBorders>
            <w:shd w:val="clear" w:color="auto" w:fill="F7CAAC"/>
          </w:tcPr>
          <w:p>
            <w:pPr>
              <w:jc w:val="center"/>
              <w:spacing w:after="0" w:line="164" w:lineRule="exact"/>
              <w:rPr>
                <w:sz w:val="20"/>
                <w:szCs w:val="20"/>
                <w:color w:val="auto"/>
              </w:rPr>
            </w:pPr>
            <w:r>
              <w:rPr>
                <w:rFonts w:ascii="Arial" w:cs="Arial" w:eastAsia="Arial" w:hAnsi="Arial"/>
                <w:sz w:val="15"/>
                <w:szCs w:val="15"/>
                <w:color w:val="auto"/>
              </w:rPr>
              <w:t>33,3</w:t>
            </w:r>
          </w:p>
        </w:tc>
        <w:tc>
          <w:tcPr>
            <w:tcW w:w="940" w:type="dxa"/>
            <w:vAlign w:val="bottom"/>
            <w:tcBorders>
              <w:bottom w:val="single" w:sz="8" w:color="auto"/>
              <w:right w:val="single" w:sz="8" w:color="auto"/>
            </w:tcBorders>
            <w:shd w:val="clear" w:color="auto" w:fill="F7CAAC"/>
          </w:tcPr>
          <w:p>
            <w:pPr>
              <w:jc w:val="center"/>
              <w:spacing w:after="0" w:line="164" w:lineRule="exact"/>
              <w:rPr>
                <w:sz w:val="20"/>
                <w:szCs w:val="20"/>
                <w:color w:val="auto"/>
              </w:rPr>
            </w:pPr>
            <w:r>
              <w:rPr>
                <w:rFonts w:ascii="Arial" w:cs="Arial" w:eastAsia="Arial" w:hAnsi="Arial"/>
                <w:sz w:val="15"/>
                <w:szCs w:val="15"/>
                <w:color w:val="auto"/>
              </w:rPr>
              <w:t>45,4</w:t>
            </w:r>
          </w:p>
        </w:tc>
        <w:tc>
          <w:tcPr>
            <w:tcW w:w="920" w:type="dxa"/>
            <w:vAlign w:val="bottom"/>
            <w:tcBorders>
              <w:bottom w:val="single" w:sz="8" w:color="auto"/>
            </w:tcBorders>
            <w:shd w:val="clear" w:color="auto" w:fill="F7CAAC"/>
          </w:tcPr>
          <w:p>
            <w:pPr>
              <w:jc w:val="center"/>
              <w:spacing w:after="0" w:line="164" w:lineRule="exact"/>
              <w:rPr>
                <w:sz w:val="20"/>
                <w:szCs w:val="20"/>
                <w:color w:val="auto"/>
              </w:rPr>
            </w:pPr>
            <w:r>
              <w:rPr>
                <w:rFonts w:ascii="Arial" w:cs="Arial" w:eastAsia="Arial" w:hAnsi="Arial"/>
                <w:sz w:val="15"/>
                <w:szCs w:val="15"/>
                <w:color w:val="auto"/>
              </w:rPr>
              <w:t>+12,1</w:t>
            </w:r>
          </w:p>
        </w:tc>
      </w:tr>
      <w:tr>
        <w:trPr>
          <w:trHeight w:val="164"/>
        </w:trPr>
        <w:tc>
          <w:tcPr>
            <w:tcW w:w="900" w:type="dxa"/>
            <w:vAlign w:val="bottom"/>
            <w:tcBorders>
              <w:bottom w:val="single" w:sz="8" w:color="auto"/>
              <w:right w:val="single" w:sz="8" w:color="auto"/>
            </w:tcBorders>
            <w:shd w:val="clear" w:color="auto" w:fill="F7CAAC"/>
          </w:tcPr>
          <w:p>
            <w:pPr>
              <w:ind w:left="100"/>
              <w:spacing w:after="0" w:line="164" w:lineRule="exact"/>
              <w:rPr>
                <w:sz w:val="20"/>
                <w:szCs w:val="20"/>
                <w:color w:val="auto"/>
              </w:rPr>
            </w:pPr>
            <w:r>
              <w:rPr>
                <w:rFonts w:ascii="Arial" w:cs="Arial" w:eastAsia="Arial" w:hAnsi="Arial"/>
                <w:sz w:val="15"/>
                <w:szCs w:val="15"/>
                <w:color w:val="auto"/>
              </w:rPr>
              <w:t>Use</w:t>
            </w:r>
          </w:p>
        </w:tc>
        <w:tc>
          <w:tcPr>
            <w:tcW w:w="1020" w:type="dxa"/>
            <w:vAlign w:val="bottom"/>
            <w:tcBorders>
              <w:bottom w:val="single" w:sz="8" w:color="auto"/>
              <w:right w:val="single" w:sz="8" w:color="auto"/>
            </w:tcBorders>
            <w:shd w:val="clear" w:color="auto" w:fill="F7CAAC"/>
          </w:tcPr>
          <w:p>
            <w:pPr>
              <w:jc w:val="center"/>
              <w:spacing w:after="0" w:line="164" w:lineRule="exact"/>
              <w:rPr>
                <w:sz w:val="20"/>
                <w:szCs w:val="20"/>
                <w:color w:val="auto"/>
              </w:rPr>
            </w:pPr>
            <w:r>
              <w:rPr>
                <w:rFonts w:ascii="Arial" w:cs="Arial" w:eastAsia="Arial" w:hAnsi="Arial"/>
                <w:sz w:val="15"/>
                <w:szCs w:val="15"/>
                <w:color w:val="auto"/>
              </w:rPr>
              <w:t>24,4</w:t>
            </w:r>
          </w:p>
        </w:tc>
        <w:tc>
          <w:tcPr>
            <w:tcW w:w="940" w:type="dxa"/>
            <w:vAlign w:val="bottom"/>
            <w:tcBorders>
              <w:bottom w:val="single" w:sz="8" w:color="auto"/>
              <w:right w:val="single" w:sz="8" w:color="auto"/>
            </w:tcBorders>
            <w:shd w:val="clear" w:color="auto" w:fill="F7CAAC"/>
          </w:tcPr>
          <w:p>
            <w:pPr>
              <w:jc w:val="center"/>
              <w:spacing w:after="0" w:line="164" w:lineRule="exact"/>
              <w:rPr>
                <w:sz w:val="20"/>
                <w:szCs w:val="20"/>
                <w:color w:val="auto"/>
              </w:rPr>
            </w:pPr>
            <w:r>
              <w:rPr>
                <w:rFonts w:ascii="Arial" w:cs="Arial" w:eastAsia="Arial" w:hAnsi="Arial"/>
                <w:sz w:val="15"/>
                <w:szCs w:val="15"/>
                <w:color w:val="auto"/>
              </w:rPr>
              <w:t>29,2</w:t>
            </w:r>
          </w:p>
        </w:tc>
        <w:tc>
          <w:tcPr>
            <w:tcW w:w="920" w:type="dxa"/>
            <w:vAlign w:val="bottom"/>
            <w:tcBorders>
              <w:bottom w:val="single" w:sz="8" w:color="auto"/>
            </w:tcBorders>
            <w:shd w:val="clear" w:color="auto" w:fill="F7CAAC"/>
          </w:tcPr>
          <w:p>
            <w:pPr>
              <w:jc w:val="center"/>
              <w:spacing w:after="0" w:line="164" w:lineRule="exact"/>
              <w:rPr>
                <w:sz w:val="20"/>
                <w:szCs w:val="20"/>
                <w:color w:val="auto"/>
              </w:rPr>
            </w:pPr>
            <w:r>
              <w:rPr>
                <w:rFonts w:ascii="Arial" w:cs="Arial" w:eastAsia="Arial" w:hAnsi="Arial"/>
                <w:sz w:val="15"/>
                <w:szCs w:val="15"/>
                <w:color w:val="auto"/>
              </w:rPr>
              <w:t>+4,8</w:t>
            </w:r>
          </w:p>
        </w:tc>
      </w:tr>
      <w:tr>
        <w:trPr>
          <w:trHeight w:val="164"/>
        </w:trPr>
        <w:tc>
          <w:tcPr>
            <w:tcW w:w="90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Quality</w:t>
            </w:r>
          </w:p>
        </w:tc>
        <w:tc>
          <w:tcPr>
            <w:tcW w:w="1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57,1</w:t>
            </w:r>
          </w:p>
        </w:tc>
        <w:tc>
          <w:tcPr>
            <w:tcW w:w="9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58,0</w:t>
            </w:r>
          </w:p>
        </w:tc>
        <w:tc>
          <w:tcPr>
            <w:tcW w:w="920" w:type="dxa"/>
            <w:vAlign w:val="bottom"/>
          </w:tcPr>
          <w:p>
            <w:pPr>
              <w:jc w:val="center"/>
              <w:spacing w:after="0" w:line="164" w:lineRule="exact"/>
              <w:rPr>
                <w:sz w:val="20"/>
                <w:szCs w:val="20"/>
                <w:color w:val="auto"/>
              </w:rPr>
            </w:pPr>
            <w:r>
              <w:rPr>
                <w:rFonts w:ascii="Arial" w:cs="Arial" w:eastAsia="Arial" w:hAnsi="Arial"/>
                <w:sz w:val="15"/>
                <w:szCs w:val="15"/>
                <w:color w:val="auto"/>
              </w:rPr>
              <w:t>+0,9</w:t>
            </w:r>
          </w:p>
        </w:tc>
      </w:tr>
      <w:tr>
        <w:trPr>
          <w:trHeight w:val="174"/>
        </w:trPr>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perceived</w:t>
            </w:r>
          </w:p>
        </w:tc>
        <w:tc>
          <w:tcPr>
            <w:tcW w:w="10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bl>
    <w:p>
      <w:pPr>
        <w:spacing w:after="0" w:line="17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Most critical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-108585</wp:posOffset>
            </wp:positionV>
            <wp:extent cx="109855" cy="952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9855" cy="95250"/>
                    </a:xfrm>
                    <a:prstGeom prst="rect">
                      <a:avLst/>
                    </a:prstGeom>
                    <a:noFill/>
                  </pic:spPr>
                </pic:pic>
              </a:graphicData>
            </a:graphic>
          </wp:anchor>
        </w:drawing>
      </w:r>
    </w:p>
    <w:p>
      <w:pPr>
        <w:spacing w:after="0" w:line="146" w:lineRule="exact"/>
        <w:rPr>
          <w:sz w:val="20"/>
          <w:szCs w:val="20"/>
          <w:color w:val="auto"/>
        </w:rPr>
      </w:pPr>
    </w:p>
    <w:tbl>
      <w:tblPr>
        <w:tblLayout w:type="fixed"/>
        <w:tblInd w:w="830" w:type="dxa"/>
        <w:tblCellMar>
          <w:top w:w="0" w:type="dxa"/>
          <w:left w:w="0" w:type="dxa"/>
          <w:bottom w:w="0" w:type="dxa"/>
          <w:right w:w="0" w:type="dxa"/>
        </w:tblCellMar>
      </w:tblPr>
      <w:tr>
        <w:trPr>
          <w:trHeight w:val="150"/>
        </w:trPr>
        <w:tc>
          <w:tcPr>
            <w:tcW w:w="3800" w:type="dxa"/>
            <w:vAlign w:val="bottom"/>
            <w:tcBorders>
              <w:top w:val="single" w:sz="8" w:color="auto"/>
              <w:left w:val="single" w:sz="8" w:color="auto"/>
              <w:bottom w:val="single" w:sz="8" w:color="auto"/>
              <w:right w:val="single" w:sz="8" w:color="auto"/>
            </w:tcBorders>
            <w:gridSpan w:val="2"/>
          </w:tcPr>
          <w:p>
            <w:pPr>
              <w:ind w:left="720"/>
              <w:spacing w:after="0"/>
              <w:rPr>
                <w:sz w:val="20"/>
                <w:szCs w:val="20"/>
                <w:color w:val="auto"/>
              </w:rPr>
            </w:pPr>
            <w:r>
              <w:rPr>
                <w:rFonts w:ascii="Arial" w:cs="Arial" w:eastAsia="Arial" w:hAnsi="Arial"/>
                <w:sz w:val="12"/>
                <w:szCs w:val="12"/>
                <w:b w:val="1"/>
                <w:bCs w:val="1"/>
                <w:color w:val="auto"/>
              </w:rPr>
              <w:t>Ranking of Countries Credicorp FII 2022</w:t>
            </w:r>
          </w:p>
        </w:tc>
      </w:tr>
      <w:tr>
        <w:trPr>
          <w:trHeight w:val="120"/>
        </w:trPr>
        <w:tc>
          <w:tcPr>
            <w:tcW w:w="1380" w:type="dxa"/>
            <w:vAlign w:val="bottom"/>
            <w:tcBorders>
              <w:left w:val="single" w:sz="8" w:color="auto"/>
              <w:right w:val="single" w:sz="8" w:color="auto"/>
            </w:tcBorders>
          </w:tcPr>
          <w:p>
            <w:pPr>
              <w:spacing w:after="0"/>
              <w:rPr>
                <w:sz w:val="10"/>
                <w:szCs w:val="10"/>
                <w:color w:val="auto"/>
              </w:rPr>
            </w:pPr>
          </w:p>
        </w:tc>
        <w:tc>
          <w:tcPr>
            <w:tcW w:w="242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Score obtained (on a scale from 0 to 10</w:t>
            </w:r>
          </w:p>
        </w:tc>
      </w:tr>
      <w:tr>
        <w:trPr>
          <w:trHeight w:val="138"/>
        </w:trPr>
        <w:tc>
          <w:tcPr>
            <w:tcW w:w="1380" w:type="dxa"/>
            <w:vAlign w:val="bottom"/>
            <w:tcBorders>
              <w:left w:val="single" w:sz="8" w:color="auto"/>
              <w:right w:val="single" w:sz="8" w:color="auto"/>
            </w:tcBorders>
          </w:tcPr>
          <w:p>
            <w:pPr>
              <w:spacing w:after="0"/>
              <w:rPr>
                <w:sz w:val="12"/>
                <w:szCs w:val="12"/>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where the higher the score, the higher</w:t>
            </w:r>
          </w:p>
        </w:tc>
      </w:tr>
      <w:tr>
        <w:trPr>
          <w:trHeight w:val="148"/>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the level of financial inclusion)</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Panama</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54.6</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Chile</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52.3</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Argentina</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49.0</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Ecuador</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48.9</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Colombia</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44.7</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b w:val="1"/>
                <w:bCs w:val="1"/>
                <w:color w:val="auto"/>
              </w:rPr>
              <w:t>Regional Average</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rPr>
              <w:t>44.2</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Mexico</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41.5</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Peru</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39.8</w:t>
            </w:r>
          </w:p>
        </w:tc>
      </w:tr>
      <w:tr>
        <w:trPr>
          <w:trHeight w:val="130"/>
        </w:trPr>
        <w:tc>
          <w:tcPr>
            <w:tcW w:w="138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Bolivia</w:t>
            </w:r>
          </w:p>
        </w:tc>
        <w:tc>
          <w:tcPr>
            <w:tcW w:w="24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38.3</w:t>
            </w:r>
          </w:p>
        </w:tc>
      </w:tr>
    </w:tbl>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all of the countries measured, the groups that have the highest level of financial inclusion are men; younger people; inhabitants of urban areas; people with higher education levels; individuals from the highest income bracket; entrepreneurs; workers in the formal economy; individuals with access to internet; and those who identify as white or mestizo.</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largest increases reported with regard to 2021 were seen primarily in improvement in knowledge levels and possession of financial products, frequency of use–particularly of mobile wallets such as Yape– and an increase in the number of people that work in and receive wages from formal employment.</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an addition to FII 2022, we will publish an analysis of the situation of financial inclusion in the macro regions of Peru. Two complementary studies will also be conducted to analyze the relation between financial inclusion and gender gaps and digitalization. These documents will be widely distributed in the region in 2023.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85" w:right="319" w:bottom="1440" w:gutter="0" w:footer="0" w:header="0"/>
        </w:sectPr>
      </w:pPr>
    </w:p>
    <w:bookmarkStart w:id="99" w:name="page100"/>
    <w:bookmarkEnd w:id="99"/>
    <w:p>
      <w:pPr>
        <w:jc w:val="center"/>
        <w:spacing w:after="0" w:line="282" w:lineRule="auto"/>
        <w:rPr>
          <w:sz w:val="20"/>
          <w:szCs w:val="20"/>
          <w:color w:val="auto"/>
        </w:rPr>
      </w:pPr>
      <w:r>
        <w:rPr>
          <w:rFonts w:ascii="Arial" w:cs="Arial" w:eastAsia="Arial" w:hAnsi="Arial"/>
          <w:sz w:val="18"/>
          <w:szCs w:val="18"/>
          <w:b w:val="1"/>
          <w:bCs w:val="1"/>
          <w:i w:val="1"/>
          <w:iCs w:val="1"/>
          <w:color w:val="3B72E1"/>
        </w:rPr>
        <w:t>CONTRIBUTE TO IMPROVING LIVES BY DRIVING THE CHANGES THAT OUR COUNTRIES NEED</w:t>
      </w:r>
    </w:p>
    <w:p>
      <w:pPr>
        <w:spacing w:after="0" w:line="10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E93CAC"/>
        </w:rPr>
        <w:t>Main Products and Achievements with regard to Financial Inclusion at our Subsidiaries in 2022</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Each subsidiary has a business team that is in charge of developing solutions that are aligned with the objectives to drive financial inclusion and education for individuals as well as micro, small and medium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3425825" cy="3704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5825" cy="3704590"/>
                    </a:xfrm>
                    <a:prstGeom prst="rect">
                      <a:avLst/>
                    </a:prstGeom>
                    <a:noFill/>
                  </pic:spPr>
                </pic:pic>
              </a:graphicData>
            </a:graphic>
          </wp:anchor>
        </w:drawing>
      </w:r>
    </w:p>
    <w:p>
      <w:pPr>
        <w:spacing w:after="0" w:line="137" w:lineRule="exact"/>
        <w:rPr>
          <w:sz w:val="20"/>
          <w:szCs w:val="20"/>
          <w:color w:val="auto"/>
        </w:rPr>
      </w:pPr>
    </w:p>
    <w:p>
      <w:pPr>
        <w:ind w:left="1480"/>
        <w:spacing w:after="0"/>
        <w:rPr>
          <w:sz w:val="20"/>
          <w:szCs w:val="20"/>
          <w:color w:val="auto"/>
        </w:rPr>
      </w:pPr>
      <w:r>
        <w:rPr>
          <w:rFonts w:ascii="Arial" w:cs="Arial" w:eastAsia="Arial" w:hAnsi="Arial"/>
          <w:sz w:val="12"/>
          <w:szCs w:val="12"/>
          <w:b w:val="1"/>
          <w:bCs w:val="1"/>
          <w:color w:val="auto"/>
        </w:rPr>
        <w:t>Main achievements in Financial Inclusion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b w:val="1"/>
                <w:bCs w:val="1"/>
                <w:color w:val="auto"/>
              </w:rPr>
              <w:t>Subsidiary</w:t>
            </w:r>
          </w:p>
        </w:tc>
        <w:tc>
          <w:tcPr>
            <w:tcW w:w="17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2"/>
                <w:szCs w:val="12"/>
                <w:b w:val="1"/>
                <w:bCs w:val="1"/>
                <w:color w:val="auto"/>
              </w:rPr>
              <w:t>Initiative</w:t>
            </w:r>
          </w:p>
        </w:tc>
        <w:tc>
          <w:tcPr>
            <w:tcW w:w="24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2"/>
                <w:szCs w:val="12"/>
                <w:b w:val="1"/>
                <w:bCs w:val="1"/>
                <w:color w:val="auto"/>
              </w:rPr>
              <w:t>Achievements 2022</w:t>
            </w:r>
          </w:p>
        </w:tc>
      </w:tr>
      <w:tr>
        <w:trPr>
          <w:trHeight w:val="134"/>
        </w:trPr>
        <w:tc>
          <w:tcPr>
            <w:tcW w:w="8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b w:val="1"/>
                <w:bCs w:val="1"/>
                <w:color w:val="auto"/>
              </w:rPr>
              <w:t>BCP</w:t>
            </w:r>
          </w:p>
        </w:tc>
        <w:tc>
          <w:tcPr>
            <w:tcW w:w="17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Yape Mobile Wallet</w:t>
            </w:r>
          </w:p>
        </w:tc>
        <w:tc>
          <w:tcPr>
            <w:tcW w:w="240" w:type="dxa"/>
            <w:vAlign w:val="bottom"/>
          </w:tcPr>
          <w:p>
            <w:pPr>
              <w:ind w:left="80"/>
              <w:spacing w:after="0" w:line="134" w:lineRule="exact"/>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+2.6 million people included since 2017</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+1 million in 2022</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162 million transactions on average every</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month</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Launch of the microloan pilot: 130,000</w:t>
            </w:r>
          </w:p>
        </w:tc>
      </w:tr>
      <w:tr>
        <w:trPr>
          <w:trHeight w:val="134"/>
        </w:trPr>
        <w:tc>
          <w:tcPr>
            <w:tcW w:w="82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loans; total disbursement level: 25 million</w:t>
            </w:r>
          </w:p>
        </w:tc>
      </w:tr>
      <w:tr>
        <w:trPr>
          <w:trHeight w:val="120"/>
        </w:trPr>
        <w:tc>
          <w:tcPr>
            <w:tcW w:w="8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b w:val="1"/>
                <w:bCs w:val="1"/>
                <w:color w:val="auto"/>
              </w:rPr>
              <w:t>BCP</w:t>
            </w:r>
          </w:p>
        </w:tc>
        <w:tc>
          <w:tcPr>
            <w:tcW w:w="1780" w:type="dxa"/>
            <w:vAlign w:val="bottom"/>
            <w:tcBorders>
              <w:right w:val="single" w:sz="8" w:color="auto"/>
            </w:tcBorders>
          </w:tcPr>
          <w:p>
            <w:pPr>
              <w:ind w:left="100"/>
              <w:spacing w:after="0" w:line="120" w:lineRule="exact"/>
              <w:rPr>
                <w:sz w:val="20"/>
                <w:szCs w:val="20"/>
                <w:color w:val="auto"/>
              </w:rPr>
            </w:pPr>
            <w:r>
              <w:rPr>
                <w:rFonts w:ascii="Arial" w:cs="Arial" w:eastAsia="Arial" w:hAnsi="Arial"/>
                <w:sz w:val="12"/>
                <w:szCs w:val="12"/>
                <w:color w:val="auto"/>
              </w:rPr>
              <w:t>Soli Mobile Wallet</w:t>
            </w:r>
          </w:p>
        </w:tc>
        <w:tc>
          <w:tcPr>
            <w:tcW w:w="240" w:type="dxa"/>
            <w:vAlign w:val="bottom"/>
          </w:tcPr>
          <w:p>
            <w:pPr>
              <w:ind w:left="80"/>
              <w:spacing w:after="0" w:line="120" w:lineRule="exact"/>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442,045 users in 2022 between people and</w:t>
            </w:r>
          </w:p>
        </w:tc>
      </w:tr>
      <w:tr>
        <w:trPr>
          <w:trHeight w:val="184"/>
        </w:trPr>
        <w:tc>
          <w:tcPr>
            <w:tcW w:w="82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Bolivia</w:t>
            </w:r>
          </w:p>
        </w:tc>
        <w:tc>
          <w:tcPr>
            <w:tcW w:w="17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businesses</w:t>
            </w:r>
          </w:p>
        </w:tc>
      </w:tr>
      <w:tr>
        <w:trPr>
          <w:trHeight w:val="141"/>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+88,000 users (over 2021’s figure)</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Usability: increase of 12% (1Q 22) to 28%</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(4Q 22)</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Service offering broadened: Inclusion of</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coupons with benefits + award of 10Bs for</w:t>
            </w:r>
          </w:p>
        </w:tc>
      </w:tr>
      <w:tr>
        <w:trPr>
          <w:trHeight w:val="134"/>
        </w:trPr>
        <w:tc>
          <w:tcPr>
            <w:tcW w:w="82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first transaction.</w:t>
            </w:r>
          </w:p>
        </w:tc>
      </w:tr>
      <w:tr>
        <w:trPr>
          <w:trHeight w:val="134"/>
        </w:trPr>
        <w:tc>
          <w:tcPr>
            <w:tcW w:w="8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b w:val="1"/>
                <w:bCs w:val="1"/>
                <w:color w:val="auto"/>
              </w:rPr>
              <w:t>Mibanco</w:t>
            </w:r>
          </w:p>
        </w:tc>
        <w:tc>
          <w:tcPr>
            <w:tcW w:w="17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Banked clients</w:t>
            </w:r>
          </w:p>
        </w:tc>
        <w:tc>
          <w:tcPr>
            <w:tcW w:w="240" w:type="dxa"/>
            <w:vAlign w:val="bottom"/>
          </w:tcPr>
          <w:p>
            <w:pPr>
              <w:ind w:left="80"/>
              <w:spacing w:after="0" w:line="134" w:lineRule="exact"/>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72,876 banked clients per asset</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2800" w:type="dxa"/>
            <w:vAlign w:val="bottom"/>
            <w:tcBorders>
              <w:bottom w:val="single" w:sz="8" w:color="auto"/>
              <w:right w:val="single" w:sz="8" w:color="auto"/>
            </w:tcBorders>
            <w:gridSpan w:val="2"/>
          </w:tcPr>
          <w:p>
            <w:pPr>
              <w:ind w:left="80"/>
              <w:spacing w:after="0" w:line="134" w:lineRule="exact"/>
              <w:rPr>
                <w:sz w:val="20"/>
                <w:szCs w:val="20"/>
                <w:color w:val="auto"/>
              </w:rPr>
            </w:pPr>
            <w:r>
              <w:rPr>
                <w:rFonts w:ascii="Arial" w:cs="Arial" w:eastAsia="Arial" w:hAnsi="Arial"/>
                <w:sz w:val="12"/>
                <w:szCs w:val="12"/>
                <w:color w:val="auto"/>
              </w:rPr>
              <w:t>●   16,507 clients banked through accounts</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Financing to access essential</w:t>
            </w:r>
          </w:p>
        </w:tc>
        <w:tc>
          <w:tcPr>
            <w:tcW w:w="240" w:type="dxa"/>
            <w:vAlign w:val="bottom"/>
          </w:tcPr>
          <w:p>
            <w:pPr>
              <w:ind w:left="80"/>
              <w:spacing w:after="0" w:line="134" w:lineRule="exact"/>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106,309 loans</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services through Crediagua</w:t>
            </w: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 1,869 million disbursed</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ind w:left="80"/>
              <w:spacing w:after="0" w:line="134" w:lineRule="exact"/>
              <w:rPr>
                <w:sz w:val="20"/>
                <w:szCs w:val="20"/>
                <w:color w:val="auto"/>
              </w:rPr>
            </w:pPr>
            <w:r>
              <w:rPr>
                <w:rFonts w:ascii="Arial" w:cs="Arial" w:eastAsia="Arial" w:hAnsi="Arial"/>
                <w:sz w:val="12"/>
                <w:szCs w:val="12"/>
                <w:color w:val="auto"/>
              </w:rPr>
              <w:t>●</w:t>
            </w:r>
          </w:p>
        </w:tc>
        <w:tc>
          <w:tcPr>
            <w:tcW w:w="256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5,642 people banked</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Financial inclusion for</w:t>
            </w:r>
          </w:p>
        </w:tc>
        <w:tc>
          <w:tcPr>
            <w:tcW w:w="240" w:type="dxa"/>
            <w:vAlign w:val="bottom"/>
          </w:tcPr>
          <w:p>
            <w:pPr>
              <w:ind w:left="80"/>
              <w:spacing w:after="0" w:line="134" w:lineRule="exact"/>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36,904 loans,</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women through Crédito</w:t>
            </w: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 62.8 million disbursed</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Mujer</w:t>
            </w: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9,273 women banked (through credito</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mujer)</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A-morosos: financial</w:t>
            </w:r>
          </w:p>
        </w:tc>
        <w:tc>
          <w:tcPr>
            <w:tcW w:w="240" w:type="dxa"/>
            <w:vAlign w:val="bottom"/>
          </w:tcPr>
          <w:p>
            <w:pPr>
              <w:ind w:left="80"/>
              <w:spacing w:after="0" w:line="134" w:lineRule="exact"/>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1,164 new agreements generated this year</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rehabilitation program</w:t>
            </w:r>
          </w:p>
        </w:tc>
        <w:tc>
          <w:tcPr>
            <w:tcW w:w="240" w:type="dxa"/>
            <w:vAlign w:val="bottom"/>
            <w:tcBorders>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through A-Morosos</w:t>
            </w:r>
          </w:p>
        </w:tc>
      </w:tr>
      <w:tr>
        <w:trPr>
          <w:trHeight w:val="134"/>
        </w:trPr>
        <w:tc>
          <w:tcPr>
            <w:tcW w:w="8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Simi: Financial inclusion</w:t>
            </w:r>
          </w:p>
        </w:tc>
        <w:tc>
          <w:tcPr>
            <w:tcW w:w="240" w:type="dxa"/>
            <w:vAlign w:val="bottom"/>
          </w:tcPr>
          <w:p>
            <w:pPr>
              <w:ind w:left="80"/>
              <w:spacing w:after="0" w:line="134" w:lineRule="exact"/>
              <w:rPr>
                <w:sz w:val="20"/>
                <w:szCs w:val="20"/>
                <w:color w:val="auto"/>
              </w:rPr>
            </w:pPr>
            <w:r>
              <w:rPr>
                <w:rFonts w:ascii="Arial" w:cs="Arial" w:eastAsia="Arial" w:hAnsi="Arial"/>
                <w:sz w:val="12"/>
                <w:szCs w:val="12"/>
                <w:color w:val="auto"/>
              </w:rPr>
              <w:t>●</w:t>
            </w:r>
          </w:p>
        </w:tc>
        <w:tc>
          <w:tcPr>
            <w:tcW w:w="25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Included 46 branches in the country</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through language</w:t>
            </w: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(Cusco, Puno, Ancash, Huancavelica,</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Pasco, Huánuco, Junín, Apurímac y</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Ayacucho), where signage was included in</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two languages.</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A survey was conducted with 91% of</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employees in Mibanco’s network; 20%</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speak an indigenous language.</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A training pilot was conducted to teach a</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basic course of Quechua Collao; 120</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participants began the program and 38</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graduated.</w:t>
            </w:r>
          </w:p>
        </w:tc>
      </w:tr>
      <w:tr>
        <w:trPr>
          <w:trHeight w:val="138"/>
        </w:trPr>
        <w:tc>
          <w:tcPr>
            <w:tcW w:w="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82% satisfaction obtained in T2B of</w:t>
            </w:r>
          </w:p>
        </w:tc>
      </w:tr>
      <w:tr>
        <w:trPr>
          <w:trHeight w:val="134"/>
        </w:trPr>
        <w:tc>
          <w:tcPr>
            <w:tcW w:w="82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employees for this initiative.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0"/>
        </w:trPr>
        <w:tc>
          <w:tcPr>
            <w:tcW w:w="7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auto"/>
              </w:rPr>
              <w:t>Mibanco</w:t>
            </w:r>
          </w:p>
        </w:tc>
        <w:tc>
          <w:tcPr>
            <w:tcW w:w="1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A-morosos: financial</w:t>
            </w: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2"/>
                <w:szCs w:val="12"/>
                <w:color w:val="auto"/>
              </w:rPr>
              <w:t>●</w:t>
            </w:r>
          </w:p>
        </w:tc>
        <w:tc>
          <w:tcPr>
            <w:tcW w:w="2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534 new agreements generated over the</w:t>
            </w:r>
          </w:p>
        </w:tc>
      </w:tr>
      <w:tr>
        <w:trPr>
          <w:trHeight w:val="148"/>
        </w:trPr>
        <w:tc>
          <w:tcPr>
            <w:tcW w:w="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auto"/>
              </w:rPr>
              <w:t>Colombia</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rehabilitation program</w:t>
            </w:r>
          </w:p>
        </w:tc>
        <w:tc>
          <w:tcPr>
            <w:tcW w:w="240" w:type="dxa"/>
            <w:vAlign w:val="bottom"/>
            <w:tcBorders>
              <w:bottom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year through a-Morosos</w:t>
            </w:r>
          </w:p>
        </w:tc>
      </w:tr>
      <w:tr>
        <w:trPr>
          <w:trHeight w:val="120"/>
        </w:trPr>
        <w:tc>
          <w:tcPr>
            <w:tcW w:w="760" w:type="dxa"/>
            <w:vAlign w:val="bottom"/>
            <w:tcBorders>
              <w:left w:val="single" w:sz="8" w:color="auto"/>
              <w:right w:val="single" w:sz="8" w:color="auto"/>
            </w:tcBorders>
          </w:tcPr>
          <w:p>
            <w:pPr>
              <w:ind w:left="100"/>
              <w:spacing w:after="0" w:line="120" w:lineRule="exact"/>
              <w:rPr>
                <w:sz w:val="20"/>
                <w:szCs w:val="20"/>
                <w:color w:val="auto"/>
              </w:rPr>
            </w:pPr>
            <w:r>
              <w:rPr>
                <w:rFonts w:ascii="Arial" w:cs="Arial" w:eastAsia="Arial" w:hAnsi="Arial"/>
                <w:sz w:val="12"/>
                <w:szCs w:val="12"/>
                <w:b w:val="1"/>
                <w:bCs w:val="1"/>
                <w:color w:val="auto"/>
              </w:rPr>
              <w:t>Pacífico</w:t>
            </w:r>
          </w:p>
        </w:tc>
        <w:tc>
          <w:tcPr>
            <w:tcW w:w="18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Financial inclusion through</w:t>
            </w:r>
          </w:p>
        </w:tc>
        <w:tc>
          <w:tcPr>
            <w:tcW w:w="240" w:type="dxa"/>
            <w:vAlign w:val="bottom"/>
          </w:tcPr>
          <w:p>
            <w:pPr>
              <w:ind w:left="80"/>
              <w:spacing w:after="0" w:line="120" w:lineRule="exact"/>
              <w:rPr>
                <w:sz w:val="20"/>
                <w:szCs w:val="20"/>
                <w:color w:val="auto"/>
              </w:rPr>
            </w:pPr>
            <w:r>
              <w:rPr>
                <w:rFonts w:ascii="Arial" w:cs="Arial" w:eastAsia="Arial" w:hAnsi="Arial"/>
                <w:sz w:val="12"/>
                <w:szCs w:val="12"/>
                <w:color w:val="auto"/>
              </w:rPr>
              <w:t>●</w:t>
            </w:r>
          </w:p>
        </w:tc>
        <w:tc>
          <w:tcPr>
            <w:tcW w:w="260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+2.6 million inclusive insurance policies in</w:t>
            </w:r>
          </w:p>
        </w:tc>
      </w:tr>
      <w:tr>
        <w:trPr>
          <w:trHeight w:val="152"/>
        </w:trPr>
        <w:tc>
          <w:tcPr>
            <w:tcW w:w="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auto"/>
              </w:rPr>
              <w:t>Seguros</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personal insurance/MYPES</w:t>
            </w:r>
          </w:p>
        </w:tc>
        <w:tc>
          <w:tcPr>
            <w:tcW w:w="240" w:type="dxa"/>
            <w:vAlign w:val="bottom"/>
          </w:tcPr>
          <w:p>
            <w:pPr>
              <w:spacing w:after="0"/>
              <w:rPr>
                <w:sz w:val="13"/>
                <w:szCs w:val="13"/>
                <w:color w:val="auto"/>
              </w:rPr>
            </w:pP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stock (BCP and Mibanco).</w:t>
            </w:r>
          </w:p>
        </w:tc>
      </w:tr>
      <w:tr>
        <w:trPr>
          <w:trHeight w:val="138"/>
        </w:trPr>
        <w:tc>
          <w:tcPr>
            <w:tcW w:w="76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through mass channels</w:t>
            </w: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2 million clients with inclusive insurance</w:t>
            </w:r>
          </w:p>
        </w:tc>
      </w:tr>
      <w:tr>
        <w:trPr>
          <w:trHeight w:val="138"/>
        </w:trPr>
        <w:tc>
          <w:tcPr>
            <w:tcW w:w="76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9 products</w:t>
            </w:r>
          </w:p>
        </w:tc>
      </w:tr>
      <w:tr>
        <w:trPr>
          <w:trHeight w:val="138"/>
        </w:trPr>
        <w:tc>
          <w:tcPr>
            <w:tcW w:w="76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   + 44,000 cases accompanied for a total of</w:t>
            </w:r>
          </w:p>
        </w:tc>
      </w:tr>
      <w:tr>
        <w:trPr>
          <w:trHeight w:val="134"/>
        </w:trPr>
        <w:tc>
          <w:tcPr>
            <w:tcW w:w="76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S/110 million in claims (2020-2022).</w:t>
            </w:r>
          </w:p>
        </w:tc>
      </w:tr>
      <w:tr>
        <w:trPr>
          <w:trHeight w:val="120"/>
        </w:trPr>
        <w:tc>
          <w:tcPr>
            <w:tcW w:w="760" w:type="dxa"/>
            <w:vAlign w:val="bottom"/>
            <w:tcBorders>
              <w:left w:val="single" w:sz="8" w:color="auto"/>
              <w:right w:val="single" w:sz="8" w:color="auto"/>
            </w:tcBorders>
          </w:tcPr>
          <w:p>
            <w:pPr>
              <w:ind w:left="100"/>
              <w:spacing w:after="0" w:line="120" w:lineRule="exact"/>
              <w:rPr>
                <w:sz w:val="20"/>
                <w:szCs w:val="20"/>
                <w:color w:val="auto"/>
              </w:rPr>
            </w:pPr>
            <w:r>
              <w:rPr>
                <w:rFonts w:ascii="Arial" w:cs="Arial" w:eastAsia="Arial" w:hAnsi="Arial"/>
                <w:sz w:val="12"/>
                <w:szCs w:val="12"/>
                <w:b w:val="1"/>
                <w:bCs w:val="1"/>
                <w:color w:val="auto"/>
              </w:rPr>
              <w:t>Prima</w:t>
            </w:r>
          </w:p>
        </w:tc>
        <w:tc>
          <w:tcPr>
            <w:tcW w:w="18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Financial inclusion through</w:t>
            </w:r>
          </w:p>
        </w:tc>
        <w:tc>
          <w:tcPr>
            <w:tcW w:w="240" w:type="dxa"/>
            <w:vAlign w:val="bottom"/>
          </w:tcPr>
          <w:p>
            <w:pPr>
              <w:ind w:left="80"/>
              <w:spacing w:after="0" w:line="120" w:lineRule="exact"/>
              <w:rPr>
                <w:sz w:val="20"/>
                <w:szCs w:val="20"/>
                <w:color w:val="auto"/>
              </w:rPr>
            </w:pPr>
            <w:r>
              <w:rPr>
                <w:rFonts w:ascii="Arial" w:cs="Arial" w:eastAsia="Arial" w:hAnsi="Arial"/>
                <w:sz w:val="12"/>
                <w:szCs w:val="12"/>
                <w:color w:val="auto"/>
              </w:rPr>
              <w:t>●</w:t>
            </w:r>
          </w:p>
        </w:tc>
        <w:tc>
          <w:tcPr>
            <w:tcW w:w="260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16,986 voluntary pension savings accounts</w:t>
            </w:r>
          </w:p>
        </w:tc>
      </w:tr>
      <w:tr>
        <w:trPr>
          <w:trHeight w:val="148"/>
        </w:trPr>
        <w:tc>
          <w:tcPr>
            <w:tcW w:w="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auto"/>
              </w:rPr>
              <w:t>AFP</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savings for the future</w:t>
            </w:r>
          </w:p>
        </w:tc>
        <w:tc>
          <w:tcPr>
            <w:tcW w:w="240" w:type="dxa"/>
            <w:vAlign w:val="bottom"/>
            <w:tcBorders>
              <w:bottom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opened</w:t>
            </w:r>
          </w:p>
        </w:tc>
      </w:tr>
    </w:tbl>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color w:val="auto"/>
        </w:rPr>
        <w:t>To learn about other metrics of Financial Inclusion, see the Financial Inclusion Section of the Annex.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11" w:right="3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color w:val="E93CAC"/>
        </w:rPr>
        <w:t>BCP – Financial Inclusion and Education through YAPE</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5"/>
          <w:szCs w:val="15"/>
          <w:color w:val="auto"/>
        </w:rPr>
        <w:t>Yape is our mobile wallet. It allows users to make payments quickly and intuitively with a mobile phone number or QR code. Growth in the use of this apps reflects a rigorous user experience design that prizes consistency and simplicity, which increases usability. Currently, Yape processes 162 million transactions a month on average. Yape Top Offs for mobile phone registered 60 million transactions for + S/350 million from July to December 2022.” “Yape Promos,” in turn, provides exclusive discounts to its clients to purchase products and services at a variety of commercial establishments.</w:t>
      </w:r>
    </w:p>
    <w:p>
      <w:pPr>
        <w:spacing w:after="0" w:line="4"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2023, this program expects to reach 1 million discounts acquired. The objective is to financially include more Peruvians; increase Yape’s usefulness in the day-to-day; and ensure that the app, and by extension the financial system, is used recurrently.</w:t>
      </w:r>
    </w:p>
    <w:p>
      <w:pPr>
        <w:spacing w:after="0" w:line="135" w:lineRule="exact"/>
        <w:rPr>
          <w:sz w:val="20"/>
          <w:szCs w:val="20"/>
          <w:color w:val="auto"/>
        </w:rPr>
      </w:pPr>
    </w:p>
    <w:p>
      <w:pPr>
        <w:jc w:val="center"/>
        <w:spacing w:after="0" w:line="260" w:lineRule="auto"/>
        <w:rPr>
          <w:sz w:val="20"/>
          <w:szCs w:val="20"/>
          <w:color w:val="auto"/>
        </w:rPr>
      </w:pPr>
      <w:r>
        <w:rPr>
          <w:rFonts w:ascii="Arial" w:cs="Arial" w:eastAsia="Arial" w:hAnsi="Arial"/>
          <w:sz w:val="17"/>
          <w:szCs w:val="17"/>
          <w:b w:val="1"/>
          <w:bCs w:val="1"/>
          <w:i w:val="1"/>
          <w:iCs w:val="1"/>
          <w:color w:val="3B72E1"/>
        </w:rPr>
        <w:t>YAPE FINANCIALLY INCLUDED 1,039,664 PEOPLE IN 2022 AND MORE THAN 2.6 MILLION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89535</wp:posOffset>
            </wp:positionV>
            <wp:extent cx="2927985" cy="1932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27985" cy="1932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To deepen responsible financial inclusion, Yape has implemented initiatives that reached 50 thousand people in the following way:</w:t>
      </w:r>
    </w:p>
    <w:p>
      <w:pPr>
        <w:spacing w:after="0" w:line="148" w:lineRule="exact"/>
        <w:rPr>
          <w:sz w:val="20"/>
          <w:szCs w:val="20"/>
          <w:color w:val="auto"/>
        </w:rPr>
      </w:pPr>
    </w:p>
    <w:p>
      <w:pPr>
        <w:jc w:val="both"/>
        <w:ind w:left="420" w:right="20" w:hanging="203"/>
        <w:spacing w:after="0"/>
        <w:tabs>
          <w:tab w:leader="none" w:pos="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Audiovisual content that we disseminate through own channels such as ABC del BCP or asynchronous courses on how to use mobile wallets or access a Yape loan.</w:t>
      </w:r>
    </w:p>
    <w:p>
      <w:pPr>
        <w:spacing w:after="0" w:line="1" w:lineRule="exact"/>
        <w:rPr>
          <w:rFonts w:ascii="Arial" w:cs="Arial" w:eastAsia="Arial" w:hAnsi="Arial"/>
          <w:sz w:val="15"/>
          <w:szCs w:val="15"/>
          <w:color w:val="auto"/>
        </w:rPr>
      </w:pPr>
    </w:p>
    <w:p>
      <w:pPr>
        <w:jc w:val="both"/>
        <w:ind w:left="420" w:right="20" w:hanging="203"/>
        <w:spacing w:after="0" w:line="249" w:lineRule="auto"/>
        <w:tabs>
          <w:tab w:leader="none" w:pos="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Partnerships to provide financial education workshops with directors of grassroots organizations (community food ketches and community food pots) and even university students.</w:t>
      </w:r>
    </w:p>
    <w:p>
      <w:pPr>
        <w:spacing w:after="0" w:line="13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3B72E1"/>
        </w:rPr>
        <w:t>TRUST IN THE SYSTEM AND OF FINANCIAL ENTITIES IS FUNDAMENTAL TO ENSURING THAT INCLUSIVE INITIATIVES ARE SUCCESSFUL. WE PRIORITIZE AND IDENTIFY WAYS TO IMPROVE THESE INDICATORS AT THE PRODUCT CONCEPTION AND FINANCIAL EDUCATION LEVELS</w:t>
      </w:r>
      <w:r>
        <w:rPr>
          <w:rFonts w:ascii="Arial" w:cs="Arial" w:eastAsia="Arial" w:hAnsi="Arial"/>
          <w:sz w:val="17"/>
          <w:szCs w:val="17"/>
          <w:color w:val="000000"/>
        </w:rPr>
        <w:t>.</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5"/>
          <w:szCs w:val="15"/>
          <w:color w:val="auto"/>
        </w:rPr>
        <w:t>Additionally, to deepen financial inclusion, in 2022 we launched a microloan pilot through Yape. The objective is to offer automatic disbursements to clients for loans between S/ 150 and S/ 200. To date, we have placed close to 130 thousand microloans.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100330</wp:posOffset>
            </wp:positionV>
            <wp:extent cx="2196465" cy="21158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96465" cy="211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20" w:right="31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b w:val="1"/>
          <w:bCs w:val="1"/>
          <w:color w:val="E93CAC"/>
        </w:rPr>
        <w:t>Pacífico Seguros – Inclusive Insurance</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accordance with its sustainability strategy, Pacifico Seguros has assumed a commitment to drive insurance inclusion in the country by providing access to accessible and adequate insurance products for unserved populations through channels at BCP and Mibanco. The objective is to reach the largest number of vulnerable Peruvians possible to provide insurance that protects them f severe financial impacts due to unexpected events (such as death, illness, workplace accidents and unemployment). These products are designed to be: simple as well as easy to understand and activate; easy to distribute; accessible in terms of price; and offer quick compensation for claims.</w:t>
      </w:r>
    </w:p>
    <w:p>
      <w:pPr>
        <w:spacing w:after="0" w:line="158"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auto"/>
        </w:rPr>
        <w:t>Achievement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-104140</wp:posOffset>
            </wp:positionV>
            <wp:extent cx="2745105" cy="1932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45105" cy="1932940"/>
                    </a:xfrm>
                    <a:prstGeom prst="rect">
                      <a:avLst/>
                    </a:prstGeom>
                    <a:noFill/>
                  </pic:spPr>
                </pic:pic>
              </a:graphicData>
            </a:graphic>
          </wp:anchor>
        </w:drawing>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Through BCP:</w:t>
      </w:r>
    </w:p>
    <w:p>
      <w:pPr>
        <w:spacing w:after="0" w:line="12" w:lineRule="exact"/>
        <w:rPr>
          <w:sz w:val="20"/>
          <w:szCs w:val="20"/>
          <w:color w:val="auto"/>
        </w:rPr>
      </w:pPr>
    </w:p>
    <w:p>
      <w:pPr>
        <w:ind w:left="1080" w:hanging="258"/>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Launch of insurance sales through Yape</w:t>
      </w:r>
    </w:p>
    <w:p>
      <w:pPr>
        <w:spacing w:after="0" w:line="11" w:lineRule="exact"/>
        <w:rPr>
          <w:rFonts w:ascii="Arial" w:cs="Arial" w:eastAsia="Arial" w:hAnsi="Arial"/>
          <w:sz w:val="15"/>
          <w:szCs w:val="15"/>
          <w:color w:val="auto"/>
        </w:rPr>
      </w:pPr>
    </w:p>
    <w:p>
      <w:pPr>
        <w:jc w:val="both"/>
        <w:ind w:left="1100" w:right="640" w:hanging="278"/>
        <w:spacing w:after="0" w:line="244" w:lineRule="auto"/>
        <w:tabs>
          <w:tab w:leader="none" w:pos="1106" w:val="left"/>
        </w:tabs>
        <w:numPr>
          <w:ilvl w:val="0"/>
          <w:numId w:val="49"/>
        </w:numPr>
        <w:rPr>
          <w:rFonts w:ascii="Arial" w:cs="Arial" w:eastAsia="Arial" w:hAnsi="Arial"/>
          <w:sz w:val="15"/>
          <w:szCs w:val="15"/>
          <w:color w:val="auto"/>
        </w:rPr>
      </w:pPr>
      <w:r>
        <w:rPr>
          <w:rFonts w:ascii="Arial" w:cs="Arial" w:eastAsia="Arial" w:hAnsi="Arial"/>
          <w:sz w:val="15"/>
          <w:szCs w:val="15"/>
          <w:color w:val="auto"/>
        </w:rPr>
        <w:t>Launch of insurance sales through Agentes BCP with a new product “Efectivo Protegido,” which protects clients that are robbed or assaulted while withdrawing cash.</w:t>
      </w:r>
    </w:p>
    <w:p>
      <w:pPr>
        <w:spacing w:after="0" w:line="1" w:lineRule="exact"/>
        <w:rPr>
          <w:rFonts w:ascii="Arial" w:cs="Arial" w:eastAsia="Arial" w:hAnsi="Arial"/>
          <w:sz w:val="15"/>
          <w:szCs w:val="15"/>
          <w:color w:val="auto"/>
        </w:rPr>
      </w:pPr>
    </w:p>
    <w:p>
      <w:pPr>
        <w:ind w:left="1100" w:right="640" w:hanging="278"/>
        <w:spacing w:after="0" w:line="248" w:lineRule="auto"/>
        <w:tabs>
          <w:tab w:leader="none" w:pos="1231" w:val="left"/>
        </w:tabs>
        <w:numPr>
          <w:ilvl w:val="0"/>
          <w:numId w:val="49"/>
        </w:numPr>
        <w:rPr>
          <w:rFonts w:ascii="Arial" w:cs="Arial" w:eastAsia="Arial" w:hAnsi="Arial"/>
          <w:sz w:val="15"/>
          <w:szCs w:val="15"/>
          <w:color w:val="auto"/>
        </w:rPr>
      </w:pPr>
      <w:r>
        <w:rPr>
          <w:rFonts w:ascii="Arial" w:cs="Arial" w:eastAsia="Arial" w:hAnsi="Arial"/>
          <w:sz w:val="15"/>
          <w:szCs w:val="15"/>
          <w:color w:val="auto"/>
        </w:rPr>
        <w:t>Launch of embedded sales of inclusive insurance through Mobile Banking</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Through Mibanco:</w:t>
      </w:r>
    </w:p>
    <w:p>
      <w:pPr>
        <w:spacing w:after="0" w:line="12" w:lineRule="exact"/>
        <w:rPr>
          <w:sz w:val="20"/>
          <w:szCs w:val="20"/>
          <w:color w:val="auto"/>
        </w:rPr>
      </w:pPr>
    </w:p>
    <w:p>
      <w:pPr>
        <w:ind w:left="1100" w:right="640" w:hanging="278"/>
        <w:spacing w:after="0" w:line="186" w:lineRule="auto"/>
        <w:tabs>
          <w:tab w:leader="none" w:pos="1254"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Increase in the effectiveness of insurance clients stands at 74%</w:t>
      </w:r>
      <w:r>
        <w:rPr>
          <w:rFonts w:ascii="Arial" w:cs="Arial" w:eastAsia="Arial" w:hAnsi="Arial"/>
          <w:sz w:val="25"/>
          <w:szCs w:val="25"/>
          <w:color w:val="auto"/>
          <w:vertAlign w:val="superscript"/>
        </w:rPr>
        <w:t>25</w:t>
      </w:r>
      <w:r>
        <w:rPr>
          <w:rFonts w:ascii="Arial" w:cs="Arial" w:eastAsia="Arial" w:hAnsi="Arial"/>
          <w:sz w:val="15"/>
          <w:szCs w:val="15"/>
          <w:color w:val="auto"/>
        </w:rPr>
        <w:t xml:space="preserve"> at the national level</w:t>
      </w:r>
    </w:p>
    <w:p>
      <w:pPr>
        <w:jc w:val="both"/>
        <w:ind w:left="1100" w:right="640" w:hanging="278"/>
        <w:spacing w:after="0" w:line="245" w:lineRule="auto"/>
        <w:tabs>
          <w:tab w:leader="none" w:pos="1341" w:val="left"/>
        </w:tabs>
        <w:numPr>
          <w:ilvl w:val="0"/>
          <w:numId w:val="50"/>
        </w:numPr>
        <w:rPr>
          <w:rFonts w:ascii="Arial" w:cs="Arial" w:eastAsia="Arial" w:hAnsi="Arial"/>
          <w:sz w:val="15"/>
          <w:szCs w:val="15"/>
          <w:color w:val="auto"/>
        </w:rPr>
      </w:pPr>
      <w:r>
        <w:rPr>
          <w:rFonts w:ascii="Arial" w:cs="Arial" w:eastAsia="Arial" w:hAnsi="Arial"/>
          <w:sz w:val="15"/>
          <w:szCs w:val="15"/>
          <w:color w:val="auto"/>
        </w:rPr>
        <w:t>Launch of a new insurance product "Tu Plata Segura”. This policy covers theft/assault/larceny relative to withdrawals at tellers at any of the bank’s agencies. This policy covers incidents that occur up to 2 hours post-withdrawal.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370840</wp:posOffset>
            </wp:positionV>
            <wp:extent cx="142748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E93CAC"/>
        </w:rPr>
        <w:t>Mibanco – Crediagua</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Crediagua seeks to create awareness and sensitize vulnerable populations about the sanitary improvements that are necessary to ensure their families’ wellbeing and development. According to information from Water.org, 2 million people lack access to drinking water (this represents 6.25% of the total population in Peru) and 4 million people lack access to sewage and/or sanitation (12.5% of the total population of Peru). Crediagua serves as a powerful vehicle for Credicorp to act as an agent of change as a provider of essential services; contributes to creating awareness of good sanitary practices; and provides our clients with a venue for financial inclusion.</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worked with Water.org from 2015 to the end of 2020 through the “National Water and Sanitation Program”. This program consisted of fieldwork and workshops led by the NGO’s monitors.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year 2021 marked the end of our partnership with Water.org. Mibanco successfully graduated from the program and offered employment to the program’s monitors to ensure continuity and retain know how.</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2022, we resumed some activities that we had paused during the pandemic. One of these efforts was Huella Hídrica,” which offers workshops to community associations and shanty towns to create awareness of the benefits that can be wrought by improvements to household sanitation systems. Our team of Monitors of Inclusive Products, together with our Relationship Managers, led this activity by offering workshops; promoting the Crediagua product; and capturing prospective clients that required financing to make sanitary improvements. During the second half of the year, we have seen an uptick in loan disbursements, which totaled 10 thousand a month in 2022. In 2023, we expect to resume pre-pandemic levels for loan disbursements (14 thousand operations on average) by strengthening communications initiatives and awareness among our sales force and clients.</w:t>
      </w:r>
    </w:p>
    <w:p>
      <w:pPr>
        <w:spacing w:after="0" w:line="200" w:lineRule="exact"/>
        <w:rPr>
          <w:sz w:val="20"/>
          <w:szCs w:val="20"/>
          <w:color w:val="auto"/>
        </w:rPr>
      </w:pPr>
    </w:p>
    <w:p>
      <w:pPr>
        <w:sectPr>
          <w:pgSz w:w="11900" w:h="16838" w:orient="portrait"/>
          <w:cols w:equalWidth="0" w:num="2">
            <w:col w:w="5400" w:space="440"/>
            <w:col w:w="5420"/>
          </w:cols>
          <w:pgMar w:left="320" w:top="120" w:right="31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25"/>
          <w:szCs w:val="25"/>
          <w:color w:val="auto"/>
          <w:vertAlign w:val="superscript"/>
        </w:rPr>
        <w:t>25</w:t>
      </w:r>
      <w:r>
        <w:rPr>
          <w:rFonts w:ascii="Arial" w:cs="Arial" w:eastAsia="Arial" w:hAnsi="Arial"/>
          <w:sz w:val="15"/>
          <w:szCs w:val="15"/>
          <w:color w:val="auto"/>
        </w:rPr>
        <w:t>7.4 of every 10 Mibanco clients have accepted the optional insurance policies attached to their loan</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type w:val="continuous"/>
        </w:sectPr>
      </w:pPr>
    </w:p>
    <w:bookmarkStart w:id="102" w:name="page103"/>
    <w:bookmarkEnd w:id="102"/>
    <w:p>
      <w:pPr>
        <w:ind w:left="8" w:right="440" w:hanging="7"/>
        <w:spacing w:after="0" w:line="256" w:lineRule="auto"/>
        <w:rPr>
          <w:sz w:val="20"/>
          <w:szCs w:val="20"/>
          <w:color w:val="auto"/>
        </w:rPr>
      </w:pPr>
      <w:r>
        <w:rPr>
          <w:rFonts w:ascii="Arial" w:cs="Arial" w:eastAsia="Arial" w:hAnsi="Arial"/>
          <w:sz w:val="25"/>
          <w:szCs w:val="25"/>
          <w:b w:val="1"/>
          <w:bCs w:val="1"/>
          <w:color w:val="auto"/>
        </w:rPr>
        <w:t>Closing the Gender Gap with our Products and Opportunities for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342582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ind w:left="8"/>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Diversity Inclusion and Equality of Opportunities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GRI </w:t>
      </w:r>
      <w:r>
        <w:rPr>
          <w:rFonts w:ascii="Arial" w:cs="Arial" w:eastAsia="Arial" w:hAnsi="Arial"/>
          <w:sz w:val="15"/>
          <w:szCs w:val="15"/>
          <w:i w:val="1"/>
          <w:iCs w:val="1"/>
          <w:color w:val="auto"/>
        </w:rPr>
        <w:t>3-3</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i w:val="1"/>
          <w:iCs w:val="1"/>
          <w:color w:val="auto"/>
        </w:rPr>
        <w:t>3</w:t>
      </w:r>
    </w:p>
    <w:p>
      <w:pPr>
        <w:spacing w:after="0" w:line="173"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We are committed to promoting spaces and initiatives that empower people by generating conditions for their complete inclusion in society and the economy. At Credicorp, we are aware that the gender gap in the region is significant and drive efforts to explore and develop business opportunities with women in mind through the platform “Opportunities and Products for Women”. Four companies in the group: Mibanco, BCP Bolivia, Credicorp Capital and BCP Peru (through Yape), are actively analyzing data on our products to identify gaps or gender differences in client behavior or use of products. This provides valuable information to improve product design and user experiences.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5"/>
          <w:szCs w:val="15"/>
          <w:color w:val="auto"/>
        </w:rPr>
        <w:t>Some indicators of financial inclusion of women are:</w:t>
      </w:r>
    </w:p>
    <w:p>
      <w:pPr>
        <w:spacing w:after="0" w:line="154" w:lineRule="exact"/>
        <w:rPr>
          <w:sz w:val="20"/>
          <w:szCs w:val="20"/>
          <w:color w:val="auto"/>
        </w:rPr>
      </w:pPr>
    </w:p>
    <w:tbl>
      <w:tblPr>
        <w:tblLayout w:type="fixed"/>
        <w:tblInd w:w="178" w:type="dxa"/>
        <w:tblCellMar>
          <w:top w:w="0" w:type="dxa"/>
          <w:left w:w="0" w:type="dxa"/>
          <w:bottom w:w="0" w:type="dxa"/>
          <w:right w:w="0" w:type="dxa"/>
        </w:tblCellMar>
      </w:tblPr>
      <w:tr>
        <w:trPr>
          <w:trHeight w:val="188"/>
        </w:trPr>
        <w:tc>
          <w:tcPr>
            <w:tcW w:w="3060" w:type="dxa"/>
            <w:vAlign w:val="bottom"/>
            <w:tcBorders>
              <w:top w:val="single" w:sz="8" w:color="auto"/>
              <w:left w:val="single" w:sz="8" w:color="auto"/>
              <w:bottom w:val="single" w:sz="8" w:color="8EAADB"/>
              <w:right w:val="single" w:sz="8" w:color="auto"/>
            </w:tcBorders>
          </w:tcPr>
          <w:p>
            <w:pPr>
              <w:ind w:left="80"/>
              <w:spacing w:after="0"/>
              <w:rPr>
                <w:sz w:val="20"/>
                <w:szCs w:val="20"/>
                <w:color w:val="auto"/>
              </w:rPr>
            </w:pPr>
            <w:r>
              <w:rPr>
                <w:rFonts w:ascii="Arial" w:cs="Arial" w:eastAsia="Arial" w:hAnsi="Arial"/>
                <w:sz w:val="15"/>
                <w:szCs w:val="15"/>
                <w:b w:val="1"/>
                <w:bCs w:val="1"/>
                <w:color w:val="auto"/>
              </w:rPr>
              <w:t>Indicators</w:t>
            </w:r>
          </w:p>
        </w:tc>
        <w:tc>
          <w:tcPr>
            <w:tcW w:w="1160" w:type="dxa"/>
            <w:vAlign w:val="bottom"/>
            <w:tcBorders>
              <w:top w:val="single" w:sz="8" w:color="auto"/>
              <w:bottom w:val="single" w:sz="8" w:color="8EAADB"/>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1020" w:type="dxa"/>
            <w:vAlign w:val="bottom"/>
            <w:tcBorders>
              <w:top w:val="single" w:sz="8" w:color="auto"/>
              <w:bottom w:val="single" w:sz="8" w:color="8EAADB"/>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54"/>
        </w:trPr>
        <w:tc>
          <w:tcPr>
            <w:tcW w:w="3060" w:type="dxa"/>
            <w:vAlign w:val="bottom"/>
            <w:tcBorders>
              <w:left w:val="single" w:sz="8" w:color="auto"/>
              <w:right w:val="single" w:sz="8" w:color="auto"/>
            </w:tcBorders>
          </w:tcPr>
          <w:p>
            <w:pPr>
              <w:ind w:left="80"/>
              <w:spacing w:after="0" w:line="154" w:lineRule="exact"/>
              <w:rPr>
                <w:sz w:val="20"/>
                <w:szCs w:val="20"/>
                <w:color w:val="auto"/>
              </w:rPr>
            </w:pPr>
            <w:r>
              <w:rPr>
                <w:rFonts w:ascii="Arial" w:cs="Arial" w:eastAsia="Arial" w:hAnsi="Arial"/>
                <w:sz w:val="15"/>
                <w:szCs w:val="15"/>
                <w:b w:val="1"/>
                <w:bCs w:val="1"/>
                <w:color w:val="auto"/>
              </w:rPr>
              <w:t>% Users financially included through</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48%</w:t>
            </w:r>
          </w:p>
        </w:tc>
        <w:tc>
          <w:tcPr>
            <w:tcW w:w="10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9"/>
              </w:rPr>
              <w:t>49%</w:t>
            </w:r>
          </w:p>
        </w:tc>
        <w:tc>
          <w:tcPr>
            <w:tcW w:w="0" w:type="dxa"/>
            <w:vAlign w:val="bottom"/>
          </w:tcPr>
          <w:p>
            <w:pPr>
              <w:spacing w:after="0"/>
              <w:rPr>
                <w:sz w:val="1"/>
                <w:szCs w:val="1"/>
                <w:color w:val="auto"/>
              </w:rPr>
            </w:pPr>
          </w:p>
        </w:tc>
      </w:tr>
      <w:tr>
        <w:trPr>
          <w:trHeight w:val="111"/>
        </w:trPr>
        <w:tc>
          <w:tcPr>
            <w:tcW w:w="3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Yape that are women</w:t>
            </w:r>
          </w:p>
        </w:tc>
        <w:tc>
          <w:tcPr>
            <w:tcW w:w="11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06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 Female users of Soli in BCP Bolivia</w:t>
            </w:r>
          </w:p>
        </w:tc>
        <w:tc>
          <w:tcPr>
            <w:tcW w:w="11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48% of total</w:t>
            </w:r>
          </w:p>
        </w:tc>
        <w:tc>
          <w:tcPr>
            <w:tcW w:w="10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51%</w:t>
            </w:r>
          </w:p>
        </w:tc>
        <w:tc>
          <w:tcPr>
            <w:tcW w:w="0" w:type="dxa"/>
            <w:vAlign w:val="bottom"/>
          </w:tcPr>
          <w:p>
            <w:pPr>
              <w:spacing w:after="0"/>
              <w:rPr>
                <w:sz w:val="1"/>
                <w:szCs w:val="1"/>
                <w:color w:val="auto"/>
              </w:rPr>
            </w:pPr>
          </w:p>
        </w:tc>
      </w:tr>
      <w:tr>
        <w:trPr>
          <w:trHeight w:val="164"/>
        </w:trPr>
        <w:tc>
          <w:tcPr>
            <w:tcW w:w="306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Female clients in Mibanco’s portfolio</w:t>
            </w:r>
          </w:p>
        </w:tc>
        <w:tc>
          <w:tcPr>
            <w:tcW w:w="11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48.98% of</w:t>
            </w:r>
          </w:p>
        </w:tc>
        <w:tc>
          <w:tcPr>
            <w:tcW w:w="1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50.62%</w:t>
            </w:r>
          </w:p>
        </w:tc>
        <w:tc>
          <w:tcPr>
            <w:tcW w:w="0" w:type="dxa"/>
            <w:vAlign w:val="bottom"/>
          </w:tcPr>
          <w:p>
            <w:pPr>
              <w:spacing w:after="0"/>
              <w:rPr>
                <w:sz w:val="1"/>
                <w:szCs w:val="1"/>
                <w:color w:val="auto"/>
              </w:rPr>
            </w:pPr>
          </w:p>
        </w:tc>
      </w:tr>
      <w:tr>
        <w:trPr>
          <w:trHeight w:val="174"/>
        </w:trPr>
        <w:tc>
          <w:tcPr>
            <w:tcW w:w="3060" w:type="dxa"/>
            <w:vAlign w:val="bottom"/>
            <w:tcBorders>
              <w:left w:val="single" w:sz="8" w:color="auto"/>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total</w:t>
            </w: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06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Soles disbursed by Crédito Mujer</w:t>
            </w:r>
          </w:p>
        </w:tc>
        <w:tc>
          <w:tcPr>
            <w:tcW w:w="1160" w:type="dxa"/>
            <w:vAlign w:val="bottom"/>
            <w:tcBorders>
              <w:right w:val="single" w:sz="8" w:color="auto"/>
            </w:tcBorders>
          </w:tcPr>
          <w:p>
            <w:pPr>
              <w:jc w:val="center"/>
              <w:ind w:right="6"/>
              <w:spacing w:after="0" w:line="146" w:lineRule="exact"/>
              <w:rPr>
                <w:sz w:val="20"/>
                <w:szCs w:val="20"/>
                <w:color w:val="auto"/>
              </w:rPr>
            </w:pPr>
            <w:r>
              <w:rPr>
                <w:rFonts w:ascii="Arial" w:cs="Arial" w:eastAsia="Arial" w:hAnsi="Arial"/>
                <w:sz w:val="11"/>
                <w:szCs w:val="11"/>
                <w:color w:val="auto"/>
              </w:rPr>
              <w:t>40.9 million</w:t>
            </w:r>
            <w:r>
              <w:rPr>
                <w:rFonts w:ascii="Arial" w:cs="Arial" w:eastAsia="Arial" w:hAnsi="Arial"/>
                <w:sz w:val="16"/>
                <w:szCs w:val="16"/>
                <w:color w:val="auto"/>
                <w:vertAlign w:val="superscript"/>
              </w:rPr>
              <w:t>26</w:t>
            </w:r>
          </w:p>
        </w:tc>
        <w:tc>
          <w:tcPr>
            <w:tcW w:w="102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5"/>
                <w:szCs w:val="15"/>
                <w:color w:val="auto"/>
              </w:rPr>
              <w:t>62.8 million</w:t>
            </w:r>
          </w:p>
        </w:tc>
        <w:tc>
          <w:tcPr>
            <w:tcW w:w="0" w:type="dxa"/>
            <w:vAlign w:val="bottom"/>
          </w:tcPr>
          <w:p>
            <w:pPr>
              <w:spacing w:after="0"/>
              <w:rPr>
                <w:sz w:val="1"/>
                <w:szCs w:val="1"/>
                <w:color w:val="auto"/>
              </w:rPr>
            </w:pPr>
          </w:p>
        </w:tc>
      </w:tr>
      <w:tr>
        <w:trPr>
          <w:trHeight w:val="192"/>
        </w:trPr>
        <w:tc>
          <w:tcPr>
            <w:tcW w:w="3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Mibanco (S/)</w:t>
            </w:r>
          </w:p>
        </w:tc>
        <w:tc>
          <w:tcPr>
            <w:tcW w:w="11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6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Number of women banked by Crédito</w:t>
            </w:r>
          </w:p>
        </w:tc>
        <w:tc>
          <w:tcPr>
            <w:tcW w:w="11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rPr>
              <w:t>4,174</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rPr>
              <w:t>9,273</w:t>
            </w:r>
          </w:p>
        </w:tc>
        <w:tc>
          <w:tcPr>
            <w:tcW w:w="0" w:type="dxa"/>
            <w:vAlign w:val="bottom"/>
          </w:tcPr>
          <w:p>
            <w:pPr>
              <w:spacing w:after="0"/>
              <w:rPr>
                <w:sz w:val="1"/>
                <w:szCs w:val="1"/>
                <w:color w:val="auto"/>
              </w:rPr>
            </w:pPr>
          </w:p>
        </w:tc>
      </w:tr>
      <w:tr>
        <w:trPr>
          <w:trHeight w:val="192"/>
        </w:trPr>
        <w:tc>
          <w:tcPr>
            <w:tcW w:w="3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Mujer</w:t>
            </w:r>
          </w:p>
        </w:tc>
        <w:tc>
          <w:tcPr>
            <w:tcW w:w="11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6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Total of women that access a loan</w:t>
            </w:r>
          </w:p>
        </w:tc>
        <w:tc>
          <w:tcPr>
            <w:tcW w:w="11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rPr>
              <w:t>19,977</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rPr>
              <w:t>31,366</w:t>
            </w:r>
          </w:p>
        </w:tc>
        <w:tc>
          <w:tcPr>
            <w:tcW w:w="0" w:type="dxa"/>
            <w:vAlign w:val="bottom"/>
          </w:tcPr>
          <w:p>
            <w:pPr>
              <w:spacing w:after="0"/>
              <w:rPr>
                <w:sz w:val="1"/>
                <w:szCs w:val="1"/>
                <w:color w:val="auto"/>
              </w:rPr>
            </w:pPr>
          </w:p>
        </w:tc>
      </w:tr>
      <w:tr>
        <w:trPr>
          <w:trHeight w:val="192"/>
        </w:trPr>
        <w:tc>
          <w:tcPr>
            <w:tcW w:w="3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through Crédito Mujer</w:t>
            </w:r>
          </w:p>
        </w:tc>
        <w:tc>
          <w:tcPr>
            <w:tcW w:w="11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556260</wp:posOffset>
            </wp:positionV>
            <wp:extent cx="142748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8" w:hanging="188"/>
        <w:spacing w:after="0"/>
        <w:tabs>
          <w:tab w:leader="none" w:pos="188" w:val="left"/>
        </w:tabs>
        <w:numPr>
          <w:ilvl w:val="0"/>
          <w:numId w:val="51"/>
        </w:numPr>
        <w:rPr>
          <w:rFonts w:ascii="Arial" w:cs="Arial" w:eastAsia="Arial" w:hAnsi="Arial"/>
          <w:sz w:val="25"/>
          <w:szCs w:val="25"/>
          <w:color w:val="auto"/>
          <w:vertAlign w:val="superscript"/>
        </w:rPr>
      </w:pPr>
      <w:r>
        <w:rPr>
          <w:rFonts w:ascii="Arial" w:cs="Arial" w:eastAsia="Arial" w:hAnsi="Arial"/>
          <w:sz w:val="15"/>
          <w:szCs w:val="15"/>
          <w:color w:val="auto"/>
        </w:rPr>
        <w:t>Data corrected based on the 2021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7152640" cy="14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E93CAC"/>
        </w:rPr>
        <w:t>Mibanco Perú- Crédito Mujer</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Crédito Mujer was created in response to the fact that women in the C and D socio-economic sectors have limited access to financial services. In 2022, in addition to analyzing our portfolio to identify gender gaps, we analyzed the educational material available through our YEVO platform and focused on making Crédito Mujer a more inclusive and effective product for our clients.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conducted a diagnostic of gender violence and the inclusion of women in financial services. The findings showed that we needed to train both our sales force and our clients to bolster their understanding of equity and capacity to identify gender bias.</w:t>
      </w:r>
    </w:p>
    <w:p>
      <w:pPr>
        <w:spacing w:after="0" w:line="139" w:lineRule="exact"/>
        <w:rPr>
          <w:sz w:val="20"/>
          <w:szCs w:val="20"/>
          <w:color w:val="auto"/>
        </w:rPr>
      </w:pPr>
    </w:p>
    <w:p>
      <w:pPr>
        <w:jc w:val="both"/>
        <w:ind w:left="2180" w:right="20"/>
        <w:spacing w:after="0" w:line="243" w:lineRule="auto"/>
        <w:rPr>
          <w:sz w:val="20"/>
          <w:szCs w:val="20"/>
          <w:color w:val="auto"/>
        </w:rPr>
      </w:pPr>
      <w:r>
        <w:rPr>
          <w:rFonts w:ascii="Arial" w:cs="Arial" w:eastAsia="Arial" w:hAnsi="Arial"/>
          <w:sz w:val="15"/>
          <w:szCs w:val="15"/>
          <w:color w:val="auto"/>
        </w:rPr>
        <w:t>Economic or financial violence</w:t>
      </w:r>
      <w:r>
        <w:rPr>
          <w:rFonts w:ascii="Arial" w:cs="Arial" w:eastAsia="Arial" w:hAnsi="Arial"/>
          <w:sz w:val="15"/>
          <w:szCs w:val="15"/>
          <w:b w:val="1"/>
          <w:bCs w:val="1"/>
          <w:color w:val="auto"/>
        </w:rPr>
        <w:t>─</w:t>
      </w:r>
      <w:r>
        <w:rPr>
          <w:rFonts w:ascii="Arial" w:cs="Arial" w:eastAsia="Arial" w:hAnsi="Arial"/>
          <w:sz w:val="15"/>
          <w:szCs w:val="15"/>
          <w:color w:val="auto"/>
        </w:rPr>
        <w:t xml:space="preserve"> where partners restrict access to funds/use or limit the woman’s ability to make financial decisions</w:t>
      </w:r>
      <w:r>
        <w:rPr>
          <w:rFonts w:ascii="Arial" w:cs="Arial" w:eastAsia="Arial" w:hAnsi="Arial"/>
          <w:sz w:val="15"/>
          <w:szCs w:val="15"/>
          <w:b w:val="1"/>
          <w:bCs w:val="1"/>
          <w:color w:val="auto"/>
        </w:rPr>
        <w:t>─</w:t>
      </w:r>
      <w:r>
        <w:rPr>
          <w:rFonts w:ascii="Arial" w:cs="Arial" w:eastAsia="Arial" w:hAnsi="Arial"/>
          <w:sz w:val="15"/>
          <w:szCs w:val="15"/>
          <w:color w:val="auto"/>
        </w:rPr>
        <w:t xml:space="preserve"> affects women’s inclusion in the financial system. We can be part of the solution and have begun taking action by launching an online gender equity training program for our sales force, which is imparted by experts. The program addressed the importance of equity, discussed key concepts, and offered Crédito Mujer as an alternative for financial inclusion. Our objective is to ensure that our relationship managers are conscious of their role and impact, and to know how to address economic violence situations having the tools they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-1651000</wp:posOffset>
            </wp:positionV>
            <wp:extent cx="1097915" cy="805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97915" cy="805180"/>
                    </a:xfrm>
                    <a:prstGeom prst="rect">
                      <a:avLst/>
                    </a:prstGeom>
                    <a:noFill/>
                  </pic:spPr>
                </pic:pic>
              </a:graphicData>
            </a:graphic>
          </wp:anchor>
        </w:drawing>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To strengthen Crédito Mujer’s role in inclusion via financial education and empowerment of female entrepreneurs, we formed a partnership with Cálidda (natural gas distributor) and Mincetur (Ministry of Foreign Trade and Tourism) and broadened the profile of our target audience (not just women with secondary income-currently also for those who are primary breadwinners). Additionally, YEVO launched a new community ,“Emprende Mujer”, which seeks to provide contents that are relevant to female entrepreneurs and offer opportunities for financing.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ectPr>
          <w:pgSz w:w="11900" w:h="16838" w:orient="portrait"/>
          <w:cols w:equalWidth="0" w:num="2">
            <w:col w:w="5408" w:space="440"/>
            <w:col w:w="5420"/>
          </w:cols>
          <w:pgMar w:left="312" w:top="279" w:right="31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813435</wp:posOffset>
            </wp:positionH>
            <wp:positionV relativeFrom="page">
              <wp:posOffset>198755</wp:posOffset>
            </wp:positionV>
            <wp:extent cx="2196465" cy="11201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2196465" cy="112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Lastly, Mibanco launched a large-scale campaign </w:t>
      </w:r>
      <w:r>
        <w:rPr>
          <w:rFonts w:ascii="Arial" w:cs="Arial" w:eastAsia="Arial" w:hAnsi="Arial"/>
          <w:sz w:val="15"/>
          <w:szCs w:val="15"/>
          <w:b w:val="1"/>
          <w:bCs w:val="1"/>
          <w:color w:val="auto"/>
        </w:rPr>
        <w:t>“Impulsando Sueños”</w:t>
      </w:r>
      <w:r>
        <w:rPr>
          <w:rFonts w:ascii="Arial" w:cs="Arial" w:eastAsia="Arial" w:hAnsi="Arial"/>
          <w:sz w:val="15"/>
          <w:szCs w:val="15"/>
          <w:color w:val="auto"/>
        </w:rPr>
        <w:t xml:space="preserve"> in March 2022. We used this initiative to send women messages of empowerment to strengthen their confidence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93980</wp:posOffset>
            </wp:positionV>
            <wp:extent cx="2562225" cy="13398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62225" cy="133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aforementioned actions helped us in the process to recover loan levels for Crédito Mujer, compared to 2021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1697355</wp:posOffset>
            </wp:positionV>
            <wp:extent cx="142748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60" w:hanging="191"/>
        <w:spacing w:after="0"/>
        <w:tabs>
          <w:tab w:leader="none" w:pos="460" w:val="left"/>
        </w:tabs>
        <w:numPr>
          <w:ilvl w:val="0"/>
          <w:numId w:val="52"/>
        </w:numPr>
        <w:rPr>
          <w:rFonts w:ascii="Arial" w:cs="Arial" w:eastAsia="Arial" w:hAnsi="Arial"/>
          <w:sz w:val="25"/>
          <w:szCs w:val="25"/>
          <w:color w:val="auto"/>
          <w:vertAlign w:val="superscript"/>
        </w:rPr>
      </w:pPr>
      <w:r>
        <w:rPr>
          <w:rFonts w:ascii="Arial" w:cs="Arial" w:eastAsia="Arial" w:hAnsi="Arial"/>
          <w:sz w:val="15"/>
          <w:szCs w:val="15"/>
          <w:color w:val="auto"/>
        </w:rPr>
        <w:t>Sales force that specializes in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152640"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Arial" w:cs="Arial" w:eastAsia="Arial" w:hAnsi="Arial"/>
          <w:sz w:val="15"/>
          <w:szCs w:val="15"/>
          <w:color w:val="auto"/>
        </w:rPr>
        <w:t>In 2023, we will continue to drive efforts to place Crédito Mujer loans by improving our credit guidelines and processes. Additionally, through projects such as "Empoderamiento Familiar," we will focus on creating awareness among our workforce of issues related to equity and gender bias and will train our clients in these areas. Moving forward, we will continue strengthening our partnerships by generating synergies and including more entities that promote inclusion of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-1433830</wp:posOffset>
            </wp:positionV>
            <wp:extent cx="2562225" cy="549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62225" cy="54927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Mibanco Colombia – Mujeres Palante</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15"/>
          <w:szCs w:val="15"/>
          <w:color w:val="auto"/>
        </w:rPr>
        <w:t>Like Peru, Mibanco Colombia has a credit product that seeks to transform the lives of women microentrepreneurs and drive the progress of their families. This product for financial inclusion specifically targets women who engage in recurring or non-recurring activities and are looking to secure working capital or finance a fixed asset. In 2022, we strengthened the process to educate women who receive financing; began offering a product through the new channel Arrieros</w:t>
      </w:r>
      <w:r>
        <w:rPr>
          <w:rFonts w:ascii="Arial" w:cs="Arial" w:eastAsia="Arial" w:hAnsi="Arial"/>
          <w:sz w:val="25"/>
          <w:szCs w:val="25"/>
          <w:color w:val="auto"/>
          <w:vertAlign w:val="superscript"/>
        </w:rPr>
        <w:t>27</w:t>
      </w:r>
      <w:r>
        <w:rPr>
          <w:rFonts w:ascii="Arial" w:cs="Arial" w:eastAsia="Arial" w:hAnsi="Arial"/>
          <w:sz w:val="15"/>
          <w:szCs w:val="15"/>
          <w:color w:val="auto"/>
        </w:rPr>
        <w:t xml:space="preserve">; and </w:t>
      </w:r>
      <w:r>
        <w:rPr>
          <w:rFonts w:ascii="Arial" w:cs="Arial" w:eastAsia="Arial" w:hAnsi="Arial"/>
          <w:sz w:val="15"/>
          <w:szCs w:val="15"/>
          <w:b w:val="1"/>
          <w:bCs w:val="1"/>
          <w:color w:val="auto"/>
        </w:rPr>
        <w:t>sought out new partnerships with entities or initiatives that</w:t>
      </w:r>
      <w:r>
        <w:rPr>
          <w:rFonts w:ascii="Arial" w:cs="Arial" w:eastAsia="Arial" w:hAnsi="Arial"/>
          <w:sz w:val="15"/>
          <w:szCs w:val="15"/>
          <w:color w:val="auto"/>
        </w:rPr>
        <w:t xml:space="preserve"> </w:t>
      </w:r>
      <w:r>
        <w:rPr>
          <w:rFonts w:ascii="Arial" w:cs="Arial" w:eastAsia="Arial" w:hAnsi="Arial"/>
          <w:sz w:val="15"/>
          <w:szCs w:val="15"/>
          <w:b w:val="1"/>
          <w:bCs w:val="1"/>
          <w:color w:val="auto"/>
        </w:rPr>
        <w:t>contemplate a gender focus.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In 2023, our projects include:</w:t>
      </w:r>
    </w:p>
    <w:p>
      <w:pPr>
        <w:ind w:left="560" w:right="220" w:hanging="274"/>
        <w:spacing w:after="0"/>
        <w:tabs>
          <w:tab w:leader="none" w:pos="5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Strengthening product conditions, calibrating the profile of women to be banked.</w:t>
      </w:r>
    </w:p>
    <w:p>
      <w:pPr>
        <w:ind w:left="560" w:hanging="274"/>
        <w:spacing w:after="0"/>
        <w:tabs>
          <w:tab w:leader="none" w:pos="5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Continuing efforts to generate alliances with a gender focus.</w:t>
      </w:r>
    </w:p>
    <w:p>
      <w:pPr>
        <w:spacing w:after="0" w:line="173"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In addition, to enhance this product, Mibanco Colombia issued a gender social bond in 2022 (see more information in section “2) Environmental management - Sustainable Finance”).</w:t>
      </w:r>
    </w:p>
    <w:p>
      <w:pPr>
        <w:spacing w:after="0" w:line="137" w:lineRule="exact"/>
        <w:rPr>
          <w:sz w:val="20"/>
          <w:szCs w:val="20"/>
          <w:color w:val="auto"/>
        </w:rPr>
      </w:pPr>
    </w:p>
    <w:p>
      <w:pPr>
        <w:ind w:right="340"/>
        <w:spacing w:after="0" w:line="283" w:lineRule="auto"/>
        <w:rPr>
          <w:sz w:val="20"/>
          <w:szCs w:val="20"/>
          <w:color w:val="auto"/>
        </w:rPr>
      </w:pPr>
      <w:r>
        <w:rPr>
          <w:rFonts w:ascii="Arial" w:cs="Arial" w:eastAsia="Arial" w:hAnsi="Arial"/>
          <w:sz w:val="15"/>
          <w:szCs w:val="15"/>
          <w:b w:val="1"/>
          <w:bCs w:val="1"/>
          <w:color w:val="E93CAC"/>
        </w:rPr>
        <w:t>BCP Bolivia joins forces with Fundación Emprender Futuro – Mujeres Emprendedoras</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According to diverse studies conducted in Bolivia, it is estimated that close to 38% of women in the country are engaged in some kind of entrepreneurial effort. This project targets female entrepreneurs in Bolivia to build and enhance their knowledge of financial issues. The objective is to aid them in their quest to manage their businesses better, which helps ensure sustainability and secure economic independence. In 2022, we trained 2,659 women. In 2023, we plan to reach 2,000 more women and develop a financial product for female entrepreneurs.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w:t>
      </w:r>
    </w:p>
    <w:p>
      <w:pPr>
        <w:sectPr>
          <w:pgSz w:w="11900" w:h="16838" w:orient="portrait"/>
          <w:cols w:equalWidth="0" w:num="2">
            <w:col w:w="5400" w:space="440"/>
            <w:col w:w="5420"/>
          </w:cols>
          <w:pgMar w:left="320" w:top="1349" w:right="319" w:bottom="1440" w:gutter="0" w:footer="0" w:header="0"/>
        </w:sectPr>
      </w:pPr>
    </w:p>
    <w:bookmarkStart w:id="104" w:name="page105"/>
    <w:bookmarkEnd w:id="104"/>
    <w:p>
      <w:pPr>
        <w:spacing w:after="0"/>
        <w:rPr>
          <w:sz w:val="20"/>
          <w:szCs w:val="20"/>
          <w:color w:val="auto"/>
        </w:rPr>
      </w:pPr>
      <w:r>
        <w:rPr>
          <w:rFonts w:ascii="Arial" w:cs="Arial" w:eastAsia="Arial" w:hAnsi="Arial"/>
          <w:sz w:val="25"/>
          <w:szCs w:val="25"/>
          <w:b w:val="1"/>
          <w:bCs w:val="1"/>
          <w:color w:val="auto"/>
        </w:rPr>
        <w:t>Transforming Financial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450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Financial Education</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203-1, 203-2, 413-1</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FN-CB-240a.4</w:t>
      </w:r>
    </w:p>
    <w:p>
      <w:pPr>
        <w:spacing w:after="0"/>
        <w:rPr>
          <w:sz w:val="20"/>
          <w:szCs w:val="20"/>
          <w:color w:val="auto"/>
        </w:rPr>
      </w:pPr>
      <w:r>
        <w:rPr>
          <w:rFonts w:ascii="Arial" w:cs="Arial" w:eastAsia="Arial" w:hAnsi="Arial"/>
          <w:sz w:val="15"/>
          <w:szCs w:val="15"/>
          <w:b w:val="1"/>
          <w:bCs w:val="1"/>
          <w:color w:val="auto"/>
        </w:rPr>
        <w:t>Pillar 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3B72E1"/>
        </w:rPr>
        <w:t>HELPING PEOPLE IMPROVE THEIR FINANCIAL KNOWLEDGE AND SKILLS SO THAT THEY CAN MAKE BETTER DECISIONS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Financial education helps people develop a deeper understanding of the financial products and services available in the market so that they can make better decisions. We are convinced that a solid financial culture strengthens Peruvian’s trust of financial institutions; builds their confidence as users; and promotes healthy relations with money and the adequate use of financial products and services. In this context, financial education is a key enabler of responsible financial inclusion.</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Credicorp, we have worked on different initiatives for financial education, including (a) mass communication of educational content, (b) on-site and online training programs and (c) education efforts for businesses. Each model seeks to impart knowledge and tools to clients and the public in general to position them to take full advantage of everything the financial system has to offer.</w:t>
      </w:r>
    </w:p>
    <w:p>
      <w:pPr>
        <w:spacing w:after="0" w:line="15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Our Financial Education Platform seeks to align different initiatives across our subsidiaries; expand our scope through the use of digital channels and key partnerships; and share successful cases that can be replicated at the Group’s companies.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920" w:type="dxa"/>
            <w:vAlign w:val="bottom"/>
            <w:tcBorders>
              <w:top w:val="single" w:sz="8" w:color="auto"/>
              <w:left w:val="single" w:sz="8" w:color="auto"/>
              <w:right w:val="single" w:sz="8" w:color="auto"/>
            </w:tcBorders>
            <w:shd w:val="clear" w:color="auto" w:fill="F2F2F2"/>
          </w:tcPr>
          <w:p>
            <w:pPr>
              <w:ind w:left="60"/>
              <w:spacing w:after="0"/>
              <w:rPr>
                <w:sz w:val="20"/>
                <w:szCs w:val="20"/>
                <w:color w:val="auto"/>
              </w:rPr>
            </w:pPr>
            <w:r>
              <w:rPr>
                <w:rFonts w:ascii="Arial" w:cs="Arial" w:eastAsia="Arial" w:hAnsi="Arial"/>
                <w:sz w:val="15"/>
                <w:szCs w:val="15"/>
                <w:b w:val="1"/>
                <w:bCs w:val="1"/>
                <w:color w:val="auto"/>
              </w:rPr>
              <w:t>Subsidiary</w:t>
            </w:r>
          </w:p>
        </w:tc>
        <w:tc>
          <w:tcPr>
            <w:tcW w:w="3840" w:type="dxa"/>
            <w:vAlign w:val="bottom"/>
            <w:tcBorders>
              <w:top w:val="single" w:sz="8" w:color="auto"/>
              <w:right w:val="single" w:sz="8" w:color="auto"/>
            </w:tcBorders>
            <w:shd w:val="clear" w:color="auto" w:fill="F2F2F2"/>
          </w:tcPr>
          <w:p>
            <w:pPr>
              <w:ind w:left="1600"/>
              <w:spacing w:after="0"/>
              <w:rPr>
                <w:sz w:val="20"/>
                <w:szCs w:val="20"/>
                <w:color w:val="auto"/>
              </w:rPr>
            </w:pPr>
            <w:r>
              <w:rPr>
                <w:rFonts w:ascii="Arial" w:cs="Arial" w:eastAsia="Arial" w:hAnsi="Arial"/>
                <w:sz w:val="15"/>
                <w:szCs w:val="15"/>
                <w:b w:val="1"/>
                <w:bCs w:val="1"/>
                <w:color w:val="auto"/>
              </w:rPr>
              <w:t>Initiative</w:t>
            </w:r>
          </w:p>
        </w:tc>
        <w:tc>
          <w:tcPr>
            <w:tcW w:w="2680" w:type="dxa"/>
            <w:vAlign w:val="bottom"/>
            <w:tcBorders>
              <w:top w:val="single" w:sz="8" w:color="auto"/>
              <w:right w:val="single" w:sz="8" w:color="auto"/>
            </w:tcBorders>
            <w:shd w:val="clear" w:color="auto" w:fill="F2F2F2"/>
          </w:tcPr>
          <w:p>
            <w:pPr>
              <w:ind w:left="620"/>
              <w:spacing w:after="0"/>
              <w:rPr>
                <w:sz w:val="20"/>
                <w:szCs w:val="20"/>
                <w:color w:val="auto"/>
              </w:rPr>
            </w:pPr>
            <w:r>
              <w:rPr>
                <w:rFonts w:ascii="Arial" w:cs="Arial" w:eastAsia="Arial" w:hAnsi="Arial"/>
                <w:sz w:val="15"/>
                <w:szCs w:val="15"/>
                <w:b w:val="1"/>
                <w:bCs w:val="1"/>
                <w:color w:val="auto"/>
              </w:rPr>
              <w:t>Achievements 2022</w:t>
            </w:r>
          </w:p>
        </w:tc>
        <w:tc>
          <w:tcPr>
            <w:tcW w:w="3820" w:type="dxa"/>
            <w:vAlign w:val="bottom"/>
            <w:tcBorders>
              <w:top w:val="single" w:sz="8" w:color="auto"/>
              <w:right w:val="single" w:sz="8" w:color="auto"/>
            </w:tcBorders>
            <w:shd w:val="clear" w:color="auto" w:fill="F2F2F2"/>
          </w:tcPr>
          <w:p>
            <w:pPr>
              <w:ind w:left="540"/>
              <w:spacing w:after="0"/>
              <w:rPr>
                <w:sz w:val="20"/>
                <w:szCs w:val="20"/>
                <w:color w:val="auto"/>
              </w:rPr>
            </w:pPr>
            <w:r>
              <w:rPr>
                <w:rFonts w:ascii="Arial" w:cs="Arial" w:eastAsia="Arial" w:hAnsi="Arial"/>
                <w:sz w:val="15"/>
                <w:szCs w:val="15"/>
                <w:b w:val="1"/>
                <w:bCs w:val="1"/>
                <w:color w:val="auto"/>
              </w:rPr>
              <w:t>Partnerships to strengthen our scope</w:t>
            </w:r>
          </w:p>
        </w:tc>
      </w:tr>
      <w:tr>
        <w:trPr>
          <w:trHeight w:val="85"/>
        </w:trPr>
        <w:tc>
          <w:tcPr>
            <w:tcW w:w="92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3840" w:type="dxa"/>
            <w:vAlign w:val="bottom"/>
            <w:tcBorders>
              <w:bottom w:val="single" w:sz="8" w:color="auto"/>
              <w:right w:val="single" w:sz="8" w:color="auto"/>
            </w:tcBorders>
            <w:shd w:val="clear" w:color="auto" w:fill="F2F2F2"/>
          </w:tcPr>
          <w:p>
            <w:pPr>
              <w:spacing w:after="0"/>
              <w:rPr>
                <w:sz w:val="7"/>
                <w:szCs w:val="7"/>
                <w:color w:val="auto"/>
              </w:rPr>
            </w:pPr>
          </w:p>
        </w:tc>
        <w:tc>
          <w:tcPr>
            <w:tcW w:w="2680" w:type="dxa"/>
            <w:vAlign w:val="bottom"/>
            <w:tcBorders>
              <w:bottom w:val="single" w:sz="8" w:color="auto"/>
              <w:right w:val="single" w:sz="8" w:color="auto"/>
            </w:tcBorders>
            <w:shd w:val="clear" w:color="auto" w:fill="F2F2F2"/>
          </w:tcPr>
          <w:p>
            <w:pPr>
              <w:spacing w:after="0"/>
              <w:rPr>
                <w:sz w:val="7"/>
                <w:szCs w:val="7"/>
                <w:color w:val="auto"/>
              </w:rPr>
            </w:pPr>
          </w:p>
        </w:tc>
        <w:tc>
          <w:tcPr>
            <w:tcW w:w="3820" w:type="dxa"/>
            <w:vAlign w:val="bottom"/>
            <w:tcBorders>
              <w:bottom w:val="single" w:sz="8" w:color="auto"/>
              <w:right w:val="single" w:sz="8" w:color="auto"/>
            </w:tcBorders>
            <w:shd w:val="clear" w:color="auto" w:fill="F2F2F2"/>
          </w:tcPr>
          <w:p>
            <w:pPr>
              <w:spacing w:after="0"/>
              <w:rPr>
                <w:sz w:val="7"/>
                <w:szCs w:val="7"/>
                <w:color w:val="auto"/>
              </w:rPr>
            </w:pPr>
          </w:p>
        </w:tc>
      </w:tr>
      <w:tr>
        <w:trPr>
          <w:trHeight w:val="164"/>
        </w:trPr>
        <w:tc>
          <w:tcPr>
            <w:tcW w:w="92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b w:val="1"/>
                <w:bCs w:val="1"/>
                <w:color w:val="auto"/>
              </w:rPr>
              <w:t>BCP</w:t>
            </w:r>
          </w:p>
        </w:tc>
        <w:tc>
          <w:tcPr>
            <w:tcW w:w="38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b w:val="1"/>
                <w:bCs w:val="1"/>
                <w:color w:val="auto"/>
              </w:rPr>
              <w:t>ABC at BCP</w:t>
            </w:r>
          </w:p>
        </w:tc>
        <w:tc>
          <w:tcPr>
            <w:tcW w:w="268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Mass media:</w:t>
            </w:r>
          </w:p>
        </w:tc>
        <w:tc>
          <w:tcPr>
            <w:tcW w:w="382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5"/>
                <w:szCs w:val="15"/>
                <w:color w:val="auto"/>
              </w:rPr>
              <w:t>●  Ministries – Training for scholarship students,</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Mass media, training courses and education from a</w:t>
            </w:r>
          </w:p>
        </w:tc>
        <w:tc>
          <w:tcPr>
            <w:tcW w:w="268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  49 million accumulated views for</w:t>
            </w:r>
          </w:p>
        </w:tc>
        <w:tc>
          <w:tcPr>
            <w:tcW w:w="382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rural agricultural workers, putting looking for</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business perspective to provide advice and useful tools</w:t>
            </w:r>
          </w:p>
        </w:tc>
        <w:tc>
          <w:tcPr>
            <w:tcW w:w="26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auto"/>
              </w:rPr>
              <w:t>the Web series 5to Piso</w:t>
            </w:r>
          </w:p>
        </w:tc>
        <w:tc>
          <w:tcPr>
            <w:tcW w:w="382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employment</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for personal finance to clients and non-clients</w:t>
            </w:r>
          </w:p>
        </w:tc>
        <w:tc>
          <w:tcPr>
            <w:tcW w:w="2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Training program:</w:t>
            </w: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  Municipality of Lima – Training on markets</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  234,760 people completed</w:t>
            </w: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  NGOs– Training for community soup kitchens</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auto"/>
              </w:rPr>
              <w:t>online courses</w:t>
            </w:r>
          </w:p>
        </w:tc>
        <w:tc>
          <w:tcPr>
            <w:tcW w:w="382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and communal food pots</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  54,798 young people completed</w:t>
            </w: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  National Program for Scholarships and</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auto"/>
              </w:rPr>
              <w:t>the course for universities and</w:t>
            </w:r>
          </w:p>
        </w:tc>
        <w:tc>
          <w:tcPr>
            <w:tcW w:w="382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Educational Loans (Pronabec) through</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auto"/>
              </w:rPr>
              <w:t>institutes</w:t>
            </w:r>
          </w:p>
        </w:tc>
        <w:tc>
          <w:tcPr>
            <w:tcW w:w="382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universities, institutes and Yape</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  15,477 people who were not</w:t>
            </w: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  Association of Banks of Peru (Asbanc): Finanzas</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auto"/>
              </w:rPr>
              <w:t>formally included in the financial</w:t>
            </w:r>
          </w:p>
        </w:tc>
        <w:tc>
          <w:tcPr>
            <w:tcW w:w="382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al Toqque – microbusiness owners and families</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auto"/>
              </w:rPr>
              <w:t>system were trained</w:t>
            </w: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  Superintendency of Banking and Insurance</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Education from a business</w:t>
            </w:r>
          </w:p>
        </w:tc>
        <w:tc>
          <w:tcPr>
            <w:tcW w:w="382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(SBS) – Global Savings Week</w:t>
            </w: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perspective:</w:t>
            </w:r>
          </w:p>
        </w:tc>
        <w:tc>
          <w:tcPr>
            <w:tcW w:w="3820" w:type="dxa"/>
            <w:vAlign w:val="bottom"/>
            <w:tcBorders>
              <w:right w:val="single" w:sz="8" w:color="auto"/>
            </w:tcBorders>
          </w:tcPr>
          <w:p>
            <w:pPr>
              <w:spacing w:after="0"/>
              <w:rPr>
                <w:sz w:val="15"/>
                <w:szCs w:val="15"/>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  83,385 people improved their</w:t>
            </w:r>
          </w:p>
        </w:tc>
        <w:tc>
          <w:tcPr>
            <w:tcW w:w="3820" w:type="dxa"/>
            <w:vAlign w:val="bottom"/>
            <w:tcBorders>
              <w:right w:val="single" w:sz="8" w:color="auto"/>
            </w:tcBorders>
          </w:tcPr>
          <w:p>
            <w:pPr>
              <w:spacing w:after="0"/>
              <w:rPr>
                <w:sz w:val="15"/>
                <w:szCs w:val="15"/>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auto"/>
              </w:rPr>
              <w:t>financial behavior through pilots</w:t>
            </w:r>
          </w:p>
        </w:tc>
        <w:tc>
          <w:tcPr>
            <w:tcW w:w="3820" w:type="dxa"/>
            <w:vAlign w:val="bottom"/>
            <w:tcBorders>
              <w:right w:val="single" w:sz="8" w:color="auto"/>
            </w:tcBorders>
          </w:tcPr>
          <w:p>
            <w:pPr>
              <w:spacing w:after="0"/>
              <w:rPr>
                <w:sz w:val="15"/>
                <w:szCs w:val="15"/>
                <w:color w:val="auto"/>
              </w:rPr>
            </w:pPr>
          </w:p>
        </w:tc>
      </w:tr>
      <w:tr>
        <w:trPr>
          <w:trHeight w:val="174"/>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5"/>
                <w:szCs w:val="15"/>
                <w:color w:val="auto"/>
              </w:rPr>
              <w:t>of alerts</w:t>
            </w:r>
          </w:p>
        </w:tc>
        <w:tc>
          <w:tcPr>
            <w:tcW w:w="3820" w:type="dxa"/>
            <w:vAlign w:val="bottom"/>
            <w:tcBorders>
              <w:bottom w:val="single" w:sz="8" w:color="auto"/>
              <w:right w:val="single" w:sz="8" w:color="auto"/>
            </w:tcBorders>
          </w:tcPr>
          <w:p>
            <w:pPr>
              <w:spacing w:after="0"/>
              <w:rPr>
                <w:sz w:val="15"/>
                <w:szCs w:val="15"/>
                <w:color w:val="auto"/>
              </w:rPr>
            </w:pPr>
          </w:p>
        </w:tc>
      </w:tr>
      <w:tr>
        <w:trPr>
          <w:trHeight w:val="741"/>
        </w:trPr>
        <w:tc>
          <w:tcPr>
            <w:tcW w:w="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20" w:type="dxa"/>
            <w:vAlign w:val="bottom"/>
          </w:tcPr>
          <w:p>
            <w:pPr>
              <w:ind w:left="3560"/>
              <w:spacing w:after="0"/>
              <w:rPr>
                <w:sz w:val="20"/>
                <w:szCs w:val="20"/>
                <w:color w:val="auto"/>
              </w:rPr>
            </w:pPr>
            <w:r>
              <w:rPr>
                <w:rFonts w:ascii="Arial" w:cs="Arial" w:eastAsia="Arial" w:hAnsi="Arial"/>
                <w:sz w:val="15"/>
                <w:szCs w:val="15"/>
                <w:color w:val="auto"/>
                <w:w w:val="87"/>
              </w:rPr>
              <w:t>102</w:t>
            </w:r>
          </w:p>
        </w:tc>
      </w:tr>
      <w:tr>
        <w:trPr>
          <w:trHeight w:val="38"/>
        </w:trPr>
        <w:tc>
          <w:tcPr>
            <w:tcW w:w="92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279" w:right="319" w:bottom="144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920" w:type="dxa"/>
            <w:vAlign w:val="bottom"/>
            <w:tcBorders>
              <w:top w:val="single" w:sz="8" w:color="auto"/>
              <w:left w:val="single" w:sz="8" w:color="auto"/>
              <w:right w:val="single" w:sz="8" w:color="auto"/>
            </w:tcBorders>
          </w:tcPr>
          <w:p>
            <w:pPr>
              <w:spacing w:after="0" w:line="166" w:lineRule="exact"/>
              <w:rPr>
                <w:sz w:val="20"/>
                <w:szCs w:val="20"/>
                <w:color w:val="auto"/>
              </w:rPr>
            </w:pPr>
            <w:r>
              <w:rPr>
                <w:rFonts w:ascii="Arial" w:cs="Arial" w:eastAsia="Arial" w:hAnsi="Arial"/>
                <w:sz w:val="15"/>
                <w:szCs w:val="15"/>
                <w:b w:val="1"/>
                <w:bCs w:val="1"/>
                <w:color w:val="auto"/>
              </w:rPr>
              <w:t>Mibanco</w:t>
            </w:r>
          </w:p>
        </w:tc>
        <w:tc>
          <w:tcPr>
            <w:tcW w:w="400" w:type="dxa"/>
            <w:vAlign w:val="bottom"/>
            <w:tcBorders>
              <w:top w:val="single" w:sz="8" w:color="auto"/>
            </w:tcBorders>
          </w:tcPr>
          <w:p>
            <w:pPr>
              <w:ind w:left="160"/>
              <w:spacing w:after="0" w:line="166" w:lineRule="exact"/>
              <w:rPr>
                <w:sz w:val="20"/>
                <w:szCs w:val="20"/>
                <w:color w:val="auto"/>
              </w:rPr>
            </w:pPr>
            <w:r>
              <w:rPr>
                <w:rFonts w:ascii="Arial" w:cs="Arial" w:eastAsia="Arial" w:hAnsi="Arial"/>
                <w:sz w:val="15"/>
                <w:szCs w:val="15"/>
                <w:color w:val="auto"/>
              </w:rPr>
              <w:t>●</w:t>
            </w:r>
          </w:p>
        </w:tc>
        <w:tc>
          <w:tcPr>
            <w:tcW w:w="3440" w:type="dxa"/>
            <w:vAlign w:val="bottom"/>
            <w:tcBorders>
              <w:top w:val="single" w:sz="8" w:color="auto"/>
              <w:right w:val="single" w:sz="8" w:color="auto"/>
            </w:tcBorders>
          </w:tcPr>
          <w:p>
            <w:pPr>
              <w:ind w:left="140"/>
              <w:spacing w:after="0" w:line="166" w:lineRule="exact"/>
              <w:rPr>
                <w:sz w:val="20"/>
                <w:szCs w:val="20"/>
                <w:color w:val="auto"/>
              </w:rPr>
            </w:pPr>
            <w:r>
              <w:rPr>
                <w:rFonts w:ascii="Arial" w:cs="Arial" w:eastAsia="Arial" w:hAnsi="Arial"/>
                <w:sz w:val="15"/>
                <w:szCs w:val="15"/>
                <w:b w:val="1"/>
                <w:bCs w:val="1"/>
                <w:color w:val="auto"/>
              </w:rPr>
              <w:t xml:space="preserve">Basic Program for Digital Advice: </w:t>
            </w:r>
            <w:r>
              <w:rPr>
                <w:rFonts w:ascii="Arial" w:cs="Arial" w:eastAsia="Arial" w:hAnsi="Arial"/>
                <w:sz w:val="15"/>
                <w:szCs w:val="15"/>
                <w:color w:val="auto"/>
              </w:rPr>
              <w:t>training</w:t>
            </w:r>
          </w:p>
        </w:tc>
        <w:tc>
          <w:tcPr>
            <w:tcW w:w="2680" w:type="dxa"/>
            <w:vAlign w:val="bottom"/>
            <w:tcBorders>
              <w:top w:val="single" w:sz="8" w:color="auto"/>
              <w:right w:val="single" w:sz="8" w:color="auto"/>
            </w:tcBorders>
            <w:gridSpan w:val="2"/>
          </w:tcPr>
          <w:p>
            <w:pPr>
              <w:ind w:left="180"/>
              <w:spacing w:after="0" w:line="166" w:lineRule="exact"/>
              <w:rPr>
                <w:sz w:val="20"/>
                <w:szCs w:val="20"/>
                <w:color w:val="auto"/>
              </w:rPr>
            </w:pPr>
            <w:r>
              <w:rPr>
                <w:rFonts w:ascii="Arial" w:cs="Arial" w:eastAsia="Arial" w:hAnsi="Arial"/>
                <w:sz w:val="15"/>
                <w:szCs w:val="15"/>
                <w:b w:val="1"/>
                <w:bCs w:val="1"/>
                <w:color w:val="auto"/>
              </w:rPr>
              <w:t>251,153 people received at</w:t>
            </w:r>
          </w:p>
        </w:tc>
        <w:tc>
          <w:tcPr>
            <w:tcW w:w="3820" w:type="dxa"/>
            <w:vAlign w:val="bottom"/>
            <w:tcBorders>
              <w:top w:val="single" w:sz="8" w:color="auto"/>
              <w:right w:val="single" w:sz="8" w:color="auto"/>
            </w:tcBorders>
            <w:gridSpan w:val="2"/>
          </w:tcPr>
          <w:p>
            <w:pPr>
              <w:spacing w:after="0" w:line="166" w:lineRule="exact"/>
              <w:rPr>
                <w:sz w:val="20"/>
                <w:szCs w:val="20"/>
                <w:color w:val="auto"/>
              </w:rPr>
            </w:pPr>
            <w:r>
              <w:rPr>
                <w:rFonts w:ascii="Arial" w:cs="Arial" w:eastAsia="Arial" w:hAnsi="Arial"/>
                <w:sz w:val="15"/>
                <w:szCs w:val="15"/>
                <w:b w:val="1"/>
                <w:bCs w:val="1"/>
                <w:color w:val="auto"/>
              </w:rPr>
              <w:t>PBAFD</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and advice for business and financial</w:t>
            </w: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least one training session from</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Portfolio of clients</w:t>
            </w:r>
          </w:p>
        </w:tc>
        <w:tc>
          <w:tcPr>
            <w:tcW w:w="0" w:type="dxa"/>
            <w:vAlign w:val="bottom"/>
          </w:tcPr>
          <w:p>
            <w:pPr>
              <w:spacing w:after="0"/>
              <w:rPr>
                <w:sz w:val="1"/>
                <w:szCs w:val="1"/>
                <w:color w:val="auto"/>
              </w:rPr>
            </w:pPr>
          </w:p>
        </w:tc>
      </w:tr>
      <w:tr>
        <w:trPr>
          <w:trHeight w:val="191"/>
        </w:trPr>
        <w:tc>
          <w:tcPr>
            <w:tcW w:w="92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management</w:t>
            </w: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 xml:space="preserve">Mibanco </w:t>
            </w:r>
            <w:r>
              <w:rPr>
                <w:rFonts w:ascii="Arial" w:cs="Arial" w:eastAsia="Arial" w:hAnsi="Arial"/>
                <w:sz w:val="15"/>
                <w:szCs w:val="15"/>
                <w:color w:val="auto"/>
              </w:rPr>
              <w:t>(identified with name</w:t>
            </w:r>
          </w:p>
        </w:tc>
        <w:tc>
          <w:tcPr>
            <w:tcW w:w="38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Munay: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b w:val="1"/>
                <w:bCs w:val="1"/>
                <w:color w:val="auto"/>
              </w:rPr>
              <w:t xml:space="preserve">Munay: </w:t>
            </w:r>
            <w:r>
              <w:rPr>
                <w:rFonts w:ascii="Arial" w:cs="Arial" w:eastAsia="Arial" w:hAnsi="Arial"/>
                <w:sz w:val="15"/>
                <w:szCs w:val="15"/>
                <w:color w:val="auto"/>
              </w:rPr>
              <w:t>Volunteer programs to provide</w:t>
            </w: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and document number) through</w:t>
            </w:r>
          </w:p>
        </w:tc>
        <w:tc>
          <w:tcPr>
            <w:tcW w:w="38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440" w:type="dxa"/>
            <w:vAlign w:val="bottom"/>
            <w:tcBorders>
              <w:right w:val="single" w:sz="8" w:color="auto"/>
            </w:tcBorders>
            <w:vMerge w:val="continue"/>
          </w:tcPr>
          <w:p>
            <w:pPr>
              <w:spacing w:after="0"/>
              <w:rPr>
                <w:sz w:val="15"/>
                <w:szCs w:val="15"/>
                <w:color w:val="auto"/>
              </w:rPr>
            </w:pP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378,134 training sessions</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Teletón</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advice and training to entrepreneurs</w:t>
            </w: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(training and advisory sessions</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CERTUS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Miconsultor:</w:t>
            </w:r>
            <w:r>
              <w:rPr>
                <w:rFonts w:ascii="Arial" w:cs="Arial" w:eastAsia="Arial" w:hAnsi="Arial"/>
                <w:sz w:val="15"/>
                <w:szCs w:val="15"/>
                <w:color w:val="auto"/>
              </w:rPr>
              <w:t xml:space="preserve"> training program for clients in</w:t>
            </w: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through the Financial Education</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Webinars Munay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3840" w:type="dxa"/>
            <w:vAlign w:val="bottom"/>
            <w:tcBorders>
              <w:right w:val="single" w:sz="8" w:color="auto"/>
            </w:tcBorders>
            <w:gridSpan w:val="2"/>
            <w:vMerge w:val="continue"/>
          </w:tcPr>
          <w:p>
            <w:pPr>
              <w:spacing w:after="0"/>
              <w:rPr>
                <w:sz w:val="15"/>
                <w:szCs w:val="15"/>
                <w:color w:val="auto"/>
              </w:rPr>
            </w:pP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program rolled out throughout</w:t>
            </w:r>
          </w:p>
        </w:tc>
        <w:tc>
          <w:tcPr>
            <w:tcW w:w="38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Miconsultor:</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partnership with universities throughout the</w:t>
            </w: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2022). Some people participated</w:t>
            </w:r>
          </w:p>
        </w:tc>
        <w:tc>
          <w:tcPr>
            <w:tcW w:w="38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country</w:t>
            </w:r>
          </w:p>
        </w:tc>
        <w:tc>
          <w:tcPr>
            <w:tcW w:w="26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in two or more sessions.</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Universities</w:t>
            </w:r>
          </w:p>
        </w:tc>
        <w:tc>
          <w:tcPr>
            <w:tcW w:w="0" w:type="dxa"/>
            <w:vAlign w:val="bottom"/>
          </w:tcPr>
          <w:p>
            <w:pPr>
              <w:spacing w:after="0"/>
              <w:rPr>
                <w:sz w:val="1"/>
                <w:szCs w:val="1"/>
                <w:color w:val="auto"/>
              </w:rPr>
            </w:pPr>
          </w:p>
        </w:tc>
      </w:tr>
      <w:tr>
        <w:trPr>
          <w:trHeight w:val="334"/>
        </w:trPr>
        <w:tc>
          <w:tcPr>
            <w:tcW w:w="92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Training workshops with partners:</w:t>
            </w:r>
          </w:p>
        </w:tc>
        <w:tc>
          <w:tcPr>
            <w:tcW w:w="34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Partners: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leveraged synergies with Public-Private</w:t>
            </w:r>
          </w:p>
        </w:tc>
        <w:tc>
          <w:tcPr>
            <w:tcW w:w="340" w:type="dxa"/>
            <w:vAlign w:val="bottom"/>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Calidda</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Partnerships to promote financial inclusion</w:t>
            </w:r>
          </w:p>
        </w:tc>
        <w:tc>
          <w:tcPr>
            <w:tcW w:w="340" w:type="dxa"/>
            <w:vAlign w:val="bottom"/>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Municipality of Lima</w:t>
            </w:r>
          </w:p>
        </w:tc>
        <w:tc>
          <w:tcPr>
            <w:tcW w:w="0" w:type="dxa"/>
            <w:vAlign w:val="bottom"/>
          </w:tcPr>
          <w:p>
            <w:pPr>
              <w:spacing w:after="0"/>
              <w:rPr>
                <w:sz w:val="1"/>
                <w:szCs w:val="1"/>
                <w:color w:val="auto"/>
              </w:rPr>
            </w:pPr>
          </w:p>
        </w:tc>
      </w:tr>
      <w:tr>
        <w:trPr>
          <w:trHeight w:val="185"/>
        </w:trPr>
        <w:tc>
          <w:tcPr>
            <w:tcW w:w="92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and education</w:t>
            </w:r>
          </w:p>
        </w:tc>
        <w:tc>
          <w:tcPr>
            <w:tcW w:w="340" w:type="dxa"/>
            <w:vAlign w:val="bottom"/>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Mincetur</w:t>
            </w:r>
          </w:p>
        </w:tc>
        <w:tc>
          <w:tcPr>
            <w:tcW w:w="0" w:type="dxa"/>
            <w:vAlign w:val="bottom"/>
          </w:tcPr>
          <w:p>
            <w:pPr>
              <w:spacing w:after="0"/>
              <w:rPr>
                <w:sz w:val="1"/>
                <w:szCs w:val="1"/>
                <w:color w:val="auto"/>
              </w:rPr>
            </w:pPr>
          </w:p>
        </w:tc>
      </w:tr>
      <w:tr>
        <w:trPr>
          <w:trHeight w:val="316"/>
        </w:trPr>
        <w:tc>
          <w:tcPr>
            <w:tcW w:w="92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Mejorando Mi Bodega (Improving my</w:t>
            </w:r>
          </w:p>
        </w:tc>
        <w:tc>
          <w:tcPr>
            <w:tcW w:w="34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5"/>
                <w:szCs w:val="15"/>
                <w:b w:val="1"/>
                <w:bCs w:val="1"/>
                <w:color w:val="auto"/>
              </w:rPr>
              <w:t>Mejorando Mi Bodega:</w:t>
            </w:r>
          </w:p>
        </w:tc>
        <w:tc>
          <w:tcPr>
            <w:tcW w:w="0" w:type="dxa"/>
            <w:vAlign w:val="bottom"/>
          </w:tcPr>
          <w:p>
            <w:pPr>
              <w:spacing w:after="0"/>
              <w:rPr>
                <w:sz w:val="1"/>
                <w:szCs w:val="1"/>
                <w:color w:val="auto"/>
              </w:rPr>
            </w:pPr>
          </w:p>
        </w:tc>
      </w:tr>
      <w:tr>
        <w:trPr>
          <w:trHeight w:val="191"/>
        </w:trPr>
        <w:tc>
          <w:tcPr>
            <w:tcW w:w="92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 xml:space="preserve">Bodega): </w:t>
            </w:r>
            <w:r>
              <w:rPr>
                <w:rFonts w:ascii="Arial" w:cs="Arial" w:eastAsia="Arial" w:hAnsi="Arial"/>
                <w:sz w:val="15"/>
                <w:szCs w:val="15"/>
                <w:color w:val="auto"/>
              </w:rPr>
              <w:t>Webinars on business and</w:t>
            </w:r>
          </w:p>
        </w:tc>
        <w:tc>
          <w:tcPr>
            <w:tcW w:w="340" w:type="dxa"/>
            <w:vAlign w:val="bottom"/>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Mejorando mi bodega Program (Centrum and</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financial management imparted by experts</w:t>
            </w:r>
          </w:p>
        </w:tc>
        <w:tc>
          <w:tcPr>
            <w:tcW w:w="340" w:type="dxa"/>
            <w:vAlign w:val="bottom"/>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6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ISM)</w:t>
            </w:r>
          </w:p>
        </w:tc>
        <w:tc>
          <w:tcPr>
            <w:tcW w:w="0" w:type="dxa"/>
            <w:vAlign w:val="bottom"/>
          </w:tcPr>
          <w:p>
            <w:pPr>
              <w:spacing w:after="0"/>
              <w:rPr>
                <w:sz w:val="1"/>
                <w:szCs w:val="1"/>
                <w:color w:val="auto"/>
              </w:rPr>
            </w:pPr>
          </w:p>
        </w:tc>
      </w:tr>
      <w:tr>
        <w:trPr>
          <w:trHeight w:val="185"/>
        </w:trPr>
        <w:tc>
          <w:tcPr>
            <w:tcW w:w="92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from Centrum, ISM and Mibanco</w:t>
            </w:r>
          </w:p>
        </w:tc>
        <w:tc>
          <w:tcPr>
            <w:tcW w:w="340" w:type="dxa"/>
            <w:vAlign w:val="bottom"/>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20" w:type="dxa"/>
            <w:vAlign w:val="bottom"/>
            <w:tcBorders>
              <w:left w:val="single" w:sz="8" w:color="auto"/>
              <w:right w:val="single" w:sz="8" w:color="auto"/>
            </w:tcBorders>
          </w:tcPr>
          <w:p>
            <w:pPr>
              <w:spacing w:after="0"/>
              <w:rPr>
                <w:sz w:val="24"/>
                <w:szCs w:val="24"/>
                <w:color w:val="auto"/>
              </w:rPr>
            </w:pPr>
          </w:p>
        </w:tc>
        <w:tc>
          <w:tcPr>
            <w:tcW w:w="3840" w:type="dxa"/>
            <w:vAlign w:val="bottom"/>
            <w:tcBorders>
              <w:right w:val="single" w:sz="8" w:color="auto"/>
            </w:tcBorders>
            <w:gridSpan w:val="2"/>
          </w:tcPr>
          <w:p>
            <w:pPr>
              <w:ind w:left="16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Talking with Experts Workshop:</w:t>
            </w:r>
            <w:r>
              <w:rPr>
                <w:rFonts w:ascii="Arial" w:cs="Arial" w:eastAsia="Arial" w:hAnsi="Arial"/>
                <w:sz w:val="15"/>
                <w:szCs w:val="15"/>
                <w:color w:val="auto"/>
              </w:rPr>
              <w:t xml:space="preserve"> Webinars</w:t>
            </w:r>
          </w:p>
        </w:tc>
        <w:tc>
          <w:tcPr>
            <w:tcW w:w="34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on business and financial management</w:t>
            </w:r>
          </w:p>
        </w:tc>
        <w:tc>
          <w:tcPr>
            <w:tcW w:w="340" w:type="dxa"/>
            <w:vAlign w:val="bottom"/>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imparted by experts. Ended in March 2022.</w:t>
            </w:r>
          </w:p>
        </w:tc>
        <w:tc>
          <w:tcPr>
            <w:tcW w:w="34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5"/>
                <w:szCs w:val="15"/>
                <w:b w:val="1"/>
                <w:bCs w:val="1"/>
                <w:color w:val="auto"/>
              </w:rPr>
              <w:t>Pacífico</w:t>
            </w:r>
          </w:p>
        </w:tc>
        <w:tc>
          <w:tcPr>
            <w:tcW w:w="40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3440" w:type="dxa"/>
            <w:vAlign w:val="bottom"/>
            <w:tcBorders>
              <w:right w:val="single" w:sz="8" w:color="auto"/>
            </w:tcBorders>
          </w:tcPr>
          <w:p>
            <w:pPr>
              <w:ind w:left="140"/>
              <w:spacing w:after="0" w:line="146" w:lineRule="exact"/>
              <w:rPr>
                <w:sz w:val="20"/>
                <w:szCs w:val="20"/>
                <w:color w:val="auto"/>
              </w:rPr>
            </w:pPr>
            <w:r>
              <w:rPr>
                <w:rFonts w:ascii="Arial" w:cs="Arial" w:eastAsia="Arial" w:hAnsi="Arial"/>
                <w:sz w:val="15"/>
                <w:szCs w:val="15"/>
                <w:b w:val="1"/>
                <w:bCs w:val="1"/>
                <w:color w:val="auto"/>
              </w:rPr>
              <w:t xml:space="preserve">ABC at Pacífico: </w:t>
            </w:r>
            <w:r>
              <w:rPr>
                <w:rFonts w:ascii="Arial" w:cs="Arial" w:eastAsia="Arial" w:hAnsi="Arial"/>
                <w:sz w:val="15"/>
                <w:szCs w:val="15"/>
                <w:color w:val="auto"/>
              </w:rPr>
              <w:t>tools for edutainment to</w:t>
            </w:r>
          </w:p>
        </w:tc>
        <w:tc>
          <w:tcPr>
            <w:tcW w:w="2680" w:type="dxa"/>
            <w:vAlign w:val="bottom"/>
            <w:tcBorders>
              <w:right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Mass media:</w:t>
            </w:r>
          </w:p>
        </w:tc>
        <w:tc>
          <w:tcPr>
            <w:tcW w:w="3820" w:type="dxa"/>
            <w:vAlign w:val="bottom"/>
            <w:tcBorders>
              <w:right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Comunidad Segura:</w:t>
            </w:r>
          </w:p>
        </w:tc>
        <w:tc>
          <w:tcPr>
            <w:tcW w:w="0" w:type="dxa"/>
            <w:vAlign w:val="bottom"/>
          </w:tcPr>
          <w:p>
            <w:pPr>
              <w:spacing w:after="0"/>
              <w:rPr>
                <w:sz w:val="1"/>
                <w:szCs w:val="1"/>
                <w:color w:val="auto"/>
              </w:rPr>
            </w:pPr>
          </w:p>
        </w:tc>
      </w:tr>
      <w:tr>
        <w:trPr>
          <w:trHeight w:val="191"/>
        </w:trPr>
        <w:tc>
          <w:tcPr>
            <w:tcW w:w="92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Seguros</w:t>
            </w:r>
          </w:p>
        </w:tc>
        <w:tc>
          <w:tcPr>
            <w:tcW w:w="400" w:type="dxa"/>
            <w:vAlign w:val="bottom"/>
          </w:tcPr>
          <w:p>
            <w:pPr>
              <w:spacing w:after="0"/>
              <w:rPr>
                <w:sz w:val="16"/>
                <w:szCs w:val="16"/>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educate people about insurance and</w:t>
            </w:r>
          </w:p>
        </w:tc>
        <w:tc>
          <w:tcPr>
            <w:tcW w:w="340" w:type="dxa"/>
            <w:vAlign w:val="bottom"/>
          </w:tcPr>
          <w:p>
            <w:pPr>
              <w:ind w:left="220"/>
              <w:spacing w:after="0"/>
              <w:rPr>
                <w:sz w:val="20"/>
                <w:szCs w:val="20"/>
                <w:color w:val="auto"/>
              </w:rPr>
            </w:pPr>
            <w:r>
              <w:rPr>
                <w:rFonts w:ascii="Arial" w:cs="Arial" w:eastAsia="Arial" w:hAnsi="Arial"/>
                <w:sz w:val="15"/>
                <w:szCs w:val="15"/>
                <w:color w:val="auto"/>
              </w:rPr>
              <w:t>●</w:t>
            </w:r>
          </w:p>
        </w:tc>
        <w:tc>
          <w:tcPr>
            <w:tcW w:w="23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5.1 million unique visitors to the</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Companies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generate awareness of its importance in</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portal of ABC at Pacifico</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University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different stages of a person’s life.</w:t>
            </w:r>
          </w:p>
        </w:tc>
        <w:tc>
          <w:tcPr>
            <w:tcW w:w="340" w:type="dxa"/>
            <w:vAlign w:val="bottom"/>
          </w:tcPr>
          <w:p>
            <w:pPr>
              <w:ind w:left="220"/>
              <w:spacing w:after="0"/>
              <w:rPr>
                <w:sz w:val="20"/>
                <w:szCs w:val="20"/>
                <w:color w:val="auto"/>
              </w:rPr>
            </w:pPr>
            <w:r>
              <w:rPr>
                <w:rFonts w:ascii="Arial" w:cs="Arial" w:eastAsia="Arial" w:hAnsi="Arial"/>
                <w:sz w:val="15"/>
                <w:szCs w:val="15"/>
                <w:color w:val="auto"/>
              </w:rPr>
              <w:t>●</w:t>
            </w:r>
          </w:p>
        </w:tc>
        <w:tc>
          <w:tcPr>
            <w:tcW w:w="23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+602,638 impacted through</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Institute</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b w:val="1"/>
                <w:bCs w:val="1"/>
                <w:color w:val="auto"/>
              </w:rPr>
              <w:t xml:space="preserve">Comunidad Segura: </w:t>
            </w:r>
            <w:r>
              <w:rPr>
                <w:rFonts w:ascii="Arial" w:cs="Arial" w:eastAsia="Arial" w:hAnsi="Arial"/>
                <w:sz w:val="15"/>
                <w:szCs w:val="15"/>
                <w:color w:val="auto"/>
              </w:rPr>
              <w:t>Prevention program</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notes published in the blog of</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BCP</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440" w:type="dxa"/>
            <w:vAlign w:val="bottom"/>
            <w:tcBorders>
              <w:right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ABC of Pacifico</w:t>
            </w:r>
          </w:p>
        </w:tc>
        <w:tc>
          <w:tcPr>
            <w:tcW w:w="3820" w:type="dxa"/>
            <w:vAlign w:val="bottom"/>
            <w:tcBorders>
              <w:right w:val="single" w:sz="8" w:color="auto"/>
            </w:tcBorders>
            <w:gridSpan w:val="2"/>
          </w:tcPr>
          <w:p>
            <w:pPr>
              <w:ind w:left="240"/>
              <w:spacing w:after="0"/>
              <w:rPr>
                <w:sz w:val="20"/>
                <w:szCs w:val="20"/>
                <w:color w:val="auto"/>
              </w:rPr>
            </w:pPr>
            <w:r>
              <w:rPr>
                <w:rFonts w:ascii="Arial" w:cs="Arial" w:eastAsia="Arial" w:hAnsi="Arial"/>
                <w:sz w:val="15"/>
                <w:szCs w:val="15"/>
                <w:color w:val="auto"/>
              </w:rPr>
              <w:t>● Mibanco</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with social impact to prevent risks in</w:t>
            </w:r>
          </w:p>
        </w:tc>
        <w:tc>
          <w:tcPr>
            <w:tcW w:w="340" w:type="dxa"/>
            <w:vAlign w:val="bottom"/>
          </w:tcPr>
          <w:p>
            <w:pPr>
              <w:ind w:left="220"/>
              <w:spacing w:after="0"/>
              <w:rPr>
                <w:sz w:val="20"/>
                <w:szCs w:val="20"/>
                <w:color w:val="auto"/>
              </w:rPr>
            </w:pPr>
            <w:r>
              <w:rPr>
                <w:rFonts w:ascii="Arial" w:cs="Arial" w:eastAsia="Arial" w:hAnsi="Arial"/>
                <w:sz w:val="15"/>
                <w:szCs w:val="15"/>
                <w:color w:val="auto"/>
              </w:rPr>
              <w:t>●</w:t>
            </w:r>
          </w:p>
        </w:tc>
        <w:tc>
          <w:tcPr>
            <w:tcW w:w="23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+900 thousand impacted with</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Foundations and civil society organizations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vulnerable communities, in partnership with</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educational content through the</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our client companies. This program’s</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video show “salado y piña”.</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objective is to build a more resilient society in</w:t>
            </w:r>
          </w:p>
        </w:tc>
        <w:tc>
          <w:tcPr>
            <w:tcW w:w="26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Training programs:</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the face of unexpected events and to</w:t>
            </w:r>
          </w:p>
        </w:tc>
        <w:tc>
          <w:tcPr>
            <w:tcW w:w="2680" w:type="dxa"/>
            <w:vAlign w:val="bottom"/>
            <w:tcBorders>
              <w:right w:val="single" w:sz="8" w:color="auto"/>
            </w:tcBorders>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generate awareness of natural risks and fire</w:t>
            </w:r>
          </w:p>
        </w:tc>
        <w:tc>
          <w:tcPr>
            <w:tcW w:w="340" w:type="dxa"/>
            <w:vAlign w:val="bottom"/>
          </w:tcPr>
          <w:p>
            <w:pPr>
              <w:ind w:left="220"/>
              <w:spacing w:after="0"/>
              <w:rPr>
                <w:sz w:val="20"/>
                <w:szCs w:val="20"/>
                <w:color w:val="auto"/>
              </w:rPr>
            </w:pPr>
            <w:r>
              <w:rPr>
                <w:rFonts w:ascii="Arial" w:cs="Arial" w:eastAsia="Arial" w:hAnsi="Arial"/>
                <w:sz w:val="15"/>
                <w:szCs w:val="15"/>
                <w:color w:val="auto"/>
              </w:rPr>
              <w:t>●</w:t>
            </w:r>
          </w:p>
        </w:tc>
        <w:tc>
          <w:tcPr>
            <w:tcW w:w="23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+12 thousand people trained</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prevention.</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through the Online Classroom in</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b w:val="1"/>
                <w:bCs w:val="1"/>
                <w:color w:val="auto"/>
              </w:rPr>
              <w:t xml:space="preserve">Protege 365: </w:t>
            </w:r>
            <w:r>
              <w:rPr>
                <w:rFonts w:ascii="Arial" w:cs="Arial" w:eastAsia="Arial" w:hAnsi="Arial"/>
                <w:sz w:val="15"/>
                <w:szCs w:val="15"/>
                <w:color w:val="auto"/>
              </w:rPr>
              <w:t>seminars, training, advice,</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the portal of ABC of Pacifico</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440" w:type="dxa"/>
            <w:vAlign w:val="bottom"/>
            <w:tcBorders>
              <w:right w:val="single" w:sz="8" w:color="auto"/>
            </w:tcBorders>
            <w:vMerge w:val="continue"/>
          </w:tcPr>
          <w:p>
            <w:pPr>
              <w:spacing w:after="0"/>
              <w:rPr>
                <w:sz w:val="15"/>
                <w:szCs w:val="15"/>
                <w:color w:val="auto"/>
              </w:rPr>
            </w:pPr>
          </w:p>
        </w:tc>
        <w:tc>
          <w:tcPr>
            <w:tcW w:w="340" w:type="dxa"/>
            <w:vAlign w:val="bottom"/>
          </w:tcPr>
          <w:p>
            <w:pPr>
              <w:ind w:left="220"/>
              <w:spacing w:after="0"/>
              <w:rPr>
                <w:sz w:val="20"/>
                <w:szCs w:val="20"/>
                <w:color w:val="auto"/>
              </w:rPr>
            </w:pPr>
            <w:r>
              <w:rPr>
                <w:rFonts w:ascii="Arial" w:cs="Arial" w:eastAsia="Arial" w:hAnsi="Arial"/>
                <w:sz w:val="15"/>
                <w:szCs w:val="15"/>
                <w:color w:val="auto"/>
              </w:rPr>
              <w:t>●</w:t>
            </w:r>
          </w:p>
        </w:tc>
        <w:tc>
          <w:tcPr>
            <w:tcW w:w="23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11,117 people trained on risk</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inspections and support material for</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prevention through Comunidad</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management systems at client companies.</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Segura</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The aim is to help our clients strengthen their</w:t>
            </w:r>
          </w:p>
        </w:tc>
        <w:tc>
          <w:tcPr>
            <w:tcW w:w="340" w:type="dxa"/>
            <w:vAlign w:val="bottom"/>
          </w:tcPr>
          <w:p>
            <w:pPr>
              <w:ind w:left="220"/>
              <w:spacing w:after="0"/>
              <w:rPr>
                <w:sz w:val="20"/>
                <w:szCs w:val="20"/>
                <w:color w:val="auto"/>
              </w:rPr>
            </w:pPr>
            <w:r>
              <w:rPr>
                <w:rFonts w:ascii="Arial" w:cs="Arial" w:eastAsia="Arial" w:hAnsi="Arial"/>
                <w:sz w:val="15"/>
                <w:szCs w:val="15"/>
                <w:color w:val="auto"/>
              </w:rPr>
              <w:t>●</w:t>
            </w:r>
          </w:p>
        </w:tc>
        <w:tc>
          <w:tcPr>
            <w:tcW w:w="23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2,197 companies trained; impact</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systems for accident prevention; reduce</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generated through advisory</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claims; and consequently, protect their</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services and training for risk</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employees.</w:t>
            </w: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prevention programs through</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Protege 365. Additionally, +36</w:t>
            </w:r>
          </w:p>
        </w:tc>
        <w:tc>
          <w:tcPr>
            <w:tcW w:w="36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thousand employees at these</w:t>
            </w:r>
          </w:p>
        </w:tc>
        <w:tc>
          <w:tcPr>
            <w:tcW w:w="36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33"/>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ind w:left="3200"/>
              <w:spacing w:after="0"/>
              <w:rPr>
                <w:sz w:val="20"/>
                <w:szCs w:val="20"/>
                <w:color w:val="auto"/>
              </w:rPr>
            </w:pPr>
            <w:r>
              <w:rPr>
                <w:rFonts w:ascii="Arial" w:cs="Arial" w:eastAsia="Arial" w:hAnsi="Arial"/>
                <w:sz w:val="15"/>
                <w:szCs w:val="15"/>
                <w:color w:val="auto"/>
                <w:w w:val="87"/>
              </w:rPr>
              <w:t>103</w:t>
            </w:r>
          </w:p>
        </w:tc>
        <w:tc>
          <w:tcPr>
            <w:tcW w:w="0" w:type="dxa"/>
            <w:vAlign w:val="bottom"/>
          </w:tcPr>
          <w:p>
            <w:pPr>
              <w:spacing w:after="0"/>
              <w:rPr>
                <w:sz w:val="1"/>
                <w:szCs w:val="1"/>
                <w:color w:val="auto"/>
              </w:rPr>
            </w:pPr>
          </w:p>
        </w:tc>
      </w:tr>
      <w:tr>
        <w:trPr>
          <w:trHeight w:val="38"/>
        </w:trPr>
        <w:tc>
          <w:tcPr>
            <w:tcW w:w="9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7" w:right="31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220345</wp:posOffset>
            </wp:positionV>
            <wp:extent cx="7152640" cy="44291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2640" cy="442912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84"/>
        </w:trPr>
        <w:tc>
          <w:tcPr>
            <w:tcW w:w="9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companies were trained with</w:t>
            </w:r>
          </w:p>
        </w:tc>
        <w:tc>
          <w:tcPr>
            <w:tcW w:w="30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tcPr>
          <w:p>
            <w:pPr>
              <w:ind w:left="60"/>
              <w:spacing w:after="0"/>
              <w:rPr>
                <w:sz w:val="20"/>
                <w:szCs w:val="20"/>
                <w:color w:val="auto"/>
              </w:rPr>
            </w:pPr>
            <w:r>
              <w:rPr>
                <w:rFonts w:ascii="Arial" w:cs="Arial" w:eastAsia="Arial" w:hAnsi="Arial"/>
                <w:sz w:val="15"/>
                <w:szCs w:val="15"/>
                <w:color w:val="auto"/>
              </w:rPr>
              <w:t>contents relative to prevention of</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occupational risks.</w:t>
            </w:r>
          </w:p>
        </w:tc>
        <w:tc>
          <w:tcPr>
            <w:tcW w:w="3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20" w:type="dxa"/>
            <w:vAlign w:val="bottom"/>
          </w:tcPr>
          <w:p>
            <w:pPr>
              <w:spacing w:after="0" w:line="146" w:lineRule="exact"/>
              <w:rPr>
                <w:sz w:val="20"/>
                <w:szCs w:val="20"/>
                <w:color w:val="auto"/>
              </w:rPr>
            </w:pPr>
            <w:r>
              <w:rPr>
                <w:rFonts w:ascii="Arial" w:cs="Arial" w:eastAsia="Arial" w:hAnsi="Arial"/>
                <w:sz w:val="15"/>
                <w:szCs w:val="15"/>
                <w:b w:val="1"/>
                <w:bCs w:val="1"/>
                <w:color w:val="auto"/>
              </w:rPr>
              <w:t>Prima AFP</w:t>
            </w:r>
          </w:p>
        </w:tc>
        <w:tc>
          <w:tcPr>
            <w:tcW w:w="40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3420" w:type="dxa"/>
            <w:vAlign w:val="bottom"/>
          </w:tcPr>
          <w:p>
            <w:pPr>
              <w:ind w:left="140"/>
              <w:spacing w:after="0" w:line="146" w:lineRule="exact"/>
              <w:rPr>
                <w:sz w:val="20"/>
                <w:szCs w:val="20"/>
                <w:color w:val="auto"/>
              </w:rPr>
            </w:pPr>
            <w:r>
              <w:rPr>
                <w:rFonts w:ascii="Arial" w:cs="Arial" w:eastAsia="Arial" w:hAnsi="Arial"/>
                <w:sz w:val="15"/>
                <w:szCs w:val="15"/>
                <w:b w:val="1"/>
                <w:bCs w:val="1"/>
                <w:color w:val="auto"/>
              </w:rPr>
              <w:t>ABC de la Cultura Previsional (ABC of</w:t>
            </w:r>
          </w:p>
        </w:tc>
        <w:tc>
          <w:tcPr>
            <w:tcW w:w="278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Mass Media:</w:t>
            </w:r>
          </w:p>
        </w:tc>
        <w:tc>
          <w:tcPr>
            <w:tcW w:w="3740" w:type="dxa"/>
            <w:vAlign w:val="bottom"/>
            <w:gridSpan w:val="2"/>
          </w:tcPr>
          <w:p>
            <w:pPr>
              <w:ind w:left="160"/>
              <w:spacing w:after="0" w:line="146" w:lineRule="exact"/>
              <w:rPr>
                <w:sz w:val="20"/>
                <w:szCs w:val="20"/>
                <w:color w:val="auto"/>
              </w:rPr>
            </w:pPr>
            <w:r>
              <w:rPr>
                <w:rFonts w:ascii="Arial" w:cs="Arial" w:eastAsia="Arial" w:hAnsi="Arial"/>
                <w:sz w:val="15"/>
                <w:szCs w:val="15"/>
                <w:color w:val="auto"/>
              </w:rPr>
              <w:t>● ABC de BCP</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tcPr>
          <w:p>
            <w:pPr>
              <w:ind w:left="140"/>
              <w:spacing w:after="0"/>
              <w:rPr>
                <w:sz w:val="20"/>
                <w:szCs w:val="20"/>
                <w:color w:val="auto"/>
              </w:rPr>
            </w:pPr>
            <w:r>
              <w:rPr>
                <w:rFonts w:ascii="Arial" w:cs="Arial" w:eastAsia="Arial" w:hAnsi="Arial"/>
                <w:sz w:val="15"/>
                <w:szCs w:val="15"/>
                <w:b w:val="1"/>
                <w:bCs w:val="1"/>
                <w:color w:val="auto"/>
              </w:rPr>
              <w:t xml:space="preserve">Pension Savings): </w:t>
            </w:r>
            <w:r>
              <w:rPr>
                <w:rFonts w:ascii="Arial" w:cs="Arial" w:eastAsia="Arial" w:hAnsi="Arial"/>
                <w:sz w:val="15"/>
                <w:szCs w:val="15"/>
                <w:color w:val="auto"/>
              </w:rPr>
              <w:t>to make more informed</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2420" w:type="dxa"/>
            <w:vAlign w:val="bottom"/>
          </w:tcPr>
          <w:p>
            <w:pPr>
              <w:ind w:left="100"/>
              <w:spacing w:after="0"/>
              <w:rPr>
                <w:sz w:val="20"/>
                <w:szCs w:val="20"/>
                <w:color w:val="auto"/>
              </w:rPr>
            </w:pPr>
            <w:r>
              <w:rPr>
                <w:rFonts w:ascii="Arial" w:cs="Arial" w:eastAsia="Arial" w:hAnsi="Arial"/>
                <w:sz w:val="15"/>
                <w:szCs w:val="15"/>
                <w:color w:val="auto"/>
              </w:rPr>
              <w:t>11.7 million effective</w:t>
            </w:r>
          </w:p>
        </w:tc>
        <w:tc>
          <w:tcPr>
            <w:tcW w:w="300" w:type="dxa"/>
            <w:vAlign w:val="bottom"/>
          </w:tcPr>
          <w:p>
            <w:pPr>
              <w:ind w:left="160"/>
              <w:spacing w:after="0"/>
              <w:rPr>
                <w:sz w:val="20"/>
                <w:szCs w:val="20"/>
                <w:color w:val="auto"/>
              </w:rPr>
            </w:pPr>
            <w:r>
              <w:rPr>
                <w:rFonts w:ascii="Arial" w:cs="Arial" w:eastAsia="Arial" w:hAnsi="Arial"/>
                <w:sz w:val="15"/>
                <w:szCs w:val="15"/>
                <w:color w:val="auto"/>
              </w:rPr>
              <w:t>●</w:t>
            </w:r>
          </w:p>
        </w:tc>
        <w:tc>
          <w:tcPr>
            <w:tcW w:w="3440" w:type="dxa"/>
            <w:vAlign w:val="bottom"/>
          </w:tcPr>
          <w:p>
            <w:pPr>
              <w:ind w:left="20"/>
              <w:spacing w:after="0"/>
              <w:rPr>
                <w:sz w:val="20"/>
                <w:szCs w:val="20"/>
                <w:color w:val="auto"/>
              </w:rPr>
            </w:pPr>
            <w:r>
              <w:rPr>
                <w:rFonts w:ascii="Arial" w:cs="Arial" w:eastAsia="Arial" w:hAnsi="Arial"/>
                <w:sz w:val="15"/>
                <w:szCs w:val="15"/>
                <w:color w:val="auto"/>
              </w:rPr>
              <w:t>Contigo Emprendedor</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financial decisions and obtain a dignified</w:t>
            </w:r>
          </w:p>
        </w:tc>
        <w:tc>
          <w:tcPr>
            <w:tcW w:w="3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visualizations of the Web series</w:t>
            </w:r>
          </w:p>
        </w:tc>
        <w:tc>
          <w:tcPr>
            <w:tcW w:w="300" w:type="dxa"/>
            <w:vAlign w:val="bottom"/>
          </w:tcPr>
          <w:p>
            <w:pPr>
              <w:ind w:left="160"/>
              <w:spacing w:after="0"/>
              <w:rPr>
                <w:sz w:val="20"/>
                <w:szCs w:val="20"/>
                <w:color w:val="auto"/>
              </w:rPr>
            </w:pPr>
            <w:r>
              <w:rPr>
                <w:rFonts w:ascii="Arial" w:cs="Arial" w:eastAsia="Arial" w:hAnsi="Arial"/>
                <w:sz w:val="15"/>
                <w:szCs w:val="15"/>
                <w:color w:val="auto"/>
              </w:rPr>
              <w:t>●</w:t>
            </w:r>
          </w:p>
        </w:tc>
        <w:tc>
          <w:tcPr>
            <w:tcW w:w="3440" w:type="dxa"/>
            <w:vAlign w:val="bottom"/>
          </w:tcPr>
          <w:p>
            <w:pPr>
              <w:ind w:left="20"/>
              <w:spacing w:after="0"/>
              <w:rPr>
                <w:sz w:val="20"/>
                <w:szCs w:val="20"/>
                <w:color w:val="auto"/>
              </w:rPr>
            </w:pPr>
            <w:r>
              <w:rPr>
                <w:rFonts w:ascii="Arial" w:cs="Arial" w:eastAsia="Arial" w:hAnsi="Arial"/>
                <w:sz w:val="15"/>
                <w:szCs w:val="15"/>
                <w:color w:val="auto"/>
              </w:rPr>
              <w:t>+15 public and private institutes at the national</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retirement</w:t>
            </w:r>
          </w:p>
        </w:tc>
        <w:tc>
          <w:tcPr>
            <w:tcW w:w="3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“El Depa”</w:t>
            </w:r>
          </w:p>
        </w:tc>
        <w:tc>
          <w:tcPr>
            <w:tcW w:w="30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5"/>
                <w:szCs w:val="15"/>
                <w:color w:val="auto"/>
              </w:rPr>
              <w:t>level.</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820" w:type="dxa"/>
            <w:vAlign w:val="bottom"/>
            <w:gridSpan w:val="2"/>
            <w:vMerge w:val="restart"/>
          </w:tcPr>
          <w:p>
            <w:pPr>
              <w:ind w:left="16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Educational Web Series:</w:t>
            </w:r>
            <w:r>
              <w:rPr>
                <w:rFonts w:ascii="Arial" w:cs="Arial" w:eastAsia="Arial" w:hAnsi="Arial"/>
                <w:sz w:val="15"/>
                <w:szCs w:val="15"/>
                <w:color w:val="auto"/>
              </w:rPr>
              <w:t xml:space="preserve"> Explains concepts</w:t>
            </w:r>
          </w:p>
        </w:tc>
        <w:tc>
          <w:tcPr>
            <w:tcW w:w="2780" w:type="dxa"/>
            <w:vAlign w:val="bottom"/>
            <w:gridSpan w:val="2"/>
          </w:tcPr>
          <w:p>
            <w:pPr>
              <w:ind w:left="240"/>
              <w:spacing w:after="0"/>
              <w:rPr>
                <w:sz w:val="20"/>
                <w:szCs w:val="20"/>
                <w:color w:val="auto"/>
              </w:rPr>
            </w:pPr>
            <w:r>
              <w:rPr>
                <w:rFonts w:ascii="Arial" w:cs="Arial" w:eastAsia="Arial" w:hAnsi="Arial"/>
                <w:sz w:val="15"/>
                <w:szCs w:val="15"/>
                <w:color w:val="auto"/>
              </w:rPr>
              <w:t>●  Educational Web “Ahorrando a</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38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100"/>
              <w:spacing w:after="0" w:line="161" w:lineRule="exact"/>
              <w:rPr>
                <w:sz w:val="20"/>
                <w:szCs w:val="20"/>
                <w:color w:val="auto"/>
              </w:rPr>
            </w:pPr>
            <w:r>
              <w:rPr>
                <w:rFonts w:ascii="Arial" w:cs="Arial" w:eastAsia="Arial" w:hAnsi="Arial"/>
                <w:sz w:val="15"/>
                <w:szCs w:val="15"/>
                <w:color w:val="auto"/>
              </w:rPr>
              <w:t>Fondo”: 114,548 visualizations</w:t>
            </w:r>
          </w:p>
        </w:tc>
        <w:tc>
          <w:tcPr>
            <w:tcW w:w="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tcPr>
          <w:p>
            <w:pPr>
              <w:ind w:left="140"/>
              <w:spacing w:after="0" w:line="185" w:lineRule="exact"/>
              <w:rPr>
                <w:sz w:val="20"/>
                <w:szCs w:val="20"/>
                <w:color w:val="auto"/>
              </w:rPr>
            </w:pPr>
            <w:r>
              <w:rPr>
                <w:rFonts w:ascii="Arial" w:cs="Arial" w:eastAsia="Arial" w:hAnsi="Arial"/>
                <w:sz w:val="13"/>
                <w:szCs w:val="13"/>
                <w:color w:val="auto"/>
              </w:rPr>
              <w:t>of the PPS</w:t>
            </w:r>
            <w:r>
              <w:rPr>
                <w:rFonts w:ascii="Arial" w:cs="Arial" w:eastAsia="Arial" w:hAnsi="Arial"/>
                <w:sz w:val="21"/>
                <w:szCs w:val="21"/>
                <w:color w:val="auto"/>
                <w:vertAlign w:val="superscript"/>
              </w:rPr>
              <w:t>28</w:t>
            </w:r>
            <w:r>
              <w:rPr>
                <w:rFonts w:ascii="Arial" w:cs="Arial" w:eastAsia="Arial" w:hAnsi="Arial"/>
                <w:sz w:val="13"/>
                <w:szCs w:val="13"/>
                <w:color w:val="auto"/>
              </w:rPr>
              <w:t xml:space="preserve"> in a fun and humorous way.</w:t>
            </w:r>
          </w:p>
        </w:tc>
        <w:tc>
          <w:tcPr>
            <w:tcW w:w="3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in the month that the program</w:t>
            </w:r>
          </w:p>
        </w:tc>
        <w:tc>
          <w:tcPr>
            <w:tcW w:w="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20" w:type="dxa"/>
            <w:vAlign w:val="bottom"/>
          </w:tcPr>
          <w:p>
            <w:pPr>
              <w:ind w:left="100"/>
              <w:spacing w:after="0" w:line="155" w:lineRule="exact"/>
              <w:rPr>
                <w:sz w:val="20"/>
                <w:szCs w:val="20"/>
                <w:color w:val="auto"/>
              </w:rPr>
            </w:pPr>
            <w:r>
              <w:rPr>
                <w:rFonts w:ascii="Arial" w:cs="Arial" w:eastAsia="Arial" w:hAnsi="Arial"/>
                <w:sz w:val="15"/>
                <w:szCs w:val="15"/>
                <w:color w:val="auto"/>
              </w:rPr>
              <w:t>was launched (Dec.22)</w:t>
            </w:r>
          </w:p>
        </w:tc>
        <w:tc>
          <w:tcPr>
            <w:tcW w:w="3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Arial" w:cs="Arial" w:eastAsia="Arial" w:hAnsi="Arial"/>
                <w:sz w:val="15"/>
                <w:szCs w:val="15"/>
                <w:b w:val="1"/>
                <w:bCs w:val="1"/>
                <w:color w:val="auto"/>
              </w:rPr>
              <w:t>Training programs:</w:t>
            </w:r>
          </w:p>
        </w:tc>
        <w:tc>
          <w:tcPr>
            <w:tcW w:w="3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+61 thousand people trained</w:t>
            </w:r>
          </w:p>
        </w:tc>
        <w:tc>
          <w:tcPr>
            <w:tcW w:w="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920" w:type="dxa"/>
            <w:vAlign w:val="bottom"/>
          </w:tcPr>
          <w:p>
            <w:pPr>
              <w:spacing w:after="0" w:line="146" w:lineRule="exact"/>
              <w:rPr>
                <w:sz w:val="20"/>
                <w:szCs w:val="20"/>
                <w:color w:val="auto"/>
              </w:rPr>
            </w:pPr>
            <w:r>
              <w:rPr>
                <w:rFonts w:ascii="Arial" w:cs="Arial" w:eastAsia="Arial" w:hAnsi="Arial"/>
                <w:sz w:val="15"/>
                <w:szCs w:val="15"/>
                <w:b w:val="1"/>
                <w:bCs w:val="1"/>
                <w:color w:val="auto"/>
              </w:rPr>
              <w:t>BCP</w:t>
            </w:r>
          </w:p>
        </w:tc>
        <w:tc>
          <w:tcPr>
            <w:tcW w:w="40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3420" w:type="dxa"/>
            <w:vAlign w:val="bottom"/>
          </w:tcPr>
          <w:p>
            <w:pPr>
              <w:ind w:left="140"/>
              <w:spacing w:after="0" w:line="146" w:lineRule="exact"/>
              <w:rPr>
                <w:sz w:val="20"/>
                <w:szCs w:val="20"/>
                <w:color w:val="auto"/>
              </w:rPr>
            </w:pPr>
            <w:r>
              <w:rPr>
                <w:rFonts w:ascii="Arial" w:cs="Arial" w:eastAsia="Arial" w:hAnsi="Arial"/>
                <w:sz w:val="15"/>
                <w:szCs w:val="15"/>
                <w:b w:val="1"/>
                <w:bCs w:val="1"/>
                <w:color w:val="auto"/>
              </w:rPr>
              <w:t>La Academia de Clientes (the Client</w:t>
            </w:r>
          </w:p>
        </w:tc>
        <w:tc>
          <w:tcPr>
            <w:tcW w:w="278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Training programs:</w:t>
            </w:r>
          </w:p>
        </w:tc>
        <w:tc>
          <w:tcPr>
            <w:tcW w:w="300" w:type="dxa"/>
            <w:vAlign w:val="bottom"/>
          </w:tcPr>
          <w:p>
            <w:pPr>
              <w:ind w:left="200"/>
              <w:spacing w:after="0" w:line="146" w:lineRule="exact"/>
              <w:rPr>
                <w:sz w:val="20"/>
                <w:szCs w:val="20"/>
                <w:color w:val="auto"/>
              </w:rPr>
            </w:pPr>
            <w:r>
              <w:rPr>
                <w:rFonts w:ascii="Arial" w:cs="Arial" w:eastAsia="Arial" w:hAnsi="Arial"/>
                <w:sz w:val="15"/>
                <w:szCs w:val="15"/>
                <w:color w:val="auto"/>
                <w:w w:val="87"/>
              </w:rPr>
              <w:t>●</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20"/>
                <w:szCs w:val="20"/>
                <w:color w:val="auto"/>
              </w:rPr>
            </w:pPr>
            <w:r>
              <w:rPr>
                <w:rFonts w:ascii="Arial" w:cs="Arial" w:eastAsia="Arial" w:hAnsi="Arial"/>
                <w:sz w:val="15"/>
                <w:szCs w:val="15"/>
                <w:b w:val="1"/>
                <w:bCs w:val="1"/>
                <w:color w:val="auto"/>
              </w:rPr>
              <w:t>Bolivia</w:t>
            </w:r>
          </w:p>
        </w:tc>
        <w:tc>
          <w:tcPr>
            <w:tcW w:w="400" w:type="dxa"/>
            <w:vAlign w:val="bottom"/>
          </w:tcPr>
          <w:p>
            <w:pPr>
              <w:spacing w:after="0"/>
              <w:rPr>
                <w:sz w:val="16"/>
                <w:szCs w:val="16"/>
                <w:color w:val="auto"/>
              </w:rPr>
            </w:pPr>
          </w:p>
        </w:tc>
        <w:tc>
          <w:tcPr>
            <w:tcW w:w="3420" w:type="dxa"/>
            <w:vAlign w:val="bottom"/>
          </w:tcPr>
          <w:p>
            <w:pPr>
              <w:ind w:left="140"/>
              <w:spacing w:after="0"/>
              <w:rPr>
                <w:sz w:val="20"/>
                <w:szCs w:val="20"/>
                <w:color w:val="auto"/>
              </w:rPr>
            </w:pPr>
            <w:r>
              <w:rPr>
                <w:rFonts w:ascii="Arial" w:cs="Arial" w:eastAsia="Arial" w:hAnsi="Arial"/>
                <w:sz w:val="15"/>
                <w:szCs w:val="15"/>
                <w:b w:val="1"/>
                <w:bCs w:val="1"/>
                <w:color w:val="auto"/>
              </w:rPr>
              <w:t xml:space="preserve">Academy): </w:t>
            </w:r>
            <w:r>
              <w:rPr>
                <w:rFonts w:ascii="Arial" w:cs="Arial" w:eastAsia="Arial" w:hAnsi="Arial"/>
                <w:sz w:val="15"/>
                <w:szCs w:val="15"/>
                <w:color w:val="auto"/>
              </w:rPr>
              <w:t>Program for digital financial</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2420" w:type="dxa"/>
            <w:vAlign w:val="bottom"/>
          </w:tcPr>
          <w:p>
            <w:pPr>
              <w:ind w:left="60"/>
              <w:spacing w:after="0"/>
              <w:rPr>
                <w:sz w:val="20"/>
                <w:szCs w:val="20"/>
                <w:color w:val="auto"/>
              </w:rPr>
            </w:pPr>
            <w:r>
              <w:rPr>
                <w:rFonts w:ascii="Arial" w:cs="Arial" w:eastAsia="Arial" w:hAnsi="Arial"/>
                <w:sz w:val="15"/>
                <w:szCs w:val="15"/>
                <w:color w:val="auto"/>
              </w:rPr>
              <w:t>19,833 clients trained through</w:t>
            </w:r>
          </w:p>
        </w:tc>
        <w:tc>
          <w:tcPr>
            <w:tcW w:w="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inclusion so that clients acquire capacities that</w:t>
            </w:r>
          </w:p>
        </w:tc>
        <w:tc>
          <w:tcPr>
            <w:tcW w:w="3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the La Academia de Clientes.</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allow them to conduct operations through digital</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2420" w:type="dxa"/>
            <w:vAlign w:val="bottom"/>
          </w:tcPr>
          <w:p>
            <w:pPr>
              <w:ind w:left="60"/>
              <w:spacing w:after="0"/>
              <w:rPr>
                <w:sz w:val="20"/>
                <w:szCs w:val="20"/>
                <w:color w:val="auto"/>
              </w:rPr>
            </w:pPr>
            <w:r>
              <w:rPr>
                <w:rFonts w:ascii="Arial" w:cs="Arial" w:eastAsia="Arial" w:hAnsi="Arial"/>
                <w:sz w:val="15"/>
                <w:szCs w:val="15"/>
                <w:color w:val="auto"/>
              </w:rPr>
              <w:t>18,790 clients trained through</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20" w:type="dxa"/>
            <w:vAlign w:val="bottom"/>
          </w:tcPr>
          <w:p>
            <w:pPr>
              <w:ind w:left="140"/>
              <w:spacing w:after="0" w:line="155" w:lineRule="exact"/>
              <w:rPr>
                <w:sz w:val="20"/>
                <w:szCs w:val="20"/>
                <w:color w:val="auto"/>
              </w:rPr>
            </w:pPr>
            <w:r>
              <w:rPr>
                <w:rFonts w:ascii="Arial" w:cs="Arial" w:eastAsia="Arial" w:hAnsi="Arial"/>
                <w:sz w:val="15"/>
                <w:szCs w:val="15"/>
                <w:color w:val="auto"/>
              </w:rPr>
              <w:t>channels.</w:t>
            </w:r>
          </w:p>
        </w:tc>
        <w:tc>
          <w:tcPr>
            <w:tcW w:w="360" w:type="dxa"/>
            <w:vAlign w:val="bottom"/>
          </w:tcPr>
          <w:p>
            <w:pPr>
              <w:spacing w:after="0"/>
              <w:rPr>
                <w:sz w:val="13"/>
                <w:szCs w:val="13"/>
                <w:color w:val="auto"/>
              </w:rPr>
            </w:pPr>
          </w:p>
        </w:tc>
        <w:tc>
          <w:tcPr>
            <w:tcW w:w="2420" w:type="dxa"/>
            <w:vAlign w:val="bottom"/>
          </w:tcPr>
          <w:p>
            <w:pPr>
              <w:ind w:left="100"/>
              <w:spacing w:after="0" w:line="155" w:lineRule="exact"/>
              <w:rPr>
                <w:sz w:val="20"/>
                <w:szCs w:val="20"/>
                <w:color w:val="auto"/>
              </w:rPr>
            </w:pPr>
            <w:r>
              <w:rPr>
                <w:rFonts w:ascii="Arial" w:cs="Arial" w:eastAsia="Arial" w:hAnsi="Arial"/>
                <w:sz w:val="15"/>
                <w:szCs w:val="15"/>
                <w:color w:val="auto"/>
              </w:rPr>
              <w:t>Descubre</w:t>
            </w:r>
          </w:p>
        </w:tc>
        <w:tc>
          <w:tcPr>
            <w:tcW w:w="3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420" w:type="dxa"/>
            <w:vAlign w:val="bottom"/>
          </w:tcPr>
          <w:p>
            <w:pPr>
              <w:ind w:left="140"/>
              <w:spacing w:after="0"/>
              <w:rPr>
                <w:sz w:val="20"/>
                <w:szCs w:val="20"/>
                <w:color w:val="auto"/>
              </w:rPr>
            </w:pPr>
            <w:r>
              <w:rPr>
                <w:rFonts w:ascii="Arial" w:cs="Arial" w:eastAsia="Arial" w:hAnsi="Arial"/>
                <w:sz w:val="15"/>
                <w:szCs w:val="15"/>
                <w:b w:val="1"/>
                <w:bCs w:val="1"/>
                <w:color w:val="auto"/>
              </w:rPr>
              <w:t xml:space="preserve">Descubre: </w:t>
            </w:r>
            <w:r>
              <w:rPr>
                <w:rFonts w:ascii="Arial" w:cs="Arial" w:eastAsia="Arial" w:hAnsi="Arial"/>
                <w:sz w:val="15"/>
                <w:szCs w:val="15"/>
                <w:color w:val="auto"/>
              </w:rPr>
              <w:t>First interactive Financial Education</w:t>
            </w:r>
          </w:p>
        </w:tc>
        <w:tc>
          <w:tcPr>
            <w:tcW w:w="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Program of interactive program of Financial</w:t>
            </w:r>
          </w:p>
        </w:tc>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Education in Bolivia developed in the</w:t>
            </w:r>
          </w:p>
        </w:tc>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framework of the Association of Banks of</w:t>
            </w:r>
          </w:p>
        </w:tc>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Bolivia (ASOBAN). Innovative tool that</w:t>
            </w:r>
          </w:p>
        </w:tc>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integrates theory and practice in a simple and</w:t>
            </w:r>
          </w:p>
        </w:tc>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fun way. The public can set goals, administer</w:t>
            </w:r>
          </w:p>
        </w:tc>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finances effectively and learn about the Bolivian</w:t>
            </w:r>
          </w:p>
        </w:tc>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financial system.</w:t>
            </w:r>
          </w:p>
        </w:tc>
        <w:tc>
          <w:tcPr>
            <w:tcW w:w="3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20" w:type="dxa"/>
            <w:vAlign w:val="bottom"/>
          </w:tcPr>
          <w:p>
            <w:pPr>
              <w:spacing w:after="0" w:line="146" w:lineRule="exact"/>
              <w:rPr>
                <w:sz w:val="20"/>
                <w:szCs w:val="20"/>
                <w:color w:val="auto"/>
              </w:rPr>
            </w:pPr>
            <w:r>
              <w:rPr>
                <w:rFonts w:ascii="Arial" w:cs="Arial" w:eastAsia="Arial" w:hAnsi="Arial"/>
                <w:sz w:val="15"/>
                <w:szCs w:val="15"/>
                <w:b w:val="1"/>
                <w:bCs w:val="1"/>
                <w:color w:val="auto"/>
              </w:rPr>
              <w:t>Mibanco</w:t>
            </w:r>
          </w:p>
        </w:tc>
        <w:tc>
          <w:tcPr>
            <w:tcW w:w="40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3420" w:type="dxa"/>
            <w:vAlign w:val="bottom"/>
          </w:tcPr>
          <w:p>
            <w:pPr>
              <w:ind w:left="140"/>
              <w:spacing w:after="0" w:line="146" w:lineRule="exact"/>
              <w:rPr>
                <w:sz w:val="20"/>
                <w:szCs w:val="20"/>
                <w:color w:val="auto"/>
              </w:rPr>
            </w:pPr>
            <w:r>
              <w:rPr>
                <w:rFonts w:ascii="Arial" w:cs="Arial" w:eastAsia="Arial" w:hAnsi="Arial"/>
                <w:sz w:val="15"/>
                <w:szCs w:val="15"/>
                <w:b w:val="1"/>
                <w:bCs w:val="1"/>
                <w:color w:val="auto"/>
              </w:rPr>
              <w:t>Basic Program for financial and digital</w:t>
            </w:r>
          </w:p>
        </w:tc>
        <w:tc>
          <w:tcPr>
            <w:tcW w:w="2780" w:type="dxa"/>
            <w:vAlign w:val="bottom"/>
            <w:gridSpan w:val="2"/>
          </w:tcPr>
          <w:p>
            <w:pPr>
              <w:ind w:left="40"/>
              <w:spacing w:after="0" w:line="146" w:lineRule="exact"/>
              <w:rPr>
                <w:sz w:val="20"/>
                <w:szCs w:val="20"/>
                <w:color w:val="auto"/>
              </w:rPr>
            </w:pPr>
            <w:r>
              <w:rPr>
                <w:rFonts w:ascii="Arial" w:cs="Arial" w:eastAsia="Arial" w:hAnsi="Arial"/>
                <w:sz w:val="15"/>
                <w:szCs w:val="15"/>
                <w:b w:val="1"/>
                <w:bCs w:val="1"/>
                <w:color w:val="auto"/>
              </w:rPr>
              <w:t>Training programs</w:t>
            </w:r>
          </w:p>
        </w:tc>
        <w:tc>
          <w:tcPr>
            <w:tcW w:w="3740" w:type="dxa"/>
            <w:vAlign w:val="bottom"/>
            <w:gridSpan w:val="2"/>
          </w:tcPr>
          <w:p>
            <w:pPr>
              <w:ind w:left="200"/>
              <w:spacing w:after="0" w:line="146" w:lineRule="exact"/>
              <w:rPr>
                <w:sz w:val="20"/>
                <w:szCs w:val="20"/>
                <w:color w:val="auto"/>
              </w:rPr>
            </w:pPr>
            <w:r>
              <w:rPr>
                <w:rFonts w:ascii="Arial" w:cs="Arial" w:eastAsia="Arial" w:hAnsi="Arial"/>
                <w:sz w:val="15"/>
                <w:szCs w:val="15"/>
                <w:color w:val="auto"/>
              </w:rPr>
              <w:t>● Asomicrofinanzas</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20"/>
                <w:szCs w:val="20"/>
                <w:color w:val="auto"/>
              </w:rPr>
            </w:pPr>
            <w:r>
              <w:rPr>
                <w:rFonts w:ascii="Arial" w:cs="Arial" w:eastAsia="Arial" w:hAnsi="Arial"/>
                <w:sz w:val="15"/>
                <w:szCs w:val="15"/>
                <w:b w:val="1"/>
                <w:bCs w:val="1"/>
                <w:color w:val="auto"/>
              </w:rPr>
              <w:t>Colombia</w:t>
            </w:r>
          </w:p>
        </w:tc>
        <w:tc>
          <w:tcPr>
            <w:tcW w:w="400" w:type="dxa"/>
            <w:vAlign w:val="bottom"/>
          </w:tcPr>
          <w:p>
            <w:pPr>
              <w:spacing w:after="0"/>
              <w:rPr>
                <w:sz w:val="16"/>
                <w:szCs w:val="16"/>
                <w:color w:val="auto"/>
              </w:rPr>
            </w:pPr>
          </w:p>
        </w:tc>
        <w:tc>
          <w:tcPr>
            <w:tcW w:w="3420" w:type="dxa"/>
            <w:vAlign w:val="bottom"/>
          </w:tcPr>
          <w:p>
            <w:pPr>
              <w:ind w:left="140"/>
              <w:spacing w:after="0"/>
              <w:rPr>
                <w:sz w:val="20"/>
                <w:szCs w:val="20"/>
                <w:color w:val="auto"/>
              </w:rPr>
            </w:pPr>
            <w:r>
              <w:rPr>
                <w:rFonts w:ascii="Arial" w:cs="Arial" w:eastAsia="Arial" w:hAnsi="Arial"/>
                <w:sz w:val="15"/>
                <w:szCs w:val="15"/>
                <w:b w:val="1"/>
                <w:bCs w:val="1"/>
                <w:color w:val="auto"/>
              </w:rPr>
              <w:t xml:space="preserve">advice: </w:t>
            </w:r>
            <w:r>
              <w:rPr>
                <w:rFonts w:ascii="Arial" w:cs="Arial" w:eastAsia="Arial" w:hAnsi="Arial"/>
                <w:sz w:val="15"/>
                <w:szCs w:val="15"/>
                <w:color w:val="auto"/>
              </w:rPr>
              <w:t>empower and strengthen the relations</w:t>
            </w:r>
          </w:p>
        </w:tc>
        <w:tc>
          <w:tcPr>
            <w:tcW w:w="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model with Sustainable practices through</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2420" w:type="dxa"/>
            <w:vAlign w:val="bottom"/>
          </w:tcPr>
          <w:p>
            <w:pPr>
              <w:ind w:left="60"/>
              <w:spacing w:after="0"/>
              <w:rPr>
                <w:sz w:val="20"/>
                <w:szCs w:val="20"/>
                <w:color w:val="auto"/>
              </w:rPr>
            </w:pPr>
            <w:r>
              <w:rPr>
                <w:rFonts w:ascii="Arial" w:cs="Arial" w:eastAsia="Arial" w:hAnsi="Arial"/>
                <w:sz w:val="15"/>
                <w:szCs w:val="15"/>
                <w:color w:val="auto"/>
              </w:rPr>
              <w:t>10,299 clients trained through</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financial education and efforts to create</w:t>
            </w:r>
          </w:p>
        </w:tc>
        <w:tc>
          <w:tcPr>
            <w:tcW w:w="3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the Basic Program for Financial</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environmental awareness. The goal is to</w:t>
            </w:r>
          </w:p>
        </w:tc>
        <w:tc>
          <w:tcPr>
            <w:tcW w:w="3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and Digital Advice</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accompany our clients as they ascend their</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2420" w:type="dxa"/>
            <w:vAlign w:val="bottom"/>
          </w:tcPr>
          <w:p>
            <w:pPr>
              <w:ind w:left="60"/>
              <w:spacing w:after="0"/>
              <w:rPr>
                <w:sz w:val="20"/>
                <w:szCs w:val="20"/>
                <w:color w:val="auto"/>
              </w:rPr>
            </w:pPr>
            <w:r>
              <w:rPr>
                <w:rFonts w:ascii="Arial" w:cs="Arial" w:eastAsia="Arial" w:hAnsi="Arial"/>
                <w:sz w:val="15"/>
                <w:szCs w:val="15"/>
                <w:color w:val="auto"/>
              </w:rPr>
              <w:t>10,840 clients trained through</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spiral of progress. Targeted clients are those</w:t>
            </w:r>
          </w:p>
        </w:tc>
        <w:tc>
          <w:tcPr>
            <w:tcW w:w="3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Miacademia del Progreso (My</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who are behind on their payments or express</w:t>
            </w:r>
          </w:p>
        </w:tc>
        <w:tc>
          <w:tcPr>
            <w:tcW w:w="3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5"/>
                <w:szCs w:val="15"/>
                <w:color w:val="auto"/>
              </w:rPr>
              <w:t>Academy for Progress)</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an interest in accessing more educational</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2420" w:type="dxa"/>
            <w:vAlign w:val="bottom"/>
          </w:tcPr>
          <w:p>
            <w:pPr>
              <w:ind w:left="60"/>
              <w:spacing w:after="0"/>
              <w:rPr>
                <w:sz w:val="20"/>
                <w:szCs w:val="20"/>
                <w:color w:val="auto"/>
              </w:rPr>
            </w:pPr>
            <w:r>
              <w:rPr>
                <w:rFonts w:ascii="Arial" w:cs="Arial" w:eastAsia="Arial" w:hAnsi="Arial"/>
                <w:sz w:val="15"/>
                <w:szCs w:val="15"/>
                <w:color w:val="auto"/>
              </w:rPr>
              <w:t>223 clients trained through Dr.</w:t>
            </w:r>
          </w:p>
        </w:tc>
        <w:tc>
          <w:tcPr>
            <w:tcW w:w="3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20" w:type="dxa"/>
            <w:vAlign w:val="bottom"/>
          </w:tcPr>
          <w:p>
            <w:pPr>
              <w:ind w:left="140"/>
              <w:spacing w:after="0" w:line="155" w:lineRule="exact"/>
              <w:rPr>
                <w:sz w:val="20"/>
                <w:szCs w:val="20"/>
                <w:color w:val="auto"/>
              </w:rPr>
            </w:pPr>
            <w:r>
              <w:rPr>
                <w:rFonts w:ascii="Arial" w:cs="Arial" w:eastAsia="Arial" w:hAnsi="Arial"/>
                <w:sz w:val="15"/>
                <w:szCs w:val="15"/>
                <w:color w:val="auto"/>
              </w:rPr>
              <w:t>resources to enrich their financial knowledge.</w:t>
            </w:r>
          </w:p>
        </w:tc>
        <w:tc>
          <w:tcPr>
            <w:tcW w:w="360" w:type="dxa"/>
            <w:vAlign w:val="bottom"/>
          </w:tcPr>
          <w:p>
            <w:pPr>
              <w:spacing w:after="0"/>
              <w:rPr>
                <w:sz w:val="13"/>
                <w:szCs w:val="13"/>
                <w:color w:val="auto"/>
              </w:rPr>
            </w:pPr>
          </w:p>
        </w:tc>
        <w:tc>
          <w:tcPr>
            <w:tcW w:w="2420" w:type="dxa"/>
            <w:vAlign w:val="bottom"/>
          </w:tcPr>
          <w:p>
            <w:pPr>
              <w:ind w:left="100"/>
              <w:spacing w:after="0" w:line="155" w:lineRule="exact"/>
              <w:rPr>
                <w:sz w:val="20"/>
                <w:szCs w:val="20"/>
                <w:color w:val="auto"/>
              </w:rPr>
            </w:pPr>
            <w:r>
              <w:rPr>
                <w:rFonts w:ascii="Arial" w:cs="Arial" w:eastAsia="Arial" w:hAnsi="Arial"/>
                <w:sz w:val="15"/>
                <w:szCs w:val="15"/>
                <w:color w:val="auto"/>
              </w:rPr>
              <w:t>Financiero (Dr. Finance)</w:t>
            </w:r>
          </w:p>
        </w:tc>
        <w:tc>
          <w:tcPr>
            <w:tcW w:w="3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420" w:type="dxa"/>
            <w:vAlign w:val="bottom"/>
          </w:tcPr>
          <w:p>
            <w:pPr>
              <w:ind w:left="140"/>
              <w:spacing w:after="0"/>
              <w:rPr>
                <w:sz w:val="20"/>
                <w:szCs w:val="20"/>
                <w:color w:val="auto"/>
              </w:rPr>
            </w:pPr>
            <w:r>
              <w:rPr>
                <w:rFonts w:ascii="Arial" w:cs="Arial" w:eastAsia="Arial" w:hAnsi="Arial"/>
                <w:sz w:val="15"/>
                <w:szCs w:val="15"/>
                <w:b w:val="1"/>
                <w:bCs w:val="1"/>
                <w:color w:val="auto"/>
              </w:rPr>
              <w:t xml:space="preserve">Miacademia del Progreso: </w:t>
            </w:r>
            <w:r>
              <w:rPr>
                <w:rFonts w:ascii="Arial" w:cs="Arial" w:eastAsia="Arial" w:hAnsi="Arial"/>
                <w:sz w:val="15"/>
                <w:szCs w:val="15"/>
                <w:color w:val="auto"/>
              </w:rPr>
              <w:t>education for</w:t>
            </w:r>
          </w:p>
        </w:tc>
        <w:tc>
          <w:tcPr>
            <w:tcW w:w="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tcPr>
          <w:p>
            <w:pPr>
              <w:ind w:left="140"/>
              <w:spacing w:after="0"/>
              <w:rPr>
                <w:sz w:val="20"/>
                <w:szCs w:val="20"/>
                <w:color w:val="auto"/>
              </w:rPr>
            </w:pPr>
            <w:r>
              <w:rPr>
                <w:rFonts w:ascii="Arial" w:cs="Arial" w:eastAsia="Arial" w:hAnsi="Arial"/>
                <w:sz w:val="15"/>
                <w:szCs w:val="15"/>
                <w:color w:val="auto"/>
              </w:rPr>
              <w:t>business management</w:t>
            </w:r>
          </w:p>
        </w:tc>
        <w:tc>
          <w:tcPr>
            <w:tcW w:w="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
        <w:spacing w:after="0"/>
        <w:rPr>
          <w:sz w:val="20"/>
          <w:szCs w:val="20"/>
          <w:color w:val="auto"/>
        </w:rPr>
      </w:pPr>
      <w:r>
        <w:rPr>
          <w:rFonts w:ascii="Arial" w:cs="Arial" w:eastAsia="Arial" w:hAnsi="Arial"/>
          <w:sz w:val="15"/>
          <w:szCs w:val="15"/>
          <w:color w:val="auto"/>
        </w:rPr>
        <w:t>To learn about the results of each of the programs at the subsidiaries, and see the comparative information from 2021, see our Financial Education Annex.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142748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74" w:lineRule="exact"/>
        <w:rPr>
          <w:sz w:val="20"/>
          <w:szCs w:val="20"/>
          <w:color w:val="auto"/>
        </w:rPr>
      </w:pPr>
    </w:p>
    <w:p>
      <w:pPr>
        <w:ind w:left="188" w:hanging="188"/>
        <w:spacing w:after="0"/>
        <w:tabs>
          <w:tab w:leader="none" w:pos="18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Private Pension System</w:t>
      </w:r>
    </w:p>
    <w:p>
      <w:pPr>
        <w:spacing w:after="0" w:line="357" w:lineRule="exact"/>
        <w:rPr>
          <w:sz w:val="20"/>
          <w:szCs w:val="20"/>
          <w:color w:val="auto"/>
        </w:rPr>
      </w:pPr>
    </w:p>
    <w:p>
      <w:pPr>
        <w:ind w:left="11008"/>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327" w:right="319" w:bottom="1440" w:gutter="0" w:footer="0" w:header="0"/>
        </w:sectPr>
      </w:pPr>
    </w:p>
    <w:bookmarkStart w:id="107" w:name="page108"/>
    <w:bookmarkEnd w:id="107"/>
    <w:p>
      <w:pPr>
        <w:ind w:right="240"/>
        <w:spacing w:after="0" w:line="267" w:lineRule="auto"/>
        <w:rPr>
          <w:sz w:val="20"/>
          <w:szCs w:val="20"/>
          <w:color w:val="auto"/>
        </w:rPr>
      </w:pPr>
      <w:r>
        <w:rPr>
          <w:rFonts w:ascii="Arial" w:cs="Arial" w:eastAsia="Arial" w:hAnsi="Arial"/>
          <w:sz w:val="24"/>
          <w:szCs w:val="24"/>
          <w:b w:val="1"/>
          <w:bCs w:val="1"/>
          <w:color w:val="auto"/>
        </w:rPr>
        <w:t>Strengthening Entrepreneurial Development and Micro, Small and Medium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43344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Financial Inclusion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413-1</w:t>
      </w:r>
    </w:p>
    <w:p>
      <w:pPr>
        <w:spacing w:after="0"/>
        <w:rPr>
          <w:sz w:val="20"/>
          <w:szCs w:val="20"/>
          <w:color w:val="auto"/>
        </w:rPr>
      </w:pPr>
      <w:r>
        <w:rPr>
          <w:rFonts w:ascii="Arial" w:cs="Arial" w:eastAsia="Arial" w:hAnsi="Arial"/>
          <w:sz w:val="15"/>
          <w:szCs w:val="15"/>
          <w:b w:val="1"/>
          <w:bCs w:val="1"/>
          <w:color w:val="auto"/>
        </w:rPr>
        <w:t>Pillar 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3B72E1"/>
        </w:rPr>
        <w:t>HELP SMALL BUSINESSES GROW</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Through our platform Help Small Businesses Grow, we seek to create an ecosystem of growth, maturity and financial resilience for micro, small and medium businesses and improve and increase the value proposition we offer them. Initiatives are implemented by our banking and microfinance subsidiaries.</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980" w:type="dxa"/>
            <w:vAlign w:val="bottom"/>
            <w:tcBorders>
              <w:top w:val="single" w:sz="8" w:color="auto"/>
              <w:left w:val="single" w:sz="8" w:color="auto"/>
              <w:bottom w:val="single" w:sz="8" w:color="8EAADB"/>
              <w:right w:val="single" w:sz="8" w:color="auto"/>
            </w:tcBorders>
          </w:tcPr>
          <w:p>
            <w:pPr>
              <w:ind w:left="80"/>
              <w:spacing w:after="0"/>
              <w:rPr>
                <w:sz w:val="20"/>
                <w:szCs w:val="20"/>
                <w:color w:val="auto"/>
              </w:rPr>
            </w:pPr>
            <w:r>
              <w:rPr>
                <w:rFonts w:ascii="Arial" w:cs="Arial" w:eastAsia="Arial" w:hAnsi="Arial"/>
                <w:sz w:val="15"/>
                <w:szCs w:val="15"/>
                <w:b w:val="1"/>
                <w:bCs w:val="1"/>
                <w:color w:val="auto"/>
              </w:rPr>
              <w:t>Subsidiary</w:t>
            </w:r>
          </w:p>
        </w:tc>
        <w:tc>
          <w:tcPr>
            <w:tcW w:w="380" w:type="dxa"/>
            <w:vAlign w:val="bottom"/>
            <w:tcBorders>
              <w:top w:val="single" w:sz="8" w:color="auto"/>
              <w:bottom w:val="single" w:sz="8" w:color="8EAADB"/>
            </w:tcBorders>
          </w:tcPr>
          <w:p>
            <w:pPr>
              <w:spacing w:after="0"/>
              <w:rPr>
                <w:sz w:val="16"/>
                <w:szCs w:val="16"/>
                <w:color w:val="auto"/>
              </w:rPr>
            </w:pPr>
          </w:p>
        </w:tc>
        <w:tc>
          <w:tcPr>
            <w:tcW w:w="1500" w:type="dxa"/>
            <w:vAlign w:val="bottom"/>
            <w:tcBorders>
              <w:top w:val="single" w:sz="8" w:color="auto"/>
              <w:bottom w:val="single" w:sz="8" w:color="8EAADB"/>
              <w:right w:val="single" w:sz="8" w:color="auto"/>
            </w:tcBorders>
          </w:tcPr>
          <w:p>
            <w:pPr>
              <w:ind w:left="220"/>
              <w:spacing w:after="0"/>
              <w:rPr>
                <w:sz w:val="20"/>
                <w:szCs w:val="20"/>
                <w:color w:val="auto"/>
              </w:rPr>
            </w:pPr>
            <w:r>
              <w:rPr>
                <w:rFonts w:ascii="Arial" w:cs="Arial" w:eastAsia="Arial" w:hAnsi="Arial"/>
                <w:sz w:val="15"/>
                <w:szCs w:val="15"/>
                <w:b w:val="1"/>
                <w:bCs w:val="1"/>
                <w:color w:val="auto"/>
              </w:rPr>
              <w:t>Initiative</w:t>
            </w:r>
          </w:p>
        </w:tc>
        <w:tc>
          <w:tcPr>
            <w:tcW w:w="2540" w:type="dxa"/>
            <w:vAlign w:val="bottom"/>
            <w:tcBorders>
              <w:top w:val="single" w:sz="8" w:color="auto"/>
              <w:bottom w:val="single" w:sz="8" w:color="8EAADB"/>
              <w:right w:val="single" w:sz="8" w:color="auto"/>
            </w:tcBorders>
          </w:tcPr>
          <w:p>
            <w:pPr>
              <w:ind w:left="540"/>
              <w:spacing w:after="0"/>
              <w:rPr>
                <w:sz w:val="20"/>
                <w:szCs w:val="20"/>
                <w:color w:val="auto"/>
              </w:rPr>
            </w:pPr>
            <w:r>
              <w:rPr>
                <w:rFonts w:ascii="Arial" w:cs="Arial" w:eastAsia="Arial" w:hAnsi="Arial"/>
                <w:sz w:val="15"/>
                <w:szCs w:val="15"/>
                <w:b w:val="1"/>
                <w:bCs w:val="1"/>
                <w:color w:val="auto"/>
              </w:rPr>
              <w:t>Achievements 2022</w:t>
            </w:r>
          </w:p>
        </w:tc>
      </w:tr>
      <w:tr>
        <w:trPr>
          <w:trHeight w:val="172"/>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BCP</w:t>
            </w:r>
          </w:p>
        </w:tc>
        <w:tc>
          <w:tcPr>
            <w:tcW w:w="380" w:type="dxa"/>
            <w:vAlign w:val="bottom"/>
          </w:tcPr>
          <w:p>
            <w:pPr>
              <w:ind w:left="80"/>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ind w:left="220"/>
              <w:spacing w:after="0"/>
              <w:rPr>
                <w:sz w:val="20"/>
                <w:szCs w:val="20"/>
                <w:color w:val="auto"/>
              </w:rPr>
            </w:pPr>
            <w:r>
              <w:rPr>
                <w:rFonts w:ascii="Arial" w:cs="Arial" w:eastAsia="Arial" w:hAnsi="Arial"/>
                <w:sz w:val="15"/>
                <w:szCs w:val="15"/>
                <w:i w:val="1"/>
                <w:iCs w:val="1"/>
                <w:color w:val="auto"/>
              </w:rPr>
              <w:t>Beyond Banking</w:t>
            </w:r>
            <w:r>
              <w:rPr>
                <w:rFonts w:ascii="Arial" w:cs="Arial" w:eastAsia="Arial" w:hAnsi="Arial"/>
                <w:sz w:val="15"/>
                <w:szCs w:val="15"/>
                <w:color w:val="auto"/>
              </w:rPr>
              <w:t>:</w:t>
            </w:r>
          </w:p>
        </w:tc>
        <w:tc>
          <w:tcPr>
            <w:tcW w:w="25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+6,500 entrepreneurs</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Tools to help</w:t>
            </w:r>
          </w:p>
        </w:tc>
        <w:tc>
          <w:tcPr>
            <w:tcW w:w="254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connected with partnerships</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businesses</w:t>
            </w:r>
          </w:p>
        </w:tc>
        <w:tc>
          <w:tcPr>
            <w:tcW w:w="254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through Beyond Banking</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formalize</w:t>
            </w:r>
          </w:p>
        </w:tc>
        <w:tc>
          <w:tcPr>
            <w:tcW w:w="25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110,690 beneficiaries through</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ind w:left="80"/>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Contigo</w:t>
            </w:r>
          </w:p>
        </w:tc>
        <w:tc>
          <w:tcPr>
            <w:tcW w:w="254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Contigo Emprendedor</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Emprendedor:</w:t>
            </w:r>
          </w:p>
        </w:tc>
        <w:tc>
          <w:tcPr>
            <w:tcW w:w="25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242424"/>
              </w:rPr>
              <w:t>2,209 new SME-Pymes clients</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volunteer</w:t>
            </w:r>
          </w:p>
        </w:tc>
        <w:tc>
          <w:tcPr>
            <w:tcW w:w="254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242424"/>
              </w:rPr>
              <w:t>through invoice discounting</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program</w:t>
            </w:r>
          </w:p>
        </w:tc>
        <w:tc>
          <w:tcPr>
            <w:tcW w:w="25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47,143 new SME-Pymes clients</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ind w:left="80"/>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Inclusion of</w:t>
            </w:r>
          </w:p>
        </w:tc>
        <w:tc>
          <w:tcPr>
            <w:tcW w:w="254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through working capital loans</w:t>
            </w: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PyMES through</w:t>
            </w:r>
          </w:p>
        </w:tc>
        <w:tc>
          <w:tcPr>
            <w:tcW w:w="2540" w:type="dxa"/>
            <w:vAlign w:val="bottom"/>
            <w:tcBorders>
              <w:right w:val="single" w:sz="8" w:color="auto"/>
            </w:tcBorders>
          </w:tcPr>
          <w:p>
            <w:pPr>
              <w:spacing w:after="0"/>
              <w:rPr>
                <w:sz w:val="15"/>
                <w:szCs w:val="15"/>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Yape, loans for</w:t>
            </w:r>
          </w:p>
        </w:tc>
        <w:tc>
          <w:tcPr>
            <w:tcW w:w="2540" w:type="dxa"/>
            <w:vAlign w:val="bottom"/>
            <w:tcBorders>
              <w:right w:val="single" w:sz="8" w:color="auto"/>
            </w:tcBorders>
          </w:tcPr>
          <w:p>
            <w:pPr>
              <w:spacing w:after="0"/>
              <w:rPr>
                <w:sz w:val="15"/>
                <w:szCs w:val="15"/>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working capital</w:t>
            </w:r>
          </w:p>
        </w:tc>
        <w:tc>
          <w:tcPr>
            <w:tcW w:w="2540" w:type="dxa"/>
            <w:vAlign w:val="bottom"/>
            <w:tcBorders>
              <w:right w:val="single" w:sz="8" w:color="auto"/>
            </w:tcBorders>
          </w:tcPr>
          <w:p>
            <w:pPr>
              <w:spacing w:after="0"/>
              <w:rPr>
                <w:sz w:val="15"/>
                <w:szCs w:val="15"/>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and invoice</w:t>
            </w:r>
          </w:p>
        </w:tc>
        <w:tc>
          <w:tcPr>
            <w:tcW w:w="2540" w:type="dxa"/>
            <w:vAlign w:val="bottom"/>
            <w:tcBorders>
              <w:right w:val="single" w:sz="8" w:color="auto"/>
            </w:tcBorders>
          </w:tcPr>
          <w:p>
            <w:pPr>
              <w:spacing w:after="0"/>
              <w:rPr>
                <w:sz w:val="15"/>
                <w:szCs w:val="15"/>
                <w:color w:val="auto"/>
              </w:rPr>
            </w:pPr>
          </w:p>
        </w:tc>
      </w:tr>
      <w:tr>
        <w:trPr>
          <w:trHeight w:val="174"/>
        </w:trPr>
        <w:tc>
          <w:tcPr>
            <w:tcW w:w="980" w:type="dxa"/>
            <w:vAlign w:val="bottom"/>
            <w:tcBorders>
              <w:left w:val="single" w:sz="8" w:color="auto"/>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discounting</w:t>
            </w:r>
          </w:p>
        </w:tc>
        <w:tc>
          <w:tcPr>
            <w:tcW w:w="2540" w:type="dxa"/>
            <w:vAlign w:val="bottom"/>
            <w:tcBorders>
              <w:bottom w:val="single" w:sz="8" w:color="auto"/>
              <w:right w:val="single" w:sz="8" w:color="auto"/>
            </w:tcBorders>
          </w:tcPr>
          <w:p>
            <w:pPr>
              <w:spacing w:after="0"/>
              <w:rPr>
                <w:sz w:val="15"/>
                <w:szCs w:val="15"/>
                <w:color w:val="auto"/>
              </w:rPr>
            </w:pPr>
          </w:p>
        </w:tc>
      </w:tr>
      <w:tr>
        <w:trPr>
          <w:trHeight w:val="164"/>
        </w:trPr>
        <w:tc>
          <w:tcPr>
            <w:tcW w:w="9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Mibanco</w:t>
            </w:r>
          </w:p>
        </w:tc>
        <w:tc>
          <w:tcPr>
            <w:tcW w:w="380" w:type="dxa"/>
            <w:vAlign w:val="bottom"/>
          </w:tcPr>
          <w:p>
            <w:pPr>
              <w:ind w:left="80"/>
              <w:spacing w:after="0" w:line="164" w:lineRule="exact"/>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ind w:left="220"/>
              <w:spacing w:after="0" w:line="164" w:lineRule="exact"/>
              <w:rPr>
                <w:sz w:val="20"/>
                <w:szCs w:val="20"/>
                <w:color w:val="auto"/>
              </w:rPr>
            </w:pPr>
            <w:r>
              <w:rPr>
                <w:rFonts w:ascii="Arial" w:cs="Arial" w:eastAsia="Arial" w:hAnsi="Arial"/>
                <w:sz w:val="15"/>
                <w:szCs w:val="15"/>
                <w:b w:val="1"/>
                <w:bCs w:val="1"/>
                <w:color w:val="4472C4"/>
              </w:rPr>
              <w:t>Juniy:</w:t>
            </w:r>
          </w:p>
        </w:tc>
        <w:tc>
          <w:tcPr>
            <w:tcW w:w="254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 10,318 disbursements through</w:t>
            </w:r>
          </w:p>
        </w:tc>
      </w:tr>
      <w:tr>
        <w:trPr>
          <w:trHeight w:val="155"/>
        </w:trPr>
        <w:tc>
          <w:tcPr>
            <w:tcW w:w="980" w:type="dxa"/>
            <w:vAlign w:val="bottom"/>
            <w:tcBorders>
              <w:left w:val="single" w:sz="8" w:color="auto"/>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Borders>
              <w:right w:val="single" w:sz="8" w:color="auto"/>
            </w:tcBorders>
          </w:tcPr>
          <w:p>
            <w:pPr>
              <w:ind w:left="240"/>
              <w:spacing w:after="0" w:line="155" w:lineRule="exact"/>
              <w:rPr>
                <w:sz w:val="20"/>
                <w:szCs w:val="20"/>
                <w:color w:val="auto"/>
              </w:rPr>
            </w:pPr>
            <w:r>
              <w:rPr>
                <w:rFonts w:ascii="Arial" w:cs="Arial" w:eastAsia="Arial" w:hAnsi="Arial"/>
                <w:sz w:val="15"/>
                <w:szCs w:val="15"/>
                <w:color w:val="auto"/>
              </w:rPr>
              <w:t>microloans</w:t>
            </w:r>
          </w:p>
        </w:tc>
        <w:tc>
          <w:tcPr>
            <w:tcW w:w="2540" w:type="dxa"/>
            <w:vAlign w:val="bottom"/>
            <w:tcBorders>
              <w:right w:val="single" w:sz="8" w:color="auto"/>
            </w:tcBorders>
          </w:tcPr>
          <w:p>
            <w:pPr>
              <w:ind w:left="180"/>
              <w:spacing w:after="0" w:line="155" w:lineRule="exact"/>
              <w:rPr>
                <w:sz w:val="20"/>
                <w:szCs w:val="20"/>
                <w:color w:val="auto"/>
              </w:rPr>
            </w:pPr>
            <w:r>
              <w:rPr>
                <w:rFonts w:ascii="Arial" w:cs="Arial" w:eastAsia="Arial" w:hAnsi="Arial"/>
                <w:sz w:val="15"/>
                <w:szCs w:val="15"/>
                <w:color w:val="auto"/>
              </w:rPr>
              <w:t>Juniy</w:t>
            </w:r>
          </w:p>
        </w:tc>
      </w:tr>
      <w:tr>
        <w:trPr>
          <w:trHeight w:val="191"/>
        </w:trPr>
        <w:tc>
          <w:tcPr>
            <w:tcW w:w="980" w:type="dxa"/>
            <w:vAlign w:val="bottom"/>
            <w:tcBorders>
              <w:left w:val="single" w:sz="8" w:color="auto"/>
              <w:right w:val="single" w:sz="8" w:color="auto"/>
            </w:tcBorders>
          </w:tcPr>
          <w:p>
            <w:pPr>
              <w:spacing w:after="0"/>
              <w:rPr>
                <w:sz w:val="16"/>
                <w:szCs w:val="16"/>
                <w:color w:val="auto"/>
              </w:rPr>
            </w:pPr>
          </w:p>
        </w:tc>
        <w:tc>
          <w:tcPr>
            <w:tcW w:w="380" w:type="dxa"/>
            <w:vAlign w:val="bottom"/>
          </w:tcPr>
          <w:p>
            <w:pPr>
              <w:ind w:left="80"/>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ind w:left="260"/>
              <w:spacing w:after="0"/>
              <w:rPr>
                <w:sz w:val="20"/>
                <w:szCs w:val="20"/>
                <w:color w:val="auto"/>
              </w:rPr>
            </w:pPr>
            <w:r>
              <w:rPr>
                <w:rFonts w:ascii="Arial" w:cs="Arial" w:eastAsia="Arial" w:hAnsi="Arial"/>
                <w:sz w:val="15"/>
                <w:szCs w:val="15"/>
                <w:b w:val="1"/>
                <w:bCs w:val="1"/>
                <w:color w:val="4472C4"/>
              </w:rPr>
              <w:t>Yevo</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 199,517 new affiliates during</w:t>
            </w:r>
          </w:p>
        </w:tc>
      </w:tr>
      <w:tr>
        <w:trPr>
          <w:trHeight w:val="174"/>
        </w:trPr>
        <w:tc>
          <w:tcPr>
            <w:tcW w:w="980" w:type="dxa"/>
            <w:vAlign w:val="bottom"/>
            <w:tcBorders>
              <w:left w:val="single" w:sz="8" w:color="auto"/>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25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5"/>
                <w:szCs w:val="15"/>
                <w:color w:val="auto"/>
              </w:rPr>
              <w:t>2022</w:t>
            </w:r>
          </w:p>
        </w:tc>
      </w:tr>
    </w:tbl>
    <w:p>
      <w:pPr>
        <w:spacing w:after="0" w:line="20" w:lineRule="exact"/>
        <w:rPr>
          <w:sz w:val="20"/>
          <w:szCs w:val="20"/>
          <w:color w:val="auto"/>
        </w:rPr>
      </w:pPr>
      <w:r>
        <w:rPr>
          <w:sz w:val="20"/>
          <w:szCs w:val="20"/>
          <w:color w:val="auto"/>
        </w:rPr>
        <w:br w:type="column"/>
      </w:r>
    </w:p>
    <w:p>
      <w:pPr>
        <w:jc w:val="center"/>
        <w:ind w:left="160"/>
        <w:spacing w:after="0" w:line="282" w:lineRule="auto"/>
        <w:rPr>
          <w:sz w:val="20"/>
          <w:szCs w:val="20"/>
          <w:color w:val="auto"/>
        </w:rPr>
      </w:pPr>
      <w:r>
        <w:rPr>
          <w:rFonts w:ascii="Arial" w:cs="Arial" w:eastAsia="Arial" w:hAnsi="Arial"/>
          <w:sz w:val="18"/>
          <w:szCs w:val="18"/>
          <w:b w:val="1"/>
          <w:bCs w:val="1"/>
          <w:i w:val="1"/>
          <w:iCs w:val="1"/>
          <w:color w:val="3B72E1"/>
        </w:rPr>
        <w:t>WE PROMOTE ACTIONS THAT REDUCE BARRIERS TO ACCESS AND STRENGTHEN BUSINESS FORMALIZATION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BCP - Contigo Emprendedor</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education program is provided at no cost to drive the businesses of thousands of micro and small business owners and is sustained by two pillars:</w:t>
      </w:r>
    </w:p>
    <w:p>
      <w:pPr>
        <w:spacing w:after="0" w:line="1" w:lineRule="exact"/>
        <w:rPr>
          <w:sz w:val="20"/>
          <w:szCs w:val="20"/>
          <w:color w:val="auto"/>
        </w:rPr>
      </w:pPr>
    </w:p>
    <w:p>
      <w:pPr>
        <w:jc w:val="both"/>
        <w:ind w:left="280" w:right="20" w:hanging="271"/>
        <w:spacing w:after="0"/>
        <w:tabs>
          <w:tab w:leader="none" w:pos="2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Talent of Credicorp’s volunteers, who provide training in finance, digitalization, security and leadership. For more details on volunteer work, consult the Corporate Volunteer section.</w:t>
      </w:r>
    </w:p>
    <w:p>
      <w:pPr>
        <w:spacing w:after="0" w:line="1" w:lineRule="exact"/>
        <w:rPr>
          <w:rFonts w:ascii="Arial" w:cs="Arial" w:eastAsia="Arial" w:hAnsi="Arial"/>
          <w:sz w:val="15"/>
          <w:szCs w:val="15"/>
          <w:color w:val="auto"/>
        </w:rPr>
      </w:pPr>
    </w:p>
    <w:p>
      <w:pPr>
        <w:ind w:left="280" w:right="20" w:hanging="271"/>
        <w:spacing w:after="0" w:line="258" w:lineRule="auto"/>
        <w:tabs>
          <w:tab w:leader="none" w:pos="2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Technological tools that help us expand our scope. We have developed a course that we impart through </w:t>
      </w:r>
      <w:r>
        <w:rPr>
          <w:rFonts w:ascii="Arial" w:cs="Arial" w:eastAsia="Arial" w:hAnsi="Arial"/>
          <w:sz w:val="15"/>
          <w:szCs w:val="15"/>
          <w:i w:val="1"/>
          <w:iCs w:val="1"/>
          <w:color w:val="auto"/>
        </w:rPr>
        <w:t>whatsapp</w:t>
      </w:r>
      <w:r>
        <w:rPr>
          <w:rFonts w:ascii="Arial" w:cs="Arial" w:eastAsia="Arial" w:hAnsi="Arial"/>
          <w:sz w:val="15"/>
          <w:szCs w:val="15"/>
          <w:color w:val="auto"/>
        </w:rPr>
        <w:t xml:space="preserve"> to be closer to small businesses.</w:t>
      </w:r>
    </w:p>
    <w:p>
      <w:pPr>
        <w:spacing w:after="0" w:line="129" w:lineRule="exact"/>
        <w:rPr>
          <w:sz w:val="20"/>
          <w:szCs w:val="20"/>
          <w:color w:val="auto"/>
        </w:rPr>
      </w:pPr>
    </w:p>
    <w:tbl>
      <w:tblPr>
        <w:tblLayout w:type="fixed"/>
        <w:tblInd w:w="290" w:type="dxa"/>
        <w:tblCellMar>
          <w:top w:w="0" w:type="dxa"/>
          <w:left w:w="0" w:type="dxa"/>
          <w:bottom w:w="0" w:type="dxa"/>
          <w:right w:w="0" w:type="dxa"/>
        </w:tblCellMar>
      </w:tblPr>
      <w:tr>
        <w:trPr>
          <w:trHeight w:val="281"/>
        </w:trPr>
        <w:tc>
          <w:tcPr>
            <w:tcW w:w="212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Accumulated</w:t>
            </w:r>
          </w:p>
        </w:tc>
      </w:tr>
      <w:tr>
        <w:trPr>
          <w:trHeight w:val="173"/>
        </w:trPr>
        <w:tc>
          <w:tcPr>
            <w:tcW w:w="212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5"/>
                <w:szCs w:val="15"/>
                <w:b w:val="1"/>
                <w:bCs w:val="1"/>
                <w:color w:val="auto"/>
              </w:rPr>
              <w:t>Indicator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c>
          <w:tcPr>
            <w:tcW w:w="1180" w:type="dxa"/>
            <w:vAlign w:val="bottom"/>
            <w:tcBorders>
              <w:right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8"/>
              </w:rPr>
              <w:t>to</w:t>
            </w:r>
          </w:p>
        </w:tc>
      </w:tr>
      <w:tr>
        <w:trPr>
          <w:trHeight w:val="203"/>
        </w:trPr>
        <w:tc>
          <w:tcPr>
            <w:tcW w:w="212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r>
      <w:tr>
        <w:trPr>
          <w:trHeight w:val="104"/>
        </w:trPr>
        <w:tc>
          <w:tcPr>
            <w:tcW w:w="2120" w:type="dxa"/>
            <w:vAlign w:val="bottom"/>
            <w:tcBorders>
              <w:left w:val="single" w:sz="8" w:color="auto"/>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r>
      <w:tr>
        <w:trPr>
          <w:trHeight w:val="233"/>
        </w:trPr>
        <w:tc>
          <w:tcPr>
            <w:tcW w:w="2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Number of beneficiaries of</w:t>
            </w:r>
          </w:p>
        </w:tc>
        <w:tc>
          <w:tcPr>
            <w:tcW w:w="7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173"/>
        </w:trPr>
        <w:tc>
          <w:tcPr>
            <w:tcW w:w="2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the Contigo Emprendedor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38,559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110,690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163,319</w:t>
            </w:r>
          </w:p>
        </w:tc>
      </w:tr>
      <w:tr>
        <w:trPr>
          <w:trHeight w:val="185"/>
        </w:trPr>
        <w:tc>
          <w:tcPr>
            <w:tcW w:w="2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program</w:t>
            </w: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r>
      <w:tr>
        <w:trPr>
          <w:trHeight w:val="58"/>
        </w:trPr>
        <w:tc>
          <w:tcPr>
            <w:tcW w:w="2120" w:type="dxa"/>
            <w:vAlign w:val="bottom"/>
            <w:tcBorders>
              <w:left w:val="single" w:sz="8" w:color="auto"/>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r>
      <w:tr>
        <w:trPr>
          <w:trHeight w:val="233"/>
        </w:trPr>
        <w:tc>
          <w:tcPr>
            <w:tcW w:w="2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Number of volunteers in the</w:t>
            </w:r>
          </w:p>
        </w:tc>
        <w:tc>
          <w:tcPr>
            <w:tcW w:w="7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173"/>
        </w:trPr>
        <w:tc>
          <w:tcPr>
            <w:tcW w:w="2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Contigo Emprendedor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662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660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1,664</w:t>
            </w:r>
          </w:p>
        </w:tc>
      </w:tr>
      <w:tr>
        <w:trPr>
          <w:trHeight w:val="185"/>
        </w:trPr>
        <w:tc>
          <w:tcPr>
            <w:tcW w:w="2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program</w:t>
            </w: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r>
      <w:tr>
        <w:trPr>
          <w:trHeight w:val="58"/>
        </w:trPr>
        <w:tc>
          <w:tcPr>
            <w:tcW w:w="2120" w:type="dxa"/>
            <w:vAlign w:val="bottom"/>
            <w:tcBorders>
              <w:left w:val="single" w:sz="8" w:color="auto"/>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r>
    </w:tbl>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b w:val="1"/>
          <w:bCs w:val="1"/>
          <w:color w:val="auto"/>
        </w:rPr>
        <w:t xml:space="preserve">Of the 110,690 people trained, </w:t>
      </w:r>
      <w:r>
        <w:rPr>
          <w:rFonts w:ascii="Arial" w:cs="Arial" w:eastAsia="Arial" w:hAnsi="Arial"/>
          <w:sz w:val="15"/>
          <w:szCs w:val="15"/>
          <w:color w:val="auto"/>
        </w:rPr>
        <w:t>nearly 50% received training through our new</w:t>
      </w:r>
      <w:r>
        <w:rPr>
          <w:rFonts w:ascii="Arial" w:cs="Arial" w:eastAsia="Arial" w:hAnsi="Arial"/>
          <w:sz w:val="15"/>
          <w:szCs w:val="15"/>
          <w:b w:val="1"/>
          <w:bCs w:val="1"/>
          <w:color w:val="auto"/>
        </w:rPr>
        <w:t xml:space="preserve"> </w:t>
      </w:r>
      <w:r>
        <w:rPr>
          <w:rFonts w:ascii="Arial" w:cs="Arial" w:eastAsia="Arial" w:hAnsi="Arial"/>
          <w:sz w:val="15"/>
          <w:szCs w:val="15"/>
          <w:color w:val="auto"/>
        </w:rPr>
        <w:t>whatsapp course and online campus while 20% were educated through partnerships with external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05" w:right="319" w:bottom="1440" w:gutter="0" w:footer="0" w:header="0"/>
        </w:sectPr>
      </w:pPr>
    </w:p>
    <w:bookmarkStart w:id="108" w:name="page109"/>
    <w:bookmarkEnd w:id="108"/>
    <w:p>
      <w:pPr>
        <w:ind w:left="8"/>
        <w:spacing w:after="0"/>
        <w:rPr>
          <w:sz w:val="20"/>
          <w:szCs w:val="20"/>
          <w:color w:val="auto"/>
        </w:rPr>
      </w:pPr>
      <w:r>
        <w:rPr>
          <w:rFonts w:ascii="Arial" w:cs="Arial" w:eastAsia="Arial" w:hAnsi="Arial"/>
          <w:sz w:val="18"/>
          <w:szCs w:val="18"/>
          <w:b w:val="1"/>
          <w:bCs w:val="1"/>
          <w:color w:val="E93CAC"/>
        </w:rPr>
        <w:t xml:space="preserve">BCP - </w:t>
      </w:r>
      <w:r>
        <w:rPr>
          <w:rFonts w:ascii="Arial" w:cs="Arial" w:eastAsia="Arial" w:hAnsi="Arial"/>
          <w:sz w:val="18"/>
          <w:szCs w:val="18"/>
          <w:b w:val="1"/>
          <w:bCs w:val="1"/>
          <w:i w:val="1"/>
          <w:iCs w:val="1"/>
          <w:color w:val="E93CAC"/>
        </w:rPr>
        <w:t>Beyond Banking</w:t>
      </w:r>
    </w:p>
    <w:p>
      <w:pPr>
        <w:spacing w:after="0" w:line="185"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E93CAC"/>
        </w:rPr>
        <w:t>CRECE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3425825" cy="21228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5825" cy="2122805"/>
                    </a:xfrm>
                    <a:prstGeom prst="rect">
                      <a:avLst/>
                    </a:prstGeom>
                    <a:noFill/>
                  </pic:spPr>
                </pic:pic>
              </a:graphicData>
            </a:graphic>
          </wp:anchor>
        </w:drawing>
      </w:r>
    </w:p>
    <w:p>
      <w:pPr>
        <w:spacing w:after="0" w:line="3"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E93CAC"/>
        </w:rPr>
        <w:t>Our One-Stop-Shop Platform for SME-Pymes</w:t>
      </w:r>
    </w:p>
    <w:p>
      <w:pPr>
        <w:spacing w:after="0" w:line="12" w:lineRule="exact"/>
        <w:rPr>
          <w:sz w:val="20"/>
          <w:szCs w:val="20"/>
          <w:color w:val="auto"/>
        </w:rPr>
      </w:pPr>
    </w:p>
    <w:p>
      <w:pPr>
        <w:jc w:val="center"/>
        <w:ind w:right="12"/>
        <w:spacing w:after="0" w:line="243" w:lineRule="auto"/>
        <w:rPr>
          <w:sz w:val="20"/>
          <w:szCs w:val="20"/>
          <w:color w:val="auto"/>
        </w:rPr>
      </w:pPr>
      <w:r>
        <w:rPr>
          <w:rFonts w:ascii="Arial" w:cs="Arial" w:eastAsia="Arial" w:hAnsi="Arial"/>
          <w:sz w:val="18"/>
          <w:szCs w:val="18"/>
          <w:b w:val="1"/>
          <w:bCs w:val="1"/>
          <w:color w:val="E93CAC"/>
        </w:rPr>
        <w:t xml:space="preserve">Objective: connect SME-Pymes to external partners that provide solutions </w:t>
      </w:r>
      <w:r>
        <w:rPr>
          <w:rFonts w:ascii="Arial" w:cs="Arial" w:eastAsia="Arial" w:hAnsi="Arial"/>
          <w:sz w:val="15"/>
          <w:szCs w:val="15"/>
          <w:b w:val="1"/>
          <w:bCs w:val="1"/>
          <w:color w:val="000000"/>
        </w:rPr>
        <w:t>(payment gateways, logistics operators, e-</w:t>
      </w:r>
    </w:p>
    <w:p>
      <w:pPr>
        <w:spacing w:after="0" w:line="1" w:lineRule="exact"/>
        <w:rPr>
          <w:sz w:val="20"/>
          <w:szCs w:val="20"/>
          <w:color w:val="auto"/>
        </w:rPr>
      </w:pPr>
    </w:p>
    <w:p>
      <w:pPr>
        <w:jc w:val="center"/>
        <w:ind w:right="12"/>
        <w:spacing w:after="0" w:line="242" w:lineRule="auto"/>
        <w:rPr>
          <w:sz w:val="20"/>
          <w:szCs w:val="20"/>
          <w:color w:val="auto"/>
        </w:rPr>
      </w:pPr>
      <w:r>
        <w:rPr>
          <w:rFonts w:ascii="Arial" w:cs="Arial" w:eastAsia="Arial" w:hAnsi="Arial"/>
          <w:sz w:val="15"/>
          <w:szCs w:val="15"/>
          <w:b w:val="1"/>
          <w:bCs w:val="1"/>
          <w:color w:val="auto"/>
        </w:rPr>
        <w:t>commerce, among others) and guidance to help businesses continue to grow</w:t>
      </w:r>
    </w:p>
    <w:tbl>
      <w:tblPr>
        <w:tblLayout w:type="fixed"/>
        <w:tblInd w:w="8" w:type="dxa"/>
        <w:tblCellMar>
          <w:top w:w="0" w:type="dxa"/>
          <w:left w:w="0" w:type="dxa"/>
          <w:bottom w:w="0" w:type="dxa"/>
          <w:right w:w="0" w:type="dxa"/>
        </w:tblCellMar>
      </w:tblPr>
      <w:tr>
        <w:trPr>
          <w:trHeight w:val="198"/>
        </w:trPr>
        <w:tc>
          <w:tcPr>
            <w:tcW w:w="4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gridSpan w:val="3"/>
          </w:tcPr>
          <w:p>
            <w:pPr>
              <w:ind w:left="380"/>
              <w:spacing w:after="0" w:line="198" w:lineRule="exact"/>
              <w:rPr>
                <w:sz w:val="20"/>
                <w:szCs w:val="20"/>
                <w:color w:val="auto"/>
              </w:rPr>
            </w:pPr>
            <w:r>
              <w:rPr>
                <w:rFonts w:ascii="Arial" w:cs="Arial" w:eastAsia="Arial" w:hAnsi="Arial"/>
                <w:sz w:val="18"/>
                <w:szCs w:val="18"/>
                <w:b w:val="1"/>
                <w:bCs w:val="1"/>
                <w:color w:val="auto"/>
              </w:rPr>
              <w:t>Initiatives 2022</w:t>
            </w: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right w:val="single" w:sz="8" w:color="auto"/>
            </w:tcBorders>
          </w:tcPr>
          <w:p>
            <w:pPr>
              <w:spacing w:after="0"/>
              <w:rPr>
                <w:sz w:val="17"/>
                <w:szCs w:val="17"/>
                <w:color w:val="auto"/>
              </w:rPr>
            </w:pPr>
          </w:p>
        </w:tc>
        <w:tc>
          <w:tcPr>
            <w:tcW w:w="2500" w:type="dxa"/>
            <w:vAlign w:val="bottom"/>
            <w:tcBorders>
              <w:top w:val="single" w:sz="8" w:color="auto"/>
              <w:bottom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Achievements 2022</w:t>
            </w: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5"/>
                <w:szCs w:val="15"/>
                <w:b w:val="1"/>
                <w:bCs w:val="1"/>
                <w:color w:val="4472C4"/>
              </w:rPr>
              <w:t>1.</w:t>
            </w:r>
          </w:p>
        </w:tc>
        <w:tc>
          <w:tcPr>
            <w:tcW w:w="880" w:type="dxa"/>
            <w:vAlign w:val="bottom"/>
          </w:tcPr>
          <w:p>
            <w:pPr>
              <w:ind w:left="320"/>
              <w:spacing w:after="0" w:line="164" w:lineRule="exact"/>
              <w:rPr>
                <w:sz w:val="20"/>
                <w:szCs w:val="20"/>
                <w:color w:val="auto"/>
              </w:rPr>
            </w:pPr>
            <w:r>
              <w:rPr>
                <w:rFonts w:ascii="Arial" w:cs="Arial" w:eastAsia="Arial" w:hAnsi="Arial"/>
                <w:sz w:val="15"/>
                <w:szCs w:val="15"/>
                <w:b w:val="1"/>
                <w:bCs w:val="1"/>
                <w:color w:val="auto"/>
              </w:rPr>
              <w:t>Focus:</w:t>
            </w:r>
          </w:p>
        </w:tc>
        <w:tc>
          <w:tcPr>
            <w:tcW w:w="820" w:type="dxa"/>
            <w:vAlign w:val="bottom"/>
            <w:gridSpan w:val="2"/>
          </w:tcPr>
          <w:p>
            <w:pPr>
              <w:ind w:left="140"/>
              <w:spacing w:after="0" w:line="164" w:lineRule="exact"/>
              <w:rPr>
                <w:sz w:val="20"/>
                <w:szCs w:val="20"/>
                <w:color w:val="auto"/>
              </w:rPr>
            </w:pPr>
            <w:r>
              <w:rPr>
                <w:rFonts w:ascii="Arial" w:cs="Arial" w:eastAsia="Arial" w:hAnsi="Arial"/>
                <w:sz w:val="15"/>
                <w:szCs w:val="15"/>
                <w:i w:val="1"/>
                <w:iCs w:val="1"/>
                <w:color w:val="auto"/>
              </w:rPr>
              <w:t>“beyond</w:t>
            </w:r>
          </w:p>
        </w:tc>
        <w:tc>
          <w:tcPr>
            <w:tcW w:w="780" w:type="dxa"/>
            <w:vAlign w:val="bottom"/>
            <w:tcBorders>
              <w:right w:val="single" w:sz="8" w:color="auto"/>
            </w:tcBorders>
            <w:gridSpan w:val="2"/>
          </w:tcPr>
          <w:p>
            <w:pPr>
              <w:jc w:val="right"/>
              <w:ind w:right="43"/>
              <w:spacing w:after="0" w:line="164" w:lineRule="exact"/>
              <w:rPr>
                <w:sz w:val="20"/>
                <w:szCs w:val="20"/>
                <w:color w:val="auto"/>
              </w:rPr>
            </w:pPr>
            <w:r>
              <w:rPr>
                <w:rFonts w:ascii="Arial" w:cs="Arial" w:eastAsia="Arial" w:hAnsi="Arial"/>
                <w:sz w:val="15"/>
                <w:szCs w:val="15"/>
                <w:i w:val="1"/>
                <w:iCs w:val="1"/>
                <w:color w:val="auto"/>
              </w:rPr>
              <w:t>banking”</w:t>
            </w:r>
          </w:p>
        </w:tc>
        <w:tc>
          <w:tcPr>
            <w:tcW w:w="250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30,000</w:t>
            </w:r>
          </w:p>
        </w:tc>
      </w:tr>
      <w:tr>
        <w:trPr>
          <w:trHeight w:val="155"/>
        </w:trPr>
        <w:tc>
          <w:tcPr>
            <w:tcW w:w="400" w:type="dxa"/>
            <w:vAlign w:val="bottom"/>
          </w:tcPr>
          <w:p>
            <w:pPr>
              <w:spacing w:after="0"/>
              <w:rPr>
                <w:sz w:val="13"/>
                <w:szCs w:val="13"/>
                <w:color w:val="auto"/>
              </w:rPr>
            </w:pPr>
          </w:p>
        </w:tc>
        <w:tc>
          <w:tcPr>
            <w:tcW w:w="880" w:type="dxa"/>
            <w:vAlign w:val="bottom"/>
          </w:tcPr>
          <w:p>
            <w:pPr>
              <w:ind w:left="40"/>
              <w:spacing w:after="0" w:line="155" w:lineRule="exact"/>
              <w:rPr>
                <w:sz w:val="20"/>
                <w:szCs w:val="20"/>
                <w:color w:val="auto"/>
              </w:rPr>
            </w:pPr>
            <w:r>
              <w:rPr>
                <w:rFonts w:ascii="Arial" w:cs="Arial" w:eastAsia="Arial" w:hAnsi="Arial"/>
                <w:sz w:val="15"/>
                <w:szCs w:val="15"/>
                <w:color w:val="auto"/>
              </w:rPr>
              <w:t>services–</w:t>
            </w:r>
          </w:p>
        </w:tc>
        <w:tc>
          <w:tcPr>
            <w:tcW w:w="82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solution</w:t>
            </w:r>
          </w:p>
        </w:tc>
        <w:tc>
          <w:tcPr>
            <w:tcW w:w="200" w:type="dxa"/>
            <w:vAlign w:val="bottom"/>
          </w:tcPr>
          <w:p>
            <w:pPr>
              <w:spacing w:after="0" w:line="155" w:lineRule="exact"/>
              <w:rPr>
                <w:sz w:val="20"/>
                <w:szCs w:val="20"/>
                <w:color w:val="auto"/>
              </w:rPr>
            </w:pPr>
            <w:r>
              <w:rPr>
                <w:rFonts w:ascii="Arial" w:cs="Arial" w:eastAsia="Arial" w:hAnsi="Arial"/>
                <w:sz w:val="15"/>
                <w:szCs w:val="15"/>
                <w:color w:val="auto"/>
              </w:rPr>
              <w:t>to</w:t>
            </w:r>
          </w:p>
        </w:tc>
        <w:tc>
          <w:tcPr>
            <w:tcW w:w="580" w:type="dxa"/>
            <w:vAlign w:val="bottom"/>
            <w:tcBorders>
              <w:right w:val="single" w:sz="8" w:color="auto"/>
            </w:tcBorders>
          </w:tcPr>
          <w:p>
            <w:pPr>
              <w:jc w:val="right"/>
              <w:ind w:right="43"/>
              <w:spacing w:after="0" w:line="155" w:lineRule="exact"/>
              <w:rPr>
                <w:sz w:val="20"/>
                <w:szCs w:val="20"/>
                <w:color w:val="auto"/>
              </w:rPr>
            </w:pPr>
            <w:r>
              <w:rPr>
                <w:rFonts w:ascii="Arial" w:cs="Arial" w:eastAsia="Arial" w:hAnsi="Arial"/>
                <w:sz w:val="15"/>
                <w:szCs w:val="15"/>
                <w:color w:val="auto"/>
              </w:rPr>
              <w:t>help</w:t>
            </w:r>
          </w:p>
        </w:tc>
        <w:tc>
          <w:tcPr>
            <w:tcW w:w="2500" w:type="dxa"/>
            <w:vAlign w:val="bottom"/>
          </w:tcPr>
          <w:p>
            <w:pPr>
              <w:jc w:val="center"/>
              <w:spacing w:after="0" w:line="155" w:lineRule="exact"/>
              <w:rPr>
                <w:sz w:val="20"/>
                <w:szCs w:val="20"/>
                <w:color w:val="auto"/>
              </w:rPr>
            </w:pPr>
            <w:r>
              <w:rPr>
                <w:rFonts w:ascii="Arial" w:cs="Arial" w:eastAsia="Arial" w:hAnsi="Arial"/>
                <w:sz w:val="15"/>
                <w:szCs w:val="15"/>
                <w:color w:val="auto"/>
              </w:rPr>
              <w:t>Visits to the platform</w:t>
            </w:r>
          </w:p>
        </w:tc>
      </w:tr>
      <w:tr>
        <w:trPr>
          <w:trHeight w:val="191"/>
        </w:trPr>
        <w:tc>
          <w:tcPr>
            <w:tcW w:w="400" w:type="dxa"/>
            <w:vAlign w:val="bottom"/>
          </w:tcPr>
          <w:p>
            <w:pPr>
              <w:spacing w:after="0"/>
              <w:rPr>
                <w:sz w:val="16"/>
                <w:szCs w:val="16"/>
                <w:color w:val="auto"/>
              </w:rPr>
            </w:pPr>
          </w:p>
        </w:tc>
        <w:tc>
          <w:tcPr>
            <w:tcW w:w="2480" w:type="dxa"/>
            <w:vAlign w:val="bottom"/>
            <w:tcBorders>
              <w:right w:val="single" w:sz="8" w:color="auto"/>
            </w:tcBorders>
            <w:gridSpan w:val="5"/>
          </w:tcPr>
          <w:p>
            <w:pPr>
              <w:ind w:left="40"/>
              <w:spacing w:after="0"/>
              <w:rPr>
                <w:sz w:val="20"/>
                <w:szCs w:val="20"/>
                <w:color w:val="auto"/>
              </w:rPr>
            </w:pPr>
            <w:r>
              <w:rPr>
                <w:rFonts w:ascii="Arial" w:cs="Arial" w:eastAsia="Arial" w:hAnsi="Arial"/>
                <w:sz w:val="15"/>
                <w:szCs w:val="15"/>
                <w:color w:val="auto"/>
              </w:rPr>
              <w:t>businesses set up charters; legal</w:t>
            </w:r>
          </w:p>
        </w:tc>
        <w:tc>
          <w:tcPr>
            <w:tcW w:w="2500" w:type="dxa"/>
            <w:vAlign w:val="bottom"/>
          </w:tcPr>
          <w:p>
            <w:pPr>
              <w:jc w:val="center"/>
              <w:spacing w:after="0"/>
              <w:rPr>
                <w:sz w:val="20"/>
                <w:szCs w:val="20"/>
                <w:color w:val="auto"/>
              </w:rPr>
            </w:pPr>
            <w:r>
              <w:rPr>
                <w:rFonts w:ascii="Arial" w:cs="Arial" w:eastAsia="Arial" w:hAnsi="Arial"/>
                <w:sz w:val="15"/>
                <w:szCs w:val="15"/>
                <w:b w:val="1"/>
                <w:bCs w:val="1"/>
                <w:color w:val="auto"/>
              </w:rPr>
              <w:t>+6,500</w:t>
            </w:r>
          </w:p>
        </w:tc>
      </w:tr>
      <w:tr>
        <w:trPr>
          <w:trHeight w:val="155"/>
        </w:trPr>
        <w:tc>
          <w:tcPr>
            <w:tcW w:w="400" w:type="dxa"/>
            <w:vAlign w:val="bottom"/>
          </w:tcPr>
          <w:p>
            <w:pPr>
              <w:spacing w:after="0"/>
              <w:rPr>
                <w:sz w:val="13"/>
                <w:szCs w:val="13"/>
                <w:color w:val="auto"/>
              </w:rPr>
            </w:pPr>
          </w:p>
        </w:tc>
        <w:tc>
          <w:tcPr>
            <w:tcW w:w="2480" w:type="dxa"/>
            <w:vAlign w:val="bottom"/>
            <w:tcBorders>
              <w:right w:val="single" w:sz="8" w:color="auto"/>
            </w:tcBorders>
            <w:gridSpan w:val="5"/>
          </w:tcPr>
          <w:p>
            <w:pPr>
              <w:ind w:left="40"/>
              <w:spacing w:after="0" w:line="155" w:lineRule="exact"/>
              <w:rPr>
                <w:sz w:val="20"/>
                <w:szCs w:val="20"/>
                <w:color w:val="auto"/>
              </w:rPr>
            </w:pPr>
            <w:r>
              <w:rPr>
                <w:rFonts w:ascii="Arial" w:cs="Arial" w:eastAsia="Arial" w:hAnsi="Arial"/>
                <w:sz w:val="15"/>
                <w:szCs w:val="15"/>
                <w:color w:val="auto"/>
              </w:rPr>
              <w:t>services through partner notaries</w:t>
            </w:r>
          </w:p>
        </w:tc>
        <w:tc>
          <w:tcPr>
            <w:tcW w:w="2500" w:type="dxa"/>
            <w:vAlign w:val="bottom"/>
          </w:tcPr>
          <w:p>
            <w:pPr>
              <w:jc w:val="center"/>
              <w:spacing w:after="0" w:line="155" w:lineRule="exact"/>
              <w:rPr>
                <w:sz w:val="20"/>
                <w:szCs w:val="20"/>
                <w:color w:val="auto"/>
              </w:rPr>
            </w:pPr>
            <w:r>
              <w:rPr>
                <w:rFonts w:ascii="Arial" w:cs="Arial" w:eastAsia="Arial" w:hAnsi="Arial"/>
                <w:sz w:val="15"/>
                <w:szCs w:val="15"/>
                <w:color w:val="auto"/>
              </w:rPr>
              <w:t>entrepreneurs affiliated, who are</w:t>
            </w:r>
          </w:p>
        </w:tc>
      </w:tr>
      <w:tr>
        <w:trPr>
          <w:trHeight w:val="191"/>
        </w:trPr>
        <w:tc>
          <w:tcPr>
            <w:tcW w:w="400" w:type="dxa"/>
            <w:vAlign w:val="bottom"/>
          </w:tcPr>
          <w:p>
            <w:pPr>
              <w:jc w:val="right"/>
              <w:spacing w:after="0"/>
              <w:rPr>
                <w:sz w:val="20"/>
                <w:szCs w:val="20"/>
                <w:color w:val="auto"/>
              </w:rPr>
            </w:pPr>
            <w:r>
              <w:rPr>
                <w:rFonts w:ascii="Arial" w:cs="Arial" w:eastAsia="Arial" w:hAnsi="Arial"/>
                <w:sz w:val="15"/>
                <w:szCs w:val="15"/>
                <w:b w:val="1"/>
                <w:bCs w:val="1"/>
                <w:color w:val="4472C4"/>
              </w:rPr>
              <w:t>2.</w:t>
            </w:r>
          </w:p>
        </w:tc>
        <w:tc>
          <w:tcPr>
            <w:tcW w:w="1300" w:type="dxa"/>
            <w:vAlign w:val="bottom"/>
            <w:gridSpan w:val="2"/>
          </w:tcPr>
          <w:p>
            <w:pPr>
              <w:ind w:left="380"/>
              <w:spacing w:after="0"/>
              <w:rPr>
                <w:sz w:val="20"/>
                <w:szCs w:val="20"/>
                <w:color w:val="auto"/>
              </w:rPr>
            </w:pPr>
            <w:r>
              <w:rPr>
                <w:rFonts w:ascii="Arial" w:cs="Arial" w:eastAsia="Arial" w:hAnsi="Arial"/>
                <w:sz w:val="15"/>
                <w:szCs w:val="15"/>
                <w:b w:val="1"/>
                <w:bCs w:val="1"/>
                <w:color w:val="auto"/>
              </w:rPr>
              <w:t>Objectives:</w:t>
            </w:r>
          </w:p>
        </w:tc>
        <w:tc>
          <w:tcPr>
            <w:tcW w:w="600" w:type="dxa"/>
            <w:vAlign w:val="bottom"/>
            <w:gridSpan w:val="2"/>
          </w:tcPr>
          <w:p>
            <w:pPr>
              <w:ind w:left="120"/>
              <w:spacing w:after="0"/>
              <w:rPr>
                <w:sz w:val="20"/>
                <w:szCs w:val="20"/>
                <w:color w:val="auto"/>
              </w:rPr>
            </w:pPr>
            <w:r>
              <w:rPr>
                <w:rFonts w:ascii="Arial" w:cs="Arial" w:eastAsia="Arial" w:hAnsi="Arial"/>
                <w:sz w:val="15"/>
                <w:szCs w:val="15"/>
                <w:color w:val="auto"/>
              </w:rPr>
              <w:t>bring</w:t>
            </w:r>
          </w:p>
        </w:tc>
        <w:tc>
          <w:tcPr>
            <w:tcW w:w="580" w:type="dxa"/>
            <w:vAlign w:val="bottom"/>
            <w:tcBorders>
              <w:right w:val="single" w:sz="8" w:color="auto"/>
            </w:tcBorders>
          </w:tcPr>
          <w:p>
            <w:pPr>
              <w:jc w:val="right"/>
              <w:ind w:right="43"/>
              <w:spacing w:after="0"/>
              <w:rPr>
                <w:sz w:val="20"/>
                <w:szCs w:val="20"/>
                <w:color w:val="auto"/>
              </w:rPr>
            </w:pPr>
            <w:r>
              <w:rPr>
                <w:rFonts w:ascii="Arial" w:cs="Arial" w:eastAsia="Arial" w:hAnsi="Arial"/>
                <w:sz w:val="15"/>
                <w:szCs w:val="15"/>
                <w:color w:val="auto"/>
              </w:rPr>
              <w:t>newly</w:t>
            </w:r>
          </w:p>
        </w:tc>
        <w:tc>
          <w:tcPr>
            <w:tcW w:w="2500" w:type="dxa"/>
            <w:vAlign w:val="bottom"/>
          </w:tcPr>
          <w:p>
            <w:pPr>
              <w:jc w:val="center"/>
              <w:spacing w:after="0"/>
              <w:rPr>
                <w:sz w:val="20"/>
                <w:szCs w:val="20"/>
                <w:color w:val="auto"/>
              </w:rPr>
            </w:pPr>
            <w:r>
              <w:rPr>
                <w:rFonts w:ascii="Arial" w:cs="Arial" w:eastAsia="Arial" w:hAnsi="Arial"/>
                <w:sz w:val="15"/>
                <w:szCs w:val="15"/>
                <w:color w:val="auto"/>
              </w:rPr>
              <w:t>connected to +20 partners that</w:t>
            </w:r>
          </w:p>
        </w:tc>
      </w:tr>
      <w:tr>
        <w:trPr>
          <w:trHeight w:val="155"/>
        </w:trPr>
        <w:tc>
          <w:tcPr>
            <w:tcW w:w="400" w:type="dxa"/>
            <w:vAlign w:val="bottom"/>
          </w:tcPr>
          <w:p>
            <w:pPr>
              <w:spacing w:after="0"/>
              <w:rPr>
                <w:sz w:val="13"/>
                <w:szCs w:val="13"/>
                <w:color w:val="auto"/>
              </w:rPr>
            </w:pPr>
          </w:p>
        </w:tc>
        <w:tc>
          <w:tcPr>
            <w:tcW w:w="1700" w:type="dxa"/>
            <w:vAlign w:val="bottom"/>
            <w:gridSpan w:val="3"/>
          </w:tcPr>
          <w:p>
            <w:pPr>
              <w:ind w:left="40"/>
              <w:spacing w:after="0" w:line="155" w:lineRule="exact"/>
              <w:rPr>
                <w:sz w:val="20"/>
                <w:szCs w:val="20"/>
                <w:color w:val="auto"/>
              </w:rPr>
            </w:pPr>
            <w:r>
              <w:rPr>
                <w:rFonts w:ascii="Arial" w:cs="Arial" w:eastAsia="Arial" w:hAnsi="Arial"/>
                <w:sz w:val="15"/>
                <w:szCs w:val="15"/>
                <w:color w:val="auto"/>
              </w:rPr>
              <w:t>chartered  businesses</w:t>
            </w:r>
          </w:p>
        </w:tc>
        <w:tc>
          <w:tcPr>
            <w:tcW w:w="780" w:type="dxa"/>
            <w:vAlign w:val="bottom"/>
            <w:tcBorders>
              <w:right w:val="single" w:sz="8" w:color="auto"/>
            </w:tcBorders>
            <w:gridSpan w:val="2"/>
          </w:tcPr>
          <w:p>
            <w:pPr>
              <w:jc w:val="right"/>
              <w:ind w:right="43"/>
              <w:spacing w:after="0" w:line="155" w:lineRule="exact"/>
              <w:rPr>
                <w:sz w:val="20"/>
                <w:szCs w:val="20"/>
                <w:color w:val="auto"/>
              </w:rPr>
            </w:pPr>
            <w:r>
              <w:rPr>
                <w:rFonts w:ascii="Arial" w:cs="Arial" w:eastAsia="Arial" w:hAnsi="Arial"/>
                <w:sz w:val="15"/>
                <w:szCs w:val="15"/>
                <w:color w:val="auto"/>
              </w:rPr>
              <w:t>closer  to</w:t>
            </w:r>
          </w:p>
        </w:tc>
        <w:tc>
          <w:tcPr>
            <w:tcW w:w="2500" w:type="dxa"/>
            <w:vAlign w:val="bottom"/>
          </w:tcPr>
          <w:p>
            <w:pPr>
              <w:jc w:val="center"/>
              <w:spacing w:after="0" w:line="155" w:lineRule="exact"/>
              <w:rPr>
                <w:sz w:val="20"/>
                <w:szCs w:val="20"/>
                <w:color w:val="auto"/>
              </w:rPr>
            </w:pPr>
            <w:r>
              <w:rPr>
                <w:rFonts w:ascii="Arial" w:cs="Arial" w:eastAsia="Arial" w:hAnsi="Arial"/>
                <w:sz w:val="15"/>
                <w:szCs w:val="15"/>
                <w:color w:val="auto"/>
              </w:rPr>
              <w:t>help them grow</w:t>
            </w:r>
          </w:p>
        </w:tc>
      </w:tr>
      <w:tr>
        <w:trPr>
          <w:trHeight w:val="191"/>
        </w:trPr>
        <w:tc>
          <w:tcPr>
            <w:tcW w:w="400" w:type="dxa"/>
            <w:vAlign w:val="bottom"/>
          </w:tcPr>
          <w:p>
            <w:pPr>
              <w:spacing w:after="0"/>
              <w:rPr>
                <w:sz w:val="16"/>
                <w:szCs w:val="16"/>
                <w:color w:val="auto"/>
              </w:rPr>
            </w:pPr>
          </w:p>
        </w:tc>
        <w:tc>
          <w:tcPr>
            <w:tcW w:w="2480" w:type="dxa"/>
            <w:vAlign w:val="bottom"/>
            <w:tcBorders>
              <w:right w:val="single" w:sz="8" w:color="auto"/>
            </w:tcBorders>
            <w:gridSpan w:val="5"/>
          </w:tcPr>
          <w:p>
            <w:pPr>
              <w:ind w:left="40"/>
              <w:spacing w:after="0"/>
              <w:rPr>
                <w:sz w:val="20"/>
                <w:szCs w:val="20"/>
                <w:color w:val="auto"/>
              </w:rPr>
            </w:pPr>
            <w:r>
              <w:rPr>
                <w:rFonts w:ascii="Arial" w:cs="Arial" w:eastAsia="Arial" w:hAnsi="Arial"/>
                <w:sz w:val="15"/>
                <w:szCs w:val="15"/>
                <w:color w:val="auto"/>
              </w:rPr>
              <w:t>the bank from their moment of</w:t>
            </w:r>
          </w:p>
        </w:tc>
        <w:tc>
          <w:tcPr>
            <w:tcW w:w="2500" w:type="dxa"/>
            <w:vAlign w:val="bottom"/>
          </w:tcPr>
          <w:p>
            <w:pPr>
              <w:jc w:val="center"/>
              <w:spacing w:after="0"/>
              <w:rPr>
                <w:sz w:val="20"/>
                <w:szCs w:val="20"/>
                <w:color w:val="auto"/>
              </w:rPr>
            </w:pPr>
            <w:r>
              <w:rPr>
                <w:rFonts w:ascii="Arial" w:cs="Arial" w:eastAsia="Arial" w:hAnsi="Arial"/>
                <w:sz w:val="15"/>
                <w:szCs w:val="15"/>
                <w:b w:val="1"/>
                <w:bCs w:val="1"/>
                <w:color w:val="auto"/>
                <w:w w:val="95"/>
              </w:rPr>
              <w:t>255</w:t>
            </w:r>
          </w:p>
        </w:tc>
      </w:tr>
      <w:tr>
        <w:trPr>
          <w:trHeight w:val="173"/>
        </w:trPr>
        <w:tc>
          <w:tcPr>
            <w:tcW w:w="400" w:type="dxa"/>
            <w:vAlign w:val="bottom"/>
          </w:tcPr>
          <w:p>
            <w:pPr>
              <w:spacing w:after="0"/>
              <w:rPr>
                <w:sz w:val="15"/>
                <w:szCs w:val="15"/>
                <w:color w:val="auto"/>
              </w:rPr>
            </w:pPr>
          </w:p>
        </w:tc>
        <w:tc>
          <w:tcPr>
            <w:tcW w:w="2480" w:type="dxa"/>
            <w:vAlign w:val="bottom"/>
            <w:tcBorders>
              <w:right w:val="single" w:sz="8" w:color="auto"/>
            </w:tcBorders>
            <w:gridSpan w:val="5"/>
          </w:tcPr>
          <w:p>
            <w:pPr>
              <w:ind w:left="40"/>
              <w:spacing w:after="0"/>
              <w:rPr>
                <w:sz w:val="20"/>
                <w:szCs w:val="20"/>
                <w:color w:val="auto"/>
              </w:rPr>
            </w:pPr>
            <w:r>
              <w:rPr>
                <w:rFonts w:ascii="Arial" w:cs="Arial" w:eastAsia="Arial" w:hAnsi="Arial"/>
                <w:sz w:val="15"/>
                <w:szCs w:val="15"/>
                <w:color w:val="auto"/>
              </w:rPr>
              <w:t>inception and offer them different</w:t>
            </w:r>
          </w:p>
        </w:tc>
        <w:tc>
          <w:tcPr>
            <w:tcW w:w="2500" w:type="dxa"/>
            <w:vAlign w:val="bottom"/>
          </w:tcPr>
          <w:p>
            <w:pPr>
              <w:jc w:val="center"/>
              <w:spacing w:after="0"/>
              <w:rPr>
                <w:sz w:val="20"/>
                <w:szCs w:val="20"/>
                <w:color w:val="auto"/>
              </w:rPr>
            </w:pPr>
            <w:r>
              <w:rPr>
                <w:rFonts w:ascii="Arial" w:cs="Arial" w:eastAsia="Arial" w:hAnsi="Arial"/>
                <w:sz w:val="15"/>
                <w:szCs w:val="15"/>
                <w:color w:val="auto"/>
              </w:rPr>
              <w:t>Entrepreneurs began the process</w:t>
            </w:r>
          </w:p>
        </w:tc>
      </w:tr>
      <w:tr>
        <w:trPr>
          <w:trHeight w:val="173"/>
        </w:trPr>
        <w:tc>
          <w:tcPr>
            <w:tcW w:w="40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5"/>
                <w:szCs w:val="15"/>
                <w:color w:val="auto"/>
              </w:rPr>
              <w:t>financial</w:t>
            </w:r>
          </w:p>
        </w:tc>
        <w:tc>
          <w:tcPr>
            <w:tcW w:w="420" w:type="dxa"/>
            <w:vAlign w:val="bottom"/>
          </w:tcPr>
          <w:p>
            <w:pPr>
              <w:ind w:left="40"/>
              <w:spacing w:after="0"/>
              <w:rPr>
                <w:sz w:val="20"/>
                <w:szCs w:val="20"/>
                <w:color w:val="auto"/>
              </w:rPr>
            </w:pPr>
            <w:r>
              <w:rPr>
                <w:rFonts w:ascii="Arial" w:cs="Arial" w:eastAsia="Arial" w:hAnsi="Arial"/>
                <w:sz w:val="15"/>
                <w:szCs w:val="15"/>
                <w:color w:val="auto"/>
              </w:rPr>
              <w:t>and</w:t>
            </w:r>
          </w:p>
        </w:tc>
        <w:tc>
          <w:tcPr>
            <w:tcW w:w="1180" w:type="dxa"/>
            <w:vAlign w:val="bottom"/>
            <w:tcBorders>
              <w:right w:val="single" w:sz="8" w:color="auto"/>
            </w:tcBorders>
            <w:gridSpan w:val="3"/>
          </w:tcPr>
          <w:p>
            <w:pPr>
              <w:jc w:val="right"/>
              <w:ind w:right="43"/>
              <w:spacing w:after="0"/>
              <w:rPr>
                <w:sz w:val="20"/>
                <w:szCs w:val="20"/>
                <w:color w:val="auto"/>
              </w:rPr>
            </w:pPr>
            <w:r>
              <w:rPr>
                <w:rFonts w:ascii="Arial" w:cs="Arial" w:eastAsia="Arial" w:hAnsi="Arial"/>
                <w:sz w:val="15"/>
                <w:szCs w:val="15"/>
                <w:color w:val="auto"/>
              </w:rPr>
              <w:t>non-financial</w:t>
            </w:r>
          </w:p>
        </w:tc>
        <w:tc>
          <w:tcPr>
            <w:tcW w:w="2500" w:type="dxa"/>
            <w:vAlign w:val="bottom"/>
          </w:tcPr>
          <w:p>
            <w:pPr>
              <w:jc w:val="center"/>
              <w:spacing w:after="0"/>
              <w:rPr>
                <w:sz w:val="20"/>
                <w:szCs w:val="20"/>
                <w:color w:val="auto"/>
              </w:rPr>
            </w:pPr>
            <w:r>
              <w:rPr>
                <w:rFonts w:ascii="Arial" w:cs="Arial" w:eastAsia="Arial" w:hAnsi="Arial"/>
                <w:sz w:val="15"/>
                <w:szCs w:val="15"/>
                <w:color w:val="auto"/>
              </w:rPr>
              <w:t>to officially charter their</w:t>
            </w:r>
          </w:p>
        </w:tc>
      </w:tr>
      <w:tr>
        <w:trPr>
          <w:trHeight w:val="185"/>
        </w:trPr>
        <w:tc>
          <w:tcPr>
            <w:tcW w:w="400" w:type="dxa"/>
            <w:vAlign w:val="bottom"/>
          </w:tcPr>
          <w:p>
            <w:pPr>
              <w:spacing w:after="0"/>
              <w:rPr>
                <w:sz w:val="16"/>
                <w:szCs w:val="16"/>
                <w:color w:val="auto"/>
              </w:rPr>
            </w:pPr>
          </w:p>
        </w:tc>
        <w:tc>
          <w:tcPr>
            <w:tcW w:w="2480" w:type="dxa"/>
            <w:vAlign w:val="bottom"/>
            <w:tcBorders>
              <w:right w:val="single" w:sz="8" w:color="auto"/>
            </w:tcBorders>
            <w:gridSpan w:val="5"/>
          </w:tcPr>
          <w:p>
            <w:pPr>
              <w:ind w:left="40"/>
              <w:spacing w:after="0"/>
              <w:rPr>
                <w:sz w:val="20"/>
                <w:szCs w:val="20"/>
                <w:color w:val="auto"/>
              </w:rPr>
            </w:pPr>
            <w:r>
              <w:rPr>
                <w:rFonts w:ascii="Arial" w:cs="Arial" w:eastAsia="Arial" w:hAnsi="Arial"/>
                <w:sz w:val="15"/>
                <w:szCs w:val="15"/>
                <w:color w:val="auto"/>
              </w:rPr>
              <w:t>solutions to grow their businesses</w:t>
            </w:r>
          </w:p>
        </w:tc>
        <w:tc>
          <w:tcPr>
            <w:tcW w:w="2500" w:type="dxa"/>
            <w:vAlign w:val="bottom"/>
          </w:tcPr>
          <w:p>
            <w:pPr>
              <w:jc w:val="center"/>
              <w:spacing w:after="0"/>
              <w:rPr>
                <w:sz w:val="20"/>
                <w:szCs w:val="20"/>
                <w:color w:val="auto"/>
              </w:rPr>
            </w:pPr>
            <w:r>
              <w:rPr>
                <w:rFonts w:ascii="Arial" w:cs="Arial" w:eastAsia="Arial" w:hAnsi="Arial"/>
                <w:sz w:val="15"/>
                <w:szCs w:val="15"/>
                <w:color w:val="auto"/>
              </w:rPr>
              <w:t>businesses through Crece</w:t>
            </w:r>
          </w:p>
        </w:tc>
      </w:tr>
      <w:tr>
        <w:trPr>
          <w:trHeight w:val="162"/>
        </w:trPr>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r>
    </w:tbl>
    <w:p>
      <w:pPr>
        <w:spacing w:after="0" w:line="15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E93CAC"/>
        </w:rPr>
        <w:t>BCP – Invoice Discounting for SME-Pymes</w:t>
      </w:r>
    </w:p>
    <w:p>
      <w:pPr>
        <w:spacing w:after="0" w:line="191"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5"/>
          <w:szCs w:val="15"/>
          <w:color w:val="auto"/>
        </w:rPr>
        <w:t>We offer financing for SME-Pymes that is supported by the ecosystem of e-billing and factoring, which benefits SME-Pymes that are not candidates for other credit products.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color w:val="auto"/>
        </w:rPr>
        <w:t>Next, we provide information on our achievements in 2022:</w:t>
      </w:r>
    </w:p>
    <w:p>
      <w:pPr>
        <w:ind w:left="308" w:hanging="100"/>
        <w:spacing w:after="0"/>
        <w:tabs>
          <w:tab w:leader="none" w:pos="308" w:val="left"/>
        </w:tabs>
        <w:numPr>
          <w:ilvl w:val="0"/>
          <w:numId w:val="56"/>
        </w:numPr>
        <w:rPr>
          <w:rFonts w:ascii="Arial" w:cs="Arial" w:eastAsia="Arial" w:hAnsi="Arial"/>
          <w:sz w:val="15"/>
          <w:szCs w:val="15"/>
          <w:color w:val="auto"/>
        </w:rPr>
      </w:pPr>
      <w:r>
        <w:rPr>
          <w:rFonts w:ascii="Arial" w:cs="Arial" w:eastAsia="Arial" w:hAnsi="Arial"/>
          <w:sz w:val="15"/>
          <w:szCs w:val="15"/>
          <w:color w:val="auto"/>
        </w:rPr>
        <w:t>S/ 1,450 million disbursed in the SME-Pyme segment.</w:t>
      </w:r>
    </w:p>
    <w:p>
      <w:pPr>
        <w:ind w:left="308" w:hanging="100"/>
        <w:spacing w:after="0"/>
        <w:tabs>
          <w:tab w:leader="none" w:pos="308" w:val="left"/>
        </w:tabs>
        <w:numPr>
          <w:ilvl w:val="0"/>
          <w:numId w:val="56"/>
        </w:numPr>
        <w:rPr>
          <w:rFonts w:ascii="Arial" w:cs="Arial" w:eastAsia="Arial" w:hAnsi="Arial"/>
          <w:sz w:val="15"/>
          <w:szCs w:val="15"/>
          <w:color w:val="auto"/>
        </w:rPr>
      </w:pPr>
      <w:r>
        <w:rPr>
          <w:rFonts w:ascii="Arial" w:cs="Arial" w:eastAsia="Arial" w:hAnsi="Arial"/>
          <w:sz w:val="15"/>
          <w:szCs w:val="15"/>
          <w:color w:val="auto"/>
        </w:rPr>
        <w:t>3,180 SME-Pymes benefitted from the invoicing product.</w:t>
      </w:r>
    </w:p>
    <w:p>
      <w:pPr>
        <w:ind w:left="308" w:right="20" w:hanging="100"/>
        <w:spacing w:after="0" w:line="258" w:lineRule="auto"/>
        <w:tabs>
          <w:tab w:leader="none" w:pos="308" w:val="left"/>
        </w:tabs>
        <w:numPr>
          <w:ilvl w:val="0"/>
          <w:numId w:val="56"/>
        </w:numPr>
        <w:rPr>
          <w:rFonts w:ascii="Arial" w:cs="Arial" w:eastAsia="Arial" w:hAnsi="Arial"/>
          <w:sz w:val="15"/>
          <w:szCs w:val="15"/>
          <w:color w:val="auto"/>
        </w:rPr>
      </w:pPr>
      <w:r>
        <w:rPr>
          <w:rFonts w:ascii="Arial" w:cs="Arial" w:eastAsia="Arial" w:hAnsi="Arial"/>
          <w:sz w:val="15"/>
          <w:szCs w:val="15"/>
          <w:color w:val="auto"/>
        </w:rPr>
        <w:t>More than 85% of clients served were not eligible for other credit formats (working capital)</w:t>
      </w:r>
    </w:p>
    <w:p>
      <w:pPr>
        <w:spacing w:after="0" w:line="148"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It is important to note that in 2022, 2,209 SME-Pymes were financially included through Invoice Discounting through a total of 11,637 loans. Next, we provide details on the loans disbursed over the last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918845</wp:posOffset>
            </wp:positionV>
            <wp:extent cx="137604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60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right="160" w:hanging="8"/>
        <w:spacing w:after="0" w:line="186" w:lineRule="auto"/>
        <w:tabs>
          <w:tab w:leader="none" w:pos="186"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Total loans for invoice discounting for SME-Pymes that were served for the first time, in accumulated total for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16"/>
        </w:trPr>
        <w:tc>
          <w:tcPr>
            <w:tcW w:w="1280" w:type="dxa"/>
            <w:vAlign w:val="bottom"/>
            <w:tcBorders>
              <w:top w:val="single" w:sz="8" w:color="auto"/>
              <w:left w:val="single" w:sz="8" w:color="auto"/>
              <w:right w:val="single" w:sz="8" w:color="auto"/>
            </w:tcBorders>
            <w:vMerge w:val="restart"/>
          </w:tcPr>
          <w:p>
            <w:pPr>
              <w:ind w:left="320"/>
              <w:spacing w:after="0"/>
              <w:rPr>
                <w:sz w:val="20"/>
                <w:szCs w:val="20"/>
                <w:color w:val="auto"/>
              </w:rPr>
            </w:pPr>
            <w:r>
              <w:rPr>
                <w:rFonts w:ascii="Arial" w:cs="Arial" w:eastAsia="Arial" w:hAnsi="Arial"/>
                <w:sz w:val="15"/>
                <w:szCs w:val="15"/>
                <w:b w:val="1"/>
                <w:bCs w:val="1"/>
                <w:color w:val="auto"/>
              </w:rPr>
              <w:t>Indicator</w:t>
            </w:r>
          </w:p>
        </w:tc>
        <w:tc>
          <w:tcPr>
            <w:tcW w:w="380" w:type="dxa"/>
            <w:vAlign w:val="bottom"/>
            <w:tcBorders>
              <w:top w:val="single" w:sz="8" w:color="auto"/>
            </w:tcBorders>
          </w:tcPr>
          <w:p>
            <w:pPr>
              <w:spacing w:after="0"/>
              <w:rPr>
                <w:sz w:val="24"/>
                <w:szCs w:val="24"/>
                <w:color w:val="auto"/>
              </w:rPr>
            </w:pPr>
          </w:p>
        </w:tc>
        <w:tc>
          <w:tcPr>
            <w:tcW w:w="1380" w:type="dxa"/>
            <w:vAlign w:val="bottom"/>
            <w:tcBorders>
              <w:top w:val="single" w:sz="8" w:color="auto"/>
              <w:right w:val="single" w:sz="8" w:color="auto"/>
            </w:tcBorders>
            <w:vMerge w:val="restart"/>
          </w:tcPr>
          <w:p>
            <w:pPr>
              <w:jc w:val="right"/>
              <w:ind w:right="643"/>
              <w:spacing w:after="0"/>
              <w:rPr>
                <w:sz w:val="20"/>
                <w:szCs w:val="20"/>
                <w:color w:val="auto"/>
              </w:rPr>
            </w:pPr>
            <w:r>
              <w:rPr>
                <w:rFonts w:ascii="Arial" w:cs="Arial" w:eastAsia="Arial" w:hAnsi="Arial"/>
                <w:sz w:val="15"/>
                <w:szCs w:val="15"/>
                <w:b w:val="1"/>
                <w:bCs w:val="1"/>
                <w:color w:val="auto"/>
              </w:rPr>
              <w:t>2021</w:t>
            </w:r>
          </w:p>
        </w:tc>
        <w:tc>
          <w:tcPr>
            <w:tcW w:w="1240" w:type="dxa"/>
            <w:vAlign w:val="bottom"/>
            <w:tcBorders>
              <w:top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5"/>
                <w:szCs w:val="15"/>
                <w:b w:val="1"/>
                <w:bCs w:val="1"/>
                <w:color w:val="auto"/>
              </w:rPr>
              <w:t>2022</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Accumulated</w:t>
            </w:r>
          </w:p>
        </w:tc>
        <w:tc>
          <w:tcPr>
            <w:tcW w:w="0" w:type="dxa"/>
            <w:vAlign w:val="bottom"/>
          </w:tcPr>
          <w:p>
            <w:pPr>
              <w:spacing w:after="0"/>
              <w:rPr>
                <w:sz w:val="1"/>
                <w:szCs w:val="1"/>
                <w:color w:val="auto"/>
              </w:rPr>
            </w:pPr>
          </w:p>
        </w:tc>
      </w:tr>
      <w:tr>
        <w:trPr>
          <w:trHeight w:val="111"/>
        </w:trPr>
        <w:tc>
          <w:tcPr>
            <w:tcW w:w="128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to 2022</w:t>
            </w:r>
          </w:p>
        </w:tc>
        <w:tc>
          <w:tcPr>
            <w:tcW w:w="0" w:type="dxa"/>
            <w:vAlign w:val="bottom"/>
          </w:tcPr>
          <w:p>
            <w:pPr>
              <w:spacing w:after="0"/>
              <w:rPr>
                <w:sz w:val="1"/>
                <w:szCs w:val="1"/>
                <w:color w:val="auto"/>
              </w:rPr>
            </w:pPr>
          </w:p>
        </w:tc>
      </w:tr>
      <w:tr>
        <w:trPr>
          <w:trHeight w:val="92"/>
        </w:trPr>
        <w:tc>
          <w:tcPr>
            <w:tcW w:w="1280" w:type="dxa"/>
            <w:vAlign w:val="bottom"/>
            <w:tcBorders>
              <w:left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Number of</w:t>
            </w:r>
          </w:p>
        </w:tc>
        <w:tc>
          <w:tcPr>
            <w:tcW w:w="380" w:type="dxa"/>
            <w:vAlign w:val="bottom"/>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loans for</w:t>
            </w:r>
          </w:p>
        </w:tc>
        <w:tc>
          <w:tcPr>
            <w:tcW w:w="38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invoice</w:t>
            </w:r>
          </w:p>
        </w:tc>
        <w:tc>
          <w:tcPr>
            <w:tcW w:w="380" w:type="dxa"/>
            <w:vAlign w:val="bottom"/>
          </w:tcPr>
          <w:p>
            <w:pPr>
              <w:spacing w:after="0"/>
              <w:rPr>
                <w:sz w:val="15"/>
                <w:szCs w:val="15"/>
                <w:color w:val="auto"/>
              </w:rPr>
            </w:pPr>
          </w:p>
        </w:tc>
        <w:tc>
          <w:tcPr>
            <w:tcW w:w="1380" w:type="dxa"/>
            <w:vAlign w:val="bottom"/>
            <w:tcBorders>
              <w:right w:val="single" w:sz="8" w:color="auto"/>
            </w:tcBorders>
            <w:vMerge w:val="restart"/>
          </w:tcPr>
          <w:p>
            <w:pPr>
              <w:jc w:val="right"/>
              <w:ind w:right="623"/>
              <w:spacing w:after="0"/>
              <w:rPr>
                <w:sz w:val="20"/>
                <w:szCs w:val="20"/>
                <w:color w:val="auto"/>
              </w:rPr>
            </w:pPr>
            <w:r>
              <w:rPr>
                <w:rFonts w:ascii="Arial" w:cs="Arial" w:eastAsia="Arial" w:hAnsi="Arial"/>
                <w:sz w:val="15"/>
                <w:szCs w:val="15"/>
                <w:color w:val="auto"/>
              </w:rPr>
              <w:t>2,425</w:t>
            </w:r>
          </w:p>
        </w:tc>
        <w:tc>
          <w:tcPr>
            <w:tcW w:w="1240" w:type="dxa"/>
            <w:vAlign w:val="bottom"/>
            <w:tcBorders>
              <w:right w:val="single" w:sz="8" w:color="auto"/>
            </w:tcBorders>
            <w:vMerge w:val="restart"/>
          </w:tcPr>
          <w:p>
            <w:pPr>
              <w:jc w:val="right"/>
              <w:ind w:right="323"/>
              <w:spacing w:after="0"/>
              <w:rPr>
                <w:sz w:val="20"/>
                <w:szCs w:val="20"/>
                <w:color w:val="auto"/>
              </w:rPr>
            </w:pPr>
            <w:r>
              <w:rPr>
                <w:rFonts w:ascii="Arial" w:cs="Arial" w:eastAsia="Arial" w:hAnsi="Arial"/>
                <w:sz w:val="15"/>
                <w:szCs w:val="15"/>
                <w:color w:val="auto"/>
              </w:rPr>
              <w:t>11,637</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14,062</w:t>
            </w:r>
          </w:p>
        </w:tc>
        <w:tc>
          <w:tcPr>
            <w:tcW w:w="0" w:type="dxa"/>
            <w:vAlign w:val="bottom"/>
          </w:tcPr>
          <w:p>
            <w:pPr>
              <w:spacing w:after="0"/>
              <w:rPr>
                <w:sz w:val="1"/>
                <w:szCs w:val="1"/>
                <w:color w:val="auto"/>
              </w:rPr>
            </w:pPr>
          </w:p>
        </w:tc>
      </w:tr>
      <w:tr>
        <w:trPr>
          <w:trHeight w:val="111"/>
        </w:trPr>
        <w:tc>
          <w:tcPr>
            <w:tcW w:w="12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discounting to</w:t>
            </w:r>
          </w:p>
        </w:tc>
        <w:tc>
          <w:tcPr>
            <w:tcW w:w="380" w:type="dxa"/>
            <w:vAlign w:val="bottom"/>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right w:val="single" w:sz="8" w:color="auto"/>
            </w:tcBorders>
            <w:vMerge w:val="continue"/>
          </w:tcPr>
          <w:p>
            <w:pPr>
              <w:spacing w:after="0"/>
              <w:rPr>
                <w:sz w:val="5"/>
                <w:szCs w:val="5"/>
                <w:color w:val="auto"/>
              </w:rPr>
            </w:pPr>
          </w:p>
        </w:tc>
        <w:tc>
          <w:tcPr>
            <w:tcW w:w="38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2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SME-Pymes -</w:t>
            </w:r>
          </w:p>
        </w:tc>
        <w:tc>
          <w:tcPr>
            <w:tcW w:w="38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80" w:type="dxa"/>
            <w:vAlign w:val="bottom"/>
            <w:tcBorders>
              <w:left w:val="single" w:sz="8" w:color="auto"/>
              <w:bottom w:val="single" w:sz="8" w:color="auto"/>
              <w:right w:val="single" w:sz="8" w:color="auto"/>
            </w:tcBorders>
          </w:tcPr>
          <w:p>
            <w:pPr>
              <w:ind w:left="80"/>
              <w:spacing w:after="0" w:line="201" w:lineRule="exact"/>
              <w:rPr>
                <w:sz w:val="20"/>
                <w:szCs w:val="20"/>
                <w:color w:val="auto"/>
              </w:rPr>
            </w:pPr>
            <w:r>
              <w:rPr>
                <w:rFonts w:ascii="Arial" w:cs="Arial" w:eastAsia="Arial" w:hAnsi="Arial"/>
                <w:sz w:val="14"/>
                <w:szCs w:val="14"/>
                <w:b w:val="1"/>
                <w:bCs w:val="1"/>
                <w:color w:val="auto"/>
              </w:rPr>
              <w:t>factoring</w:t>
            </w:r>
            <w:r>
              <w:rPr>
                <w:rFonts w:ascii="Arial" w:cs="Arial" w:eastAsia="Arial" w:hAnsi="Arial"/>
                <w:sz w:val="23"/>
                <w:szCs w:val="23"/>
                <w:b w:val="1"/>
                <w:bCs w:val="1"/>
                <w:color w:val="auto"/>
                <w:vertAlign w:val="superscript"/>
              </w:rPr>
              <w:t>29</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28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Amount (S/) of</w:t>
            </w:r>
          </w:p>
        </w:tc>
        <w:tc>
          <w:tcPr>
            <w:tcW w:w="380" w:type="dxa"/>
            <w:vAlign w:val="bottom"/>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negotiated</w:t>
            </w:r>
          </w:p>
        </w:tc>
        <w:tc>
          <w:tcPr>
            <w:tcW w:w="380" w:type="dxa"/>
            <w:vAlign w:val="bottom"/>
          </w:tcPr>
          <w:p>
            <w:pPr>
              <w:spacing w:after="0"/>
              <w:rPr>
                <w:sz w:val="15"/>
                <w:szCs w:val="15"/>
                <w:color w:val="auto"/>
              </w:rPr>
            </w:pPr>
          </w:p>
        </w:tc>
        <w:tc>
          <w:tcPr>
            <w:tcW w:w="138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60 million</w:t>
            </w:r>
          </w:p>
        </w:tc>
        <w:tc>
          <w:tcPr>
            <w:tcW w:w="12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254 million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314 million</w:t>
            </w:r>
          </w:p>
        </w:tc>
        <w:tc>
          <w:tcPr>
            <w:tcW w:w="0" w:type="dxa"/>
            <w:vAlign w:val="bottom"/>
          </w:tcPr>
          <w:p>
            <w:pPr>
              <w:spacing w:after="0"/>
              <w:rPr>
                <w:sz w:val="1"/>
                <w:szCs w:val="1"/>
                <w:color w:val="auto"/>
              </w:rPr>
            </w:pPr>
          </w:p>
        </w:tc>
      </w:tr>
      <w:tr>
        <w:trPr>
          <w:trHeight w:val="192"/>
        </w:trPr>
        <w:tc>
          <w:tcPr>
            <w:tcW w:w="1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invoices</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660" w:type="dxa"/>
            <w:vAlign w:val="bottom"/>
            <w:gridSpan w:val="2"/>
          </w:tcPr>
          <w:p>
            <w:pPr>
              <w:spacing w:after="0"/>
              <w:rPr>
                <w:sz w:val="20"/>
                <w:szCs w:val="20"/>
                <w:color w:val="auto"/>
              </w:rPr>
            </w:pPr>
            <w:r>
              <w:rPr>
                <w:rFonts w:ascii="Arial" w:cs="Arial" w:eastAsia="Arial" w:hAnsi="Arial"/>
                <w:sz w:val="15"/>
                <w:szCs w:val="15"/>
                <w:b w:val="1"/>
                <w:bCs w:val="1"/>
                <w:color w:val="E93CAC"/>
              </w:rPr>
              <w:t>Mibanco Perú - Yevo</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Yevo is a web platform that offers entrepreneurs, at no cost, access to tools and services to help them develop their business. This is driven through four pillars:</w:t>
      </w:r>
    </w:p>
    <w:p>
      <w:pPr>
        <w:spacing w:after="0" w:line="312" w:lineRule="exact"/>
        <w:rPr>
          <w:sz w:val="20"/>
          <w:szCs w:val="20"/>
          <w:color w:val="auto"/>
        </w:rPr>
      </w:pPr>
    </w:p>
    <w:p>
      <w:pPr>
        <w:jc w:val="both"/>
        <w:ind w:left="2680" w:right="20"/>
        <w:spacing w:after="0" w:line="249"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Community-</w:t>
      </w:r>
      <w:r>
        <w:rPr>
          <w:rFonts w:ascii="Arial" w:cs="Arial" w:eastAsia="Arial" w:hAnsi="Arial"/>
          <w:sz w:val="15"/>
          <w:szCs w:val="15"/>
          <w:color w:val="auto"/>
        </w:rPr>
        <w:t xml:space="preserve"> We rolled out the first community "Emprende Mujer" with exclusive content and access. In the first 30 days, we registered 1.775 affiliates; 85% active users; and 1.89 interactions per active user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-669290</wp:posOffset>
            </wp:positionV>
            <wp:extent cx="1610360" cy="1786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10360" cy="1786255"/>
                    </a:xfrm>
                    <a:prstGeom prst="rect">
                      <a:avLst/>
                    </a:prstGeom>
                    <a:noFill/>
                  </pic:spPr>
                </pic:pic>
              </a:graphicData>
            </a:graphic>
          </wp:anchor>
        </w:drawing>
      </w:r>
    </w:p>
    <w:p>
      <w:pPr>
        <w:spacing w:after="0" w:line="117" w:lineRule="exact"/>
        <w:rPr>
          <w:sz w:val="20"/>
          <w:szCs w:val="20"/>
          <w:color w:val="auto"/>
        </w:rPr>
      </w:pPr>
    </w:p>
    <w:p>
      <w:pPr>
        <w:jc w:val="both"/>
        <w:ind w:left="2680" w:right="20"/>
        <w:spacing w:after="0" w:line="246"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Education</w:t>
      </w:r>
      <w:r>
        <w:rPr>
          <w:rFonts w:ascii="Arial" w:cs="Arial" w:eastAsia="Arial" w:hAnsi="Arial"/>
          <w:sz w:val="15"/>
          <w:szCs w:val="15"/>
          <w:color w:val="auto"/>
        </w:rPr>
        <w:t xml:space="preserve"> – We implemented an LMS (</w:t>
      </w:r>
      <w:r>
        <w:rPr>
          <w:rFonts w:ascii="Arial" w:cs="Arial" w:eastAsia="Arial" w:hAnsi="Arial"/>
          <w:sz w:val="15"/>
          <w:szCs w:val="15"/>
          <w:i w:val="1"/>
          <w:iCs w:val="1"/>
          <w:color w:val="auto"/>
        </w:rPr>
        <w:t>Learning Management System</w:t>
      </w:r>
      <w:r>
        <w:rPr>
          <w:rFonts w:ascii="Arial" w:cs="Arial" w:eastAsia="Arial" w:hAnsi="Arial"/>
          <w:sz w:val="15"/>
          <w:szCs w:val="15"/>
          <w:color w:val="auto"/>
        </w:rPr>
        <w:t>) to provide educational functionalities (online courses, certificates and education forums). Plans are underway to increase the capacity of the educational content and to develop a curriculum for SME-Pymes.</w:t>
      </w:r>
    </w:p>
    <w:p>
      <w:pPr>
        <w:spacing w:after="0" w:line="142" w:lineRule="exact"/>
        <w:rPr>
          <w:sz w:val="20"/>
          <w:szCs w:val="20"/>
          <w:color w:val="auto"/>
        </w:rPr>
      </w:pPr>
    </w:p>
    <w:p>
      <w:pPr>
        <w:jc w:val="both"/>
        <w:ind w:left="2680" w:right="20"/>
        <w:spacing w:after="0" w:line="261"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Orchestration</w:t>
      </w:r>
      <w:r>
        <w:rPr>
          <w:rFonts w:ascii="Arial" w:cs="Arial" w:eastAsia="Arial" w:hAnsi="Arial"/>
          <w:sz w:val="15"/>
          <w:szCs w:val="15"/>
          <w:color w:val="auto"/>
        </w:rPr>
        <w:t xml:space="preserve"> – We have developed relations with different actors across Yevo’s ecosystem.</w:t>
      </w:r>
    </w:p>
    <w:p>
      <w:pPr>
        <w:spacing w:after="0" w:line="129" w:lineRule="exact"/>
        <w:rPr>
          <w:sz w:val="20"/>
          <w:szCs w:val="20"/>
          <w:color w:val="auto"/>
        </w:rPr>
      </w:pPr>
    </w:p>
    <w:p>
      <w:pPr>
        <w:ind w:left="2680"/>
        <w:spacing w:after="0"/>
        <w:tabs>
          <w:tab w:leader="none" w:pos="31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 xml:space="preserve">Financial Services </w:t>
      </w:r>
      <w:r>
        <w:rPr>
          <w:rFonts w:ascii="Arial" w:cs="Arial" w:eastAsia="Arial" w:hAnsi="Arial"/>
          <w:sz w:val="15"/>
          <w:szCs w:val="15"/>
          <w:color w:val="auto"/>
        </w:rPr>
        <w:t>– In 2022,</w:t>
      </w:r>
    </w:p>
    <w:p>
      <w:pPr>
        <w:spacing w:after="0" w:line="18" w:lineRule="exact"/>
        <w:rPr>
          <w:sz w:val="20"/>
          <w:szCs w:val="20"/>
          <w:color w:val="auto"/>
        </w:rPr>
      </w:pPr>
    </w:p>
    <w:p>
      <w:pPr>
        <w:ind w:left="2680"/>
        <w:spacing w:after="0"/>
        <w:tabs>
          <w:tab w:leader="none" w:pos="3240" w:val="left"/>
          <w:tab w:leader="none" w:pos="3760" w:val="left"/>
          <w:tab w:leader="none" w:pos="4240" w:val="left"/>
          <w:tab w:leader="none" w:pos="5080" w:val="left"/>
        </w:tabs>
        <w:rPr>
          <w:sz w:val="20"/>
          <w:szCs w:val="20"/>
          <w:color w:val="auto"/>
        </w:rPr>
      </w:pPr>
      <w:r>
        <w:rPr>
          <w:rFonts w:ascii="Arial" w:cs="Arial" w:eastAsia="Arial" w:hAnsi="Arial"/>
          <w:sz w:val="15"/>
          <w:szCs w:val="15"/>
          <w:color w:val="auto"/>
        </w:rPr>
        <w:t>more</w:t>
        <w:tab/>
        <w:t>than</w:t>
        <w:tab/>
        <w:t>208</w:t>
        <w:tab/>
        <w:t>thousand</w:t>
        <w:tab/>
        <w:t>loan</w:t>
      </w:r>
    </w:p>
    <w:p>
      <w:pPr>
        <w:ind w:left="2680"/>
        <w:spacing w:after="0"/>
        <w:rPr>
          <w:sz w:val="20"/>
          <w:szCs w:val="20"/>
          <w:color w:val="auto"/>
        </w:rPr>
      </w:pPr>
      <w:r>
        <w:rPr>
          <w:rFonts w:ascii="Arial" w:cs="Arial" w:eastAsia="Arial" w:hAnsi="Arial"/>
          <w:sz w:val="15"/>
          <w:szCs w:val="15"/>
          <w:color w:val="auto"/>
        </w:rPr>
        <w:t>applications  were  channeled  through</w:t>
      </w:r>
    </w:p>
    <w:p>
      <w:pPr>
        <w:ind w:left="2680"/>
        <w:spacing w:after="0"/>
        <w:rPr>
          <w:sz w:val="20"/>
          <w:szCs w:val="20"/>
          <w:color w:val="auto"/>
        </w:rPr>
      </w:pPr>
      <w:r>
        <w:rPr>
          <w:rFonts w:ascii="Arial" w:cs="Arial" w:eastAsia="Arial" w:hAnsi="Arial"/>
          <w:sz w:val="15"/>
          <w:szCs w:val="15"/>
          <w:color w:val="auto"/>
        </w:rPr>
        <w:t>Yevo  for  more  than  S/13  million  in</w:t>
      </w:r>
    </w:p>
    <w:p>
      <w:pPr>
        <w:ind w:left="2680"/>
        <w:spacing w:after="0"/>
        <w:rPr>
          <w:sz w:val="20"/>
          <w:szCs w:val="20"/>
          <w:color w:val="auto"/>
        </w:rPr>
      </w:pPr>
      <w:r>
        <w:rPr>
          <w:rFonts w:ascii="Arial" w:cs="Arial" w:eastAsia="Arial" w:hAnsi="Arial"/>
          <w:sz w:val="15"/>
          <w:szCs w:val="15"/>
          <w:color w:val="auto"/>
        </w:rPr>
        <w:t>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285" w:right="31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b w:val="1"/>
          <w:bCs w:val="1"/>
          <w:color w:val="E93CAC"/>
        </w:rPr>
        <w:t>Mibanco Perú – Juniy</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objective of this pilot for a business model is to ensure the financial sustainability of the micro segment (Loans &lt; S/ 5,000) through a service model with remote and digital channels that eliminate the need for branches and physical documents, which makes the loan disbursement process more agile and safe for our clients.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54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5"/>
                <w:szCs w:val="15"/>
                <w:b w:val="1"/>
                <w:bCs w:val="1"/>
                <w:color w:val="auto"/>
              </w:rPr>
              <w:t>Indicator</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35"/>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54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N° of disbursements</w:t>
            </w:r>
          </w:p>
        </w:tc>
        <w:tc>
          <w:tcPr>
            <w:tcW w:w="1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8,295</w:t>
            </w:r>
          </w:p>
        </w:tc>
        <w:tc>
          <w:tcPr>
            <w:tcW w:w="14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10,496</w:t>
            </w:r>
          </w:p>
        </w:tc>
        <w:tc>
          <w:tcPr>
            <w:tcW w:w="0" w:type="dxa"/>
            <w:vAlign w:val="bottom"/>
          </w:tcPr>
          <w:p>
            <w:pPr>
              <w:spacing w:after="0"/>
              <w:rPr>
                <w:sz w:val="1"/>
                <w:szCs w:val="1"/>
                <w:color w:val="auto"/>
              </w:rPr>
            </w:pPr>
          </w:p>
        </w:tc>
      </w:tr>
      <w:tr>
        <w:trPr>
          <w:trHeight w:val="164"/>
        </w:trPr>
        <w:tc>
          <w:tcPr>
            <w:tcW w:w="254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Disbursement total</w:t>
            </w:r>
          </w:p>
        </w:tc>
        <w:tc>
          <w:tcPr>
            <w:tcW w:w="1460" w:type="dxa"/>
            <w:vAlign w:val="bottom"/>
            <w:tcBorders>
              <w:bottom w:val="single" w:sz="8" w:color="auto"/>
              <w:right w:val="single" w:sz="8" w:color="auto"/>
            </w:tcBorders>
          </w:tcPr>
          <w:p>
            <w:pPr>
              <w:ind w:left="240"/>
              <w:spacing w:after="0" w:line="164" w:lineRule="exact"/>
              <w:rPr>
                <w:sz w:val="20"/>
                <w:szCs w:val="20"/>
                <w:color w:val="auto"/>
              </w:rPr>
            </w:pPr>
            <w:r>
              <w:rPr>
                <w:rFonts w:ascii="Arial" w:cs="Arial" w:eastAsia="Arial" w:hAnsi="Arial"/>
                <w:sz w:val="15"/>
                <w:szCs w:val="15"/>
                <w:color w:val="auto"/>
              </w:rPr>
              <w:t>S/ 15,296,267</w:t>
            </w:r>
          </w:p>
        </w:tc>
        <w:tc>
          <w:tcPr>
            <w:tcW w:w="1400" w:type="dxa"/>
            <w:vAlign w:val="bottom"/>
            <w:tcBorders>
              <w:bottom w:val="single" w:sz="8" w:color="auto"/>
              <w:right w:val="single" w:sz="8" w:color="auto"/>
            </w:tcBorders>
          </w:tcPr>
          <w:p>
            <w:pPr>
              <w:ind w:left="200"/>
              <w:spacing w:after="0" w:line="164" w:lineRule="exact"/>
              <w:rPr>
                <w:sz w:val="20"/>
                <w:szCs w:val="20"/>
                <w:color w:val="auto"/>
              </w:rPr>
            </w:pPr>
            <w:r>
              <w:rPr>
                <w:rFonts w:ascii="Arial" w:cs="Arial" w:eastAsia="Arial" w:hAnsi="Arial"/>
                <w:sz w:val="15"/>
                <w:szCs w:val="15"/>
                <w:color w:val="auto"/>
              </w:rPr>
              <w:t>S/ 18,041,472</w:t>
            </w:r>
          </w:p>
        </w:tc>
        <w:tc>
          <w:tcPr>
            <w:tcW w:w="0" w:type="dxa"/>
            <w:vAlign w:val="bottom"/>
          </w:tcPr>
          <w:p>
            <w:pPr>
              <w:spacing w:after="0"/>
              <w:rPr>
                <w:sz w:val="1"/>
                <w:szCs w:val="1"/>
                <w:color w:val="auto"/>
              </w:rPr>
            </w:pPr>
          </w:p>
        </w:tc>
      </w:tr>
      <w:tr>
        <w:trPr>
          <w:trHeight w:val="146"/>
        </w:trPr>
        <w:tc>
          <w:tcPr>
            <w:tcW w:w="2540" w:type="dxa"/>
            <w:vAlign w:val="bottom"/>
            <w:tcBorders>
              <w:left w:val="single" w:sz="8" w:color="auto"/>
              <w:right w:val="single" w:sz="8" w:color="auto"/>
            </w:tcBorders>
          </w:tcPr>
          <w:p>
            <w:pPr>
              <w:ind w:left="60"/>
              <w:spacing w:after="0" w:line="146" w:lineRule="exact"/>
              <w:rPr>
                <w:sz w:val="20"/>
                <w:szCs w:val="20"/>
                <w:color w:val="auto"/>
              </w:rPr>
            </w:pPr>
            <w:r>
              <w:rPr>
                <w:rFonts w:ascii="Arial" w:cs="Arial" w:eastAsia="Arial" w:hAnsi="Arial"/>
                <w:sz w:val="15"/>
                <w:szCs w:val="15"/>
                <w:b w:val="1"/>
                <w:bCs w:val="1"/>
                <w:color w:val="auto"/>
              </w:rPr>
              <w:t>Total N° of clients that cashed</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8,268</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10,318</w:t>
            </w:r>
          </w:p>
        </w:tc>
        <w:tc>
          <w:tcPr>
            <w:tcW w:w="0" w:type="dxa"/>
            <w:vAlign w:val="bottom"/>
          </w:tcPr>
          <w:p>
            <w:pPr>
              <w:spacing w:after="0"/>
              <w:rPr>
                <w:sz w:val="1"/>
                <w:szCs w:val="1"/>
                <w:color w:val="auto"/>
              </w:rPr>
            </w:pPr>
          </w:p>
        </w:tc>
      </w:tr>
      <w:tr>
        <w:trPr>
          <w:trHeight w:val="111"/>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disbursements</w:t>
            </w:r>
          </w:p>
        </w:tc>
        <w:tc>
          <w:tcPr>
            <w:tcW w:w="14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80" w:hanging="7"/>
        <w:spacing w:after="0" w:line="273" w:lineRule="auto"/>
        <w:rPr>
          <w:sz w:val="20"/>
          <w:szCs w:val="20"/>
          <w:color w:val="auto"/>
        </w:rPr>
      </w:pPr>
      <w:r>
        <w:rPr>
          <w:rFonts w:ascii="Arial" w:cs="Arial" w:eastAsia="Arial" w:hAnsi="Arial"/>
          <w:sz w:val="25"/>
          <w:szCs w:val="25"/>
          <w:b w:val="1"/>
          <w:bCs w:val="1"/>
          <w:color w:val="auto"/>
        </w:rPr>
        <w:t>Simplicity and Transparency that Generates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342582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102" w:lineRule="exact"/>
        <w:rPr>
          <w:sz w:val="20"/>
          <w:szCs w:val="20"/>
          <w:color w:val="auto"/>
        </w:rPr>
      </w:pPr>
    </w:p>
    <w:p>
      <w:pPr>
        <w:ind w:right="1060"/>
        <w:spacing w:after="0" w:line="248" w:lineRule="auto"/>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Simplicity, Transparency and Client Experience</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203-1, 203-2, 417-1, 417-3, 418-1</w:t>
      </w:r>
      <w:r>
        <w:rPr>
          <w:rFonts w:ascii="Arial" w:cs="Arial" w:eastAsia="Arial" w:hAnsi="Arial"/>
          <w:sz w:val="15"/>
          <w:szCs w:val="15"/>
          <w:b w:val="1"/>
          <w:bCs w:val="1"/>
          <w:i w:val="1"/>
          <w:iCs w:val="1"/>
          <w:color w:val="auto"/>
        </w:rPr>
        <w:t xml:space="preserve"> SASB </w:t>
      </w:r>
      <w:r>
        <w:rPr>
          <w:rFonts w:ascii="Arial" w:cs="Arial" w:eastAsia="Arial" w:hAnsi="Arial"/>
          <w:sz w:val="15"/>
          <w:szCs w:val="15"/>
          <w:i w:val="1"/>
          <w:iCs w:val="1"/>
          <w:color w:val="auto"/>
        </w:rPr>
        <w:t>FN-CB-230a.1, FN-CB-230a.2</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Pillar 2</w:t>
      </w:r>
    </w:p>
    <w:p>
      <w:pPr>
        <w:spacing w:after="0" w:line="14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i w:val="1"/>
          <w:iCs w:val="1"/>
          <w:color w:val="3B72E1"/>
        </w:rPr>
        <w:t>WE SEEK TO BUILD TRUST AND LONG-TERM RELATIONS WITH OUR CLIENTS THROUGH SIMPLICITY AND TRANSPARENCY</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At Credicorp, we work to improve the simplicity and transparency of our communications and solutions so that clients can understand the conditions and costs attached to our products and services. To this end, we provide personalized solutions and recommendations to help clients achieve their goals and make better financial decisions. We measure perceptions of simplicity and transparency through client satisfaction surveys and use this information as input in our improvement processes.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66CC"/>
        </w:rPr>
        <w:t>Simple and Transparent communications</w:t>
      </w:r>
    </w:p>
    <w:p>
      <w:pPr>
        <w:spacing w:after="0" w:line="193"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We work to ensure that all of our communication is direct and expressed in simple languages that clearly explains the conditions of our products and services. Our objective is to guarantee that clients have the information they need to make better decisions. As part of the enabler described in the Compliance and Ethics Section, we rolled out our fifth consecutive campaign to create awareness of responsible selling at BCP’s commercial units (for more information, consult the Our Policy on Market Conduct Section) in the Annex. This work is complemented by specific initiatives at the subsidiary level such as:</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Main Initiatives by Subsidiary</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4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Company</w:t>
            </w:r>
          </w:p>
        </w:tc>
        <w:tc>
          <w:tcPr>
            <w:tcW w:w="194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5"/>
                <w:szCs w:val="15"/>
                <w:b w:val="1"/>
                <w:bCs w:val="1"/>
                <w:color w:val="auto"/>
              </w:rPr>
              <w:t>Initiative</w:t>
            </w:r>
          </w:p>
        </w:tc>
        <w:tc>
          <w:tcPr>
            <w:tcW w:w="204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5"/>
                <w:szCs w:val="15"/>
                <w:b w:val="1"/>
                <w:bCs w:val="1"/>
                <w:color w:val="auto"/>
              </w:rPr>
              <w:t>Objective</w:t>
            </w:r>
          </w:p>
        </w:tc>
      </w:tr>
      <w:tr>
        <w:trPr>
          <w:trHeight w:val="164"/>
        </w:trPr>
        <w:tc>
          <w:tcPr>
            <w:tcW w:w="144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b w:val="1"/>
                <w:bCs w:val="1"/>
                <w:color w:val="auto"/>
              </w:rPr>
              <w:t>BCP</w:t>
            </w:r>
          </w:p>
        </w:tc>
        <w:tc>
          <w:tcPr>
            <w:tcW w:w="19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Communications</w:t>
            </w:r>
          </w:p>
        </w:tc>
        <w:tc>
          <w:tcPr>
            <w:tcW w:w="204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To create awareness of</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Campaign "Cuentas de</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products’ characteristics to</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Ahorros y Tarjetas de</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reduce complaints due to a</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Crédito"</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lack of knowledge of</w:t>
            </w:r>
          </w:p>
        </w:tc>
      </w:tr>
      <w:tr>
        <w:trPr>
          <w:trHeight w:val="17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conditions</w:t>
            </w:r>
          </w:p>
        </w:tc>
      </w:tr>
      <w:tr>
        <w:trPr>
          <w:trHeight w:val="164"/>
        </w:trPr>
        <w:tc>
          <w:tcPr>
            <w:tcW w:w="144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b w:val="1"/>
                <w:bCs w:val="1"/>
                <w:color w:val="auto"/>
              </w:rPr>
              <w:t>BCP Bolivia</w:t>
            </w:r>
          </w:p>
        </w:tc>
        <w:tc>
          <w:tcPr>
            <w:tcW w:w="19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We work to improve and</w:t>
            </w:r>
          </w:p>
        </w:tc>
        <w:tc>
          <w:tcPr>
            <w:tcW w:w="204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Accessing a savings</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simplify processes and to</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account without going to a</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communicate with and</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branch and requesting a</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educate people</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loan or salary advance</w:t>
            </w:r>
          </w:p>
        </w:tc>
      </w:tr>
      <w:tr>
        <w:trPr>
          <w:trHeight w:val="17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through digital channels</w:t>
            </w:r>
          </w:p>
        </w:tc>
      </w:tr>
      <w:tr>
        <w:trPr>
          <w:trHeight w:val="164"/>
        </w:trPr>
        <w:tc>
          <w:tcPr>
            <w:tcW w:w="144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b w:val="1"/>
                <w:bCs w:val="1"/>
                <w:color w:val="auto"/>
              </w:rPr>
              <w:t>Prima AFP</w:t>
            </w:r>
          </w:p>
        </w:tc>
        <w:tc>
          <w:tcPr>
            <w:tcW w:w="19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Mi Estado Prima, an</w:t>
            </w:r>
          </w:p>
        </w:tc>
        <w:tc>
          <w:tcPr>
            <w:tcW w:w="204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Demonstrate easily and</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Account Statement</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interactively the most</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created with clients</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important information from</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our affiliates’ accounts:</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balance, profitability,</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contributions, status of D &amp;</w:t>
            </w:r>
          </w:p>
        </w:tc>
      </w:tr>
      <w:tr>
        <w:trPr>
          <w:trHeight w:val="17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S insurance.</w:t>
            </w:r>
          </w:p>
        </w:tc>
      </w:tr>
      <w:tr>
        <w:trPr>
          <w:trHeight w:val="146"/>
        </w:trPr>
        <w:tc>
          <w:tcPr>
            <w:tcW w:w="144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5"/>
                <w:szCs w:val="15"/>
                <w:b w:val="1"/>
                <w:bCs w:val="1"/>
                <w:color w:val="auto"/>
              </w:rPr>
              <w:t>Credicorp</w:t>
            </w:r>
          </w:p>
        </w:tc>
        <w:tc>
          <w:tcPr>
            <w:tcW w:w="19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Improve provision of core</w:t>
            </w:r>
          </w:p>
        </w:tc>
        <w:tc>
          <w:tcPr>
            <w:tcW w:w="2040" w:type="dxa"/>
            <w:vAlign w:val="bottom"/>
            <w:tcBorders>
              <w:right w:val="single" w:sz="8" w:color="auto"/>
            </w:tcBorders>
          </w:tcPr>
          <w:p>
            <w:pPr>
              <w:ind w:left="60"/>
              <w:spacing w:after="0" w:line="146" w:lineRule="exact"/>
              <w:rPr>
                <w:sz w:val="20"/>
                <w:szCs w:val="20"/>
                <w:color w:val="auto"/>
              </w:rPr>
            </w:pPr>
            <w:r>
              <w:rPr>
                <w:rFonts w:ascii="Arial" w:cs="Arial" w:eastAsia="Arial" w:hAnsi="Arial"/>
                <w:sz w:val="15"/>
                <w:szCs w:val="15"/>
                <w:color w:val="auto"/>
              </w:rPr>
              <w:t>Improve their experience</w:t>
            </w:r>
          </w:p>
        </w:tc>
      </w:tr>
      <w:tr>
        <w:trPr>
          <w:trHeight w:val="191"/>
        </w:trPr>
        <w:tc>
          <w:tcPr>
            <w:tcW w:w="1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Capital</w:t>
            </w: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information (Research</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with Credicorp Capital</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Portfolio Solutions)</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Wealth Management in</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by implementing new</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Peru.</w:t>
            </w: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channels for information</w:t>
            </w:r>
          </w:p>
        </w:tc>
        <w:tc>
          <w:tcPr>
            <w:tcW w:w="2040" w:type="dxa"/>
            <w:vAlign w:val="bottom"/>
            <w:tcBorders>
              <w:right w:val="single" w:sz="8" w:color="auto"/>
            </w:tcBorders>
          </w:tcPr>
          <w:p>
            <w:pPr>
              <w:spacing w:after="0"/>
              <w:rPr>
                <w:sz w:val="15"/>
                <w:szCs w:val="15"/>
                <w:color w:val="auto"/>
              </w:rPr>
            </w:pP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dissemination (podcasts,</w:t>
            </w:r>
          </w:p>
        </w:tc>
        <w:tc>
          <w:tcPr>
            <w:tcW w:w="2040" w:type="dxa"/>
            <w:vAlign w:val="bottom"/>
            <w:tcBorders>
              <w:right w:val="single" w:sz="8" w:color="auto"/>
            </w:tcBorders>
          </w:tcPr>
          <w:p>
            <w:pPr>
              <w:spacing w:after="0"/>
              <w:rPr>
                <w:sz w:val="15"/>
                <w:szCs w:val="15"/>
                <w:color w:val="auto"/>
              </w:rPr>
            </w:pPr>
          </w:p>
        </w:tc>
      </w:tr>
      <w:tr>
        <w:trPr>
          <w:trHeight w:val="173"/>
        </w:trPr>
        <w:tc>
          <w:tcPr>
            <w:tcW w:w="144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emails, videos and</w:t>
            </w:r>
          </w:p>
        </w:tc>
        <w:tc>
          <w:tcPr>
            <w:tcW w:w="2040" w:type="dxa"/>
            <w:vAlign w:val="bottom"/>
            <w:tcBorders>
              <w:right w:val="single" w:sz="8" w:color="auto"/>
            </w:tcBorders>
          </w:tcPr>
          <w:p>
            <w:pPr>
              <w:spacing w:after="0"/>
              <w:rPr>
                <w:sz w:val="15"/>
                <w:szCs w:val="15"/>
                <w:color w:val="auto"/>
              </w:rPr>
            </w:pPr>
          </w:p>
        </w:tc>
      </w:tr>
      <w:tr>
        <w:trPr>
          <w:trHeight w:val="17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others)</w:t>
            </w:r>
          </w:p>
        </w:tc>
        <w:tc>
          <w:tcPr>
            <w:tcW w:w="2040" w:type="dxa"/>
            <w:vAlign w:val="bottom"/>
            <w:tcBorders>
              <w:bottom w:val="single" w:sz="8" w:color="auto"/>
              <w:right w:val="single" w:sz="8" w:color="auto"/>
            </w:tcBorders>
          </w:tcPr>
          <w:p>
            <w:pPr>
              <w:spacing w:after="0"/>
              <w:rPr>
                <w:sz w:val="15"/>
                <w:szCs w:val="15"/>
                <w:color w:val="auto"/>
              </w:rPr>
            </w:pPr>
          </w:p>
        </w:tc>
      </w:tr>
      <w:tr>
        <w:trPr>
          <w:trHeight w:val="533"/>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40" w:type="dxa"/>
            <w:vAlign w:val="bottom"/>
          </w:tcPr>
          <w:p>
            <w:pPr>
              <w:ind w:left="1780"/>
              <w:spacing w:after="0"/>
              <w:rPr>
                <w:sz w:val="20"/>
                <w:szCs w:val="20"/>
                <w:color w:val="auto"/>
              </w:rPr>
            </w:pPr>
            <w:r>
              <w:rPr>
                <w:rFonts w:ascii="Arial" w:cs="Arial" w:eastAsia="Arial" w:hAnsi="Arial"/>
                <w:sz w:val="15"/>
                <w:szCs w:val="15"/>
                <w:color w:val="auto"/>
                <w:w w:val="87"/>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22225</wp:posOffset>
            </wp:positionV>
            <wp:extent cx="7152640" cy="14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20" w:right="319" w:bottom="1440" w:gutter="0" w:footer="0" w:header="0"/>
        </w:sectPr>
      </w:pPr>
    </w:p>
    <w:bookmarkStart w:id="110" w:name="page111"/>
    <w:bookmarkEnd w:id="110"/>
    <w:p>
      <w:pPr>
        <w:ind w:left="8"/>
        <w:spacing w:after="0"/>
        <w:rPr>
          <w:sz w:val="20"/>
          <w:szCs w:val="20"/>
          <w:color w:val="auto"/>
        </w:rPr>
      </w:pPr>
      <w:r>
        <w:rPr>
          <w:rFonts w:ascii="Arial" w:cs="Arial" w:eastAsia="Arial" w:hAnsi="Arial"/>
          <w:sz w:val="15"/>
          <w:szCs w:val="15"/>
          <w:b w:val="1"/>
          <w:bCs w:val="1"/>
          <w:color w:val="E93CAC"/>
        </w:rPr>
        <w:t>Regulatory requirements for communication</w:t>
      </w:r>
    </w:p>
    <w:p>
      <w:pPr>
        <w:spacing w:after="0" w:line="193" w:lineRule="exact"/>
        <w:rPr>
          <w:sz w:val="20"/>
          <w:szCs w:val="20"/>
          <w:color w:val="auto"/>
        </w:rPr>
      </w:pPr>
    </w:p>
    <w:p>
      <w:pPr>
        <w:jc w:val="both"/>
        <w:ind w:left="8"/>
        <w:spacing w:after="0" w:line="215" w:lineRule="auto"/>
        <w:rPr>
          <w:sz w:val="20"/>
          <w:szCs w:val="20"/>
          <w:color w:val="auto"/>
        </w:rPr>
      </w:pPr>
      <w:r>
        <w:rPr>
          <w:rFonts w:ascii="Arial" w:cs="Arial" w:eastAsia="Arial" w:hAnsi="Arial"/>
          <w:sz w:val="15"/>
          <w:szCs w:val="15"/>
          <w:color w:val="auto"/>
        </w:rPr>
        <w:t>In addition to the initiatives presented, we commit to fulfilling the regulatory requirements that apply to communication in the different geographies in which we operate. We are committed to aligning with the self-regulation guidelines generated by ASBANC</w:t>
      </w:r>
      <w:r>
        <w:rPr>
          <w:rFonts w:ascii="Arial" w:cs="Arial" w:eastAsia="Arial" w:hAnsi="Arial"/>
          <w:sz w:val="25"/>
          <w:szCs w:val="25"/>
          <w:color w:val="auto"/>
          <w:vertAlign w:val="superscript"/>
        </w:rPr>
        <w:t>30</w:t>
      </w:r>
      <w:r>
        <w:rPr>
          <w:rFonts w:ascii="Arial" w:cs="Arial" w:eastAsia="Arial" w:hAnsi="Arial"/>
          <w:sz w:val="15"/>
          <w:szCs w:val="15"/>
          <w:color w:val="auto"/>
        </w:rPr>
        <w:t xml:space="preserve"> and develop content according to the instructions provided in its manuals.</w:t>
      </w:r>
    </w:p>
    <w:p>
      <w:pPr>
        <w:spacing w:after="0" w:line="162"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In 2022, BCP’s compliance with ASBANC’s guidelines for self-regulation stood at 97% of communications without errors. To reach 100% compliance on this front, our communications teams are receiving training from ASBANC.</w:t>
      </w:r>
    </w:p>
    <w:p>
      <w:pPr>
        <w:spacing w:after="0" w:line="155"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In 2023, we hope to reach a compliance level of 100% of communications without errors (according to ASBANC standards) and will plan to use communication campaigns to reduce claims stemming from failures to understand the conditions of Credit Card products and Savings Accounts.</w:t>
      </w:r>
    </w:p>
    <w:p>
      <w:pPr>
        <w:spacing w:after="0" w:line="138" w:lineRule="exact"/>
        <w:rPr>
          <w:sz w:val="20"/>
          <w:szCs w:val="20"/>
          <w:color w:val="auto"/>
        </w:rPr>
      </w:pPr>
    </w:p>
    <w:tbl>
      <w:tblPr>
        <w:tblLayout w:type="fixed"/>
        <w:tblInd w:w="18" w:type="dxa"/>
        <w:tblCellMar>
          <w:top w:w="0" w:type="dxa"/>
          <w:left w:w="0" w:type="dxa"/>
          <w:bottom w:w="0" w:type="dxa"/>
          <w:right w:w="0" w:type="dxa"/>
        </w:tblCellMar>
      </w:tblPr>
      <w:tr>
        <w:trPr>
          <w:trHeight w:val="185"/>
        </w:trPr>
        <w:tc>
          <w:tcPr>
            <w:tcW w:w="3520" w:type="dxa"/>
            <w:vAlign w:val="bottom"/>
            <w:tcBorders>
              <w:top w:val="single" w:sz="8" w:color="auto"/>
              <w:left w:val="single" w:sz="8" w:color="auto"/>
              <w:bottom w:val="single" w:sz="8" w:color="auto"/>
            </w:tcBorders>
          </w:tcPr>
          <w:p>
            <w:pPr>
              <w:ind w:left="2020"/>
              <w:spacing w:after="0" w:line="185" w:lineRule="exact"/>
              <w:rPr>
                <w:sz w:val="20"/>
                <w:szCs w:val="20"/>
                <w:color w:val="auto"/>
              </w:rPr>
            </w:pPr>
            <w:r>
              <w:rPr>
                <w:rFonts w:ascii="Arial" w:cs="Arial" w:eastAsia="Arial" w:hAnsi="Arial"/>
                <w:sz w:val="13"/>
                <w:szCs w:val="13"/>
                <w:b w:val="1"/>
                <w:bCs w:val="1"/>
                <w:color w:val="auto"/>
              </w:rPr>
              <w:t>N° of cases 2022</w:t>
            </w:r>
            <w:r>
              <w:rPr>
                <w:rFonts w:ascii="Arial" w:cs="Arial" w:eastAsia="Arial" w:hAnsi="Arial"/>
                <w:sz w:val="21"/>
                <w:szCs w:val="21"/>
                <w:b w:val="1"/>
                <w:bCs w:val="1"/>
                <w:color w:val="auto"/>
                <w:vertAlign w:val="superscript"/>
              </w:rPr>
              <w:t>31</w:t>
            </w:r>
          </w:p>
        </w:tc>
        <w:tc>
          <w:tcPr>
            <w:tcW w:w="188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52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Cases of failure to comply with regulations that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0</w:t>
            </w:r>
          </w:p>
        </w:tc>
        <w:tc>
          <w:tcPr>
            <w:tcW w:w="0" w:type="dxa"/>
            <w:vAlign w:val="bottom"/>
          </w:tcPr>
          <w:p>
            <w:pPr>
              <w:spacing w:after="0"/>
              <w:rPr>
                <w:sz w:val="1"/>
                <w:szCs w:val="1"/>
                <w:color w:val="auto"/>
              </w:rPr>
            </w:pPr>
          </w:p>
        </w:tc>
      </w:tr>
      <w:tr>
        <w:trPr>
          <w:trHeight w:val="93"/>
        </w:trPr>
        <w:tc>
          <w:tcPr>
            <w:tcW w:w="35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lead to fines or sanctions</w:t>
            </w:r>
          </w:p>
        </w:tc>
        <w:tc>
          <w:tcPr>
            <w:tcW w:w="1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52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Cases of failure to comply with regulations that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12</w:t>
            </w:r>
          </w:p>
        </w:tc>
        <w:tc>
          <w:tcPr>
            <w:tcW w:w="0" w:type="dxa"/>
            <w:vAlign w:val="bottom"/>
          </w:tcPr>
          <w:p>
            <w:pPr>
              <w:spacing w:after="0"/>
              <w:rPr>
                <w:sz w:val="1"/>
                <w:szCs w:val="1"/>
                <w:color w:val="auto"/>
              </w:rPr>
            </w:pPr>
          </w:p>
        </w:tc>
      </w:tr>
      <w:tr>
        <w:trPr>
          <w:trHeight w:val="93"/>
        </w:trPr>
        <w:tc>
          <w:tcPr>
            <w:tcW w:w="35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lead to warnings</w:t>
            </w:r>
          </w:p>
        </w:tc>
        <w:tc>
          <w:tcPr>
            <w:tcW w:w="1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5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Cases of non-compliance with voluntary</w:t>
            </w:r>
          </w:p>
        </w:tc>
        <w:tc>
          <w:tcPr>
            <w:tcW w:w="1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0</w:t>
            </w:r>
          </w:p>
        </w:tc>
        <w:tc>
          <w:tcPr>
            <w:tcW w:w="0" w:type="dxa"/>
            <w:vAlign w:val="bottom"/>
          </w:tcPr>
          <w:p>
            <w:pPr>
              <w:spacing w:after="0"/>
              <w:rPr>
                <w:sz w:val="1"/>
                <w:szCs w:val="1"/>
                <w:color w:val="auto"/>
              </w:rPr>
            </w:pPr>
          </w:p>
        </w:tc>
      </w:tr>
      <w:tr>
        <w:trPr>
          <w:trHeight w:val="164"/>
        </w:trPr>
        <w:tc>
          <w:tcPr>
            <w:tcW w:w="3520" w:type="dxa"/>
            <w:vAlign w:val="bottom"/>
            <w:tcBorders>
              <w:left w:val="single" w:sz="8" w:color="auto"/>
              <w:bottom w:val="single" w:sz="8" w:color="auto"/>
              <w:right w:val="single" w:sz="8" w:color="auto"/>
            </w:tcBorders>
          </w:tcPr>
          <w:p>
            <w:pPr>
              <w:ind w:left="1160"/>
              <w:spacing w:after="0" w:line="164" w:lineRule="exact"/>
              <w:rPr>
                <w:sz w:val="20"/>
                <w:szCs w:val="20"/>
                <w:color w:val="auto"/>
              </w:rPr>
            </w:pPr>
            <w:r>
              <w:rPr>
                <w:rFonts w:ascii="Arial" w:cs="Arial" w:eastAsia="Arial" w:hAnsi="Arial"/>
                <w:sz w:val="15"/>
                <w:szCs w:val="15"/>
                <w:b w:val="1"/>
                <w:bCs w:val="1"/>
                <w:color w:val="auto"/>
              </w:rPr>
              <w:t>N° of total cases</w:t>
            </w:r>
          </w:p>
        </w:tc>
        <w:tc>
          <w:tcPr>
            <w:tcW w:w="1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E93CAC"/>
        </w:rPr>
        <w:t>Claims Management</w:t>
      </w:r>
    </w:p>
    <w:p>
      <w:pPr>
        <w:spacing w:after="0" w:line="191"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We are committed to providing quick and comprehensive responses to our clients. As such, each subsidiary manages and supervises its own claims management process. Teams at each company are highly trained in analysis methodologies and are equipped with the right tools to provide definitive solutions to complaints within the timeframes set forth by regulations. Subsidiaries also conduct follow-up and monitoring of claims; reasons that motivated claims; and form and time of resolution. Finally, we work with head of product and service channel teams to assess and coordinate plans for improvement to resolve the root causes of claims.</w:t>
      </w:r>
    </w:p>
    <w:p>
      <w:pPr>
        <w:spacing w:after="0" w:line="164"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BCP, for example, attempts to address the largest number of requirements, procedures or other simple matters at the front office level. To accomplish this, our employees are equipped with the autonomy and tools to manage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37604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6045" cy="7620"/>
                    </a:xfrm>
                    <a:prstGeom prst="rect">
                      <a:avLst/>
                    </a:prstGeom>
                    <a:noFill/>
                  </pic:spPr>
                </pic:pic>
              </a:graphicData>
            </a:graphic>
          </wp:anchor>
        </w:drawing>
      </w:r>
    </w:p>
    <w:p>
      <w:pPr>
        <w:spacing w:after="0" w:line="158" w:lineRule="exact"/>
        <w:rPr>
          <w:sz w:val="20"/>
          <w:szCs w:val="20"/>
          <w:color w:val="auto"/>
        </w:rPr>
      </w:pPr>
    </w:p>
    <w:p>
      <w:pPr>
        <w:jc w:val="both"/>
        <w:ind w:left="8" w:hanging="8"/>
        <w:spacing w:after="0" w:line="201" w:lineRule="auto"/>
        <w:tabs>
          <w:tab w:leader="none" w:pos="186" w:val="left"/>
        </w:tabs>
        <w:numPr>
          <w:ilvl w:val="0"/>
          <w:numId w:val="58"/>
        </w:numPr>
        <w:rPr>
          <w:rFonts w:ascii="Arial" w:cs="Arial" w:eastAsia="Arial" w:hAnsi="Arial"/>
          <w:sz w:val="25"/>
          <w:szCs w:val="25"/>
          <w:color w:val="auto"/>
          <w:vertAlign w:val="superscript"/>
        </w:rPr>
      </w:pPr>
      <w:r>
        <w:rPr>
          <w:rFonts w:ascii="Arial" w:cs="Arial" w:eastAsia="Arial" w:hAnsi="Arial"/>
          <w:sz w:val="15"/>
          <w:szCs w:val="15"/>
          <w:color w:val="auto"/>
        </w:rPr>
        <w:t>ASBANC: Asociación de Bancos del Perú (Association of Banks of Peru) is responsible for regulating communication in the media, including televisión, radio, press, informative bulletins, internet, etc.</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5"/>
          <w:szCs w:val="15"/>
          <w:color w:val="auto"/>
        </w:rPr>
        <w:t>dissatisfaction at the first point of contact. The effectiveness of our first responders has increased 43% to 57% from 2020 to 2022.</w:t>
      </w:r>
    </w:p>
    <w:p>
      <w:pPr>
        <w:spacing w:after="0" w:line="117" w:lineRule="exact"/>
        <w:rPr>
          <w:sz w:val="20"/>
          <w:szCs w:val="20"/>
          <w:color w:val="auto"/>
        </w:rPr>
      </w:pPr>
    </w:p>
    <w:p>
      <w:pPr>
        <w:ind w:right="1320"/>
        <w:spacing w:after="0" w:line="273" w:lineRule="auto"/>
        <w:rPr>
          <w:sz w:val="20"/>
          <w:szCs w:val="20"/>
          <w:color w:val="auto"/>
        </w:rPr>
      </w:pPr>
      <w:r>
        <w:rPr>
          <w:rFonts w:ascii="Arial" w:cs="Arial" w:eastAsia="Arial" w:hAnsi="Arial"/>
          <w:sz w:val="25"/>
          <w:szCs w:val="25"/>
          <w:b w:val="1"/>
          <w:bCs w:val="1"/>
          <w:color w:val="auto"/>
        </w:rPr>
        <w:t>Committed to Improving Our Client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343344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At Credicorp, we strive to provide our clients the best possible experience. To measure our performance and strengthen long-term relations, by the end of 2022, a total of 6 subsidiaries had migrated from the Customer Satisfaction (CSAT), which measures short-term client satisfaction to the Net Promoter Score (NPS), a long-term indicator that assesses client loyalty/recommendation and general feelings about the Brand. The change responds to a need to determine client satisfaction levels and find out if they are willing to recommend our companies.</w:t>
      </w:r>
    </w:p>
    <w:p>
      <w:pPr>
        <w:spacing w:after="0" w:line="33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chart below shows our results in 2022 for our main subsidiary, BCP Peru, whose consolidated NSP was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94615</wp:posOffset>
            </wp:positionV>
            <wp:extent cx="2781935" cy="1669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81935"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Our main subsidiaries have rolled out initiatives to improve their NPS results.</w:t>
      </w:r>
    </w:p>
    <w:p>
      <w:pPr>
        <w:spacing w:after="0"/>
        <w:rPr>
          <w:sz w:val="20"/>
          <w:szCs w:val="20"/>
          <w:color w:val="auto"/>
        </w:rPr>
      </w:pPr>
      <w:r>
        <w:rPr>
          <w:rFonts w:ascii="Arial" w:cs="Arial" w:eastAsia="Arial" w:hAnsi="Arial"/>
          <w:sz w:val="15"/>
          <w:szCs w:val="15"/>
          <w:b w:val="1"/>
          <w:bCs w:val="1"/>
          <w:color w:val="FF66CC"/>
        </w:rPr>
        <w:t>Main initiatives by subsidiary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BCP Perú </w:t>
      </w:r>
      <w:r>
        <w:rPr>
          <w:rFonts w:ascii="Arial" w:cs="Arial" w:eastAsia="Arial" w:hAnsi="Arial"/>
          <w:sz w:val="15"/>
          <w:szCs w:val="15"/>
          <w:color w:val="auto"/>
        </w:rPr>
        <w:t>has implemented the following improvement:</w:t>
      </w:r>
    </w:p>
    <w:p>
      <w:pPr>
        <w:spacing w:after="0" w:line="18" w:lineRule="exact"/>
        <w:rPr>
          <w:sz w:val="20"/>
          <w:szCs w:val="20"/>
          <w:color w:val="auto"/>
        </w:rPr>
      </w:pPr>
    </w:p>
    <w:p>
      <w:pPr>
        <w:ind w:left="560" w:hanging="274"/>
        <w:spacing w:after="0"/>
        <w:tabs>
          <w:tab w:leader="none" w:pos="5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Reducing wait time at branches</w:t>
      </w:r>
    </w:p>
    <w:p>
      <w:pPr>
        <w:spacing w:after="0" w:line="208" w:lineRule="exact"/>
        <w:rPr>
          <w:sz w:val="20"/>
          <w:szCs w:val="20"/>
          <w:color w:val="auto"/>
        </w:rPr>
      </w:pPr>
    </w:p>
    <w:p>
      <w:pPr>
        <w:ind w:right="440" w:firstLine="9"/>
        <w:spacing w:after="0" w:line="201" w:lineRule="auto"/>
        <w:tabs>
          <w:tab w:leader="none" w:pos="185"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color w:val="auto"/>
        </w:rPr>
        <w:t>In the calculation, the following companies are being considered: BCP, Prima AFP, BCP Bolivia and Credicorp Capital</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120" w:right="319" w:bottom="1440" w:gutter="0" w:footer="0" w:header="0"/>
        </w:sectPr>
      </w:pPr>
    </w:p>
    <w:bookmarkStart w:id="111" w:name="page112"/>
    <w:bookmarkEnd w:id="111"/>
    <w:p>
      <w:pPr>
        <w:spacing w:after="0" w:line="20" w:lineRule="exact"/>
        <w:rPr>
          <w:sz w:val="20"/>
          <w:szCs w:val="20"/>
          <w:color w:val="auto"/>
        </w:rPr>
      </w:pPr>
    </w:p>
    <w:p>
      <w:pPr>
        <w:ind w:left="548" w:right="20" w:hanging="271"/>
        <w:spacing w:after="0"/>
        <w:tabs>
          <w:tab w:leader="none" w:pos="5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Implemented a function in the web to reserve appointments to visit branches</w:t>
      </w:r>
    </w:p>
    <w:p>
      <w:pPr>
        <w:ind w:left="548" w:hanging="271"/>
        <w:spacing w:after="0"/>
        <w:tabs>
          <w:tab w:leader="none" w:pos="5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Reduced the number of calls dropped in the Contact Center</w:t>
      </w:r>
    </w:p>
    <w:p>
      <w:pPr>
        <w:ind w:left="548" w:right="20" w:hanging="271"/>
        <w:spacing w:after="0"/>
        <w:tabs>
          <w:tab w:leader="none" w:pos="5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Ensured optimum levels of operating stability through different channels.</w:t>
      </w:r>
    </w:p>
    <w:p>
      <w:pPr>
        <w:spacing w:after="0" w:line="173" w:lineRule="exact"/>
        <w:rPr>
          <w:rFonts w:ascii="Arial" w:cs="Arial" w:eastAsia="Arial" w:hAnsi="Arial"/>
          <w:sz w:val="15"/>
          <w:szCs w:val="15"/>
          <w:color w:val="auto"/>
        </w:rPr>
      </w:pPr>
    </w:p>
    <w:p>
      <w:pPr>
        <w:ind w:left="548" w:hanging="271"/>
        <w:spacing w:after="0"/>
        <w:tabs>
          <w:tab w:leader="none" w:pos="5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Reduced the causes that generate client complaints</w:t>
      </w:r>
    </w:p>
    <w:p>
      <w:pPr>
        <w:ind w:left="548" w:right="20" w:hanging="271"/>
        <w:spacing w:after="0" w:line="258" w:lineRule="auto"/>
        <w:tabs>
          <w:tab w:leader="none" w:pos="5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Complemented traditional collections management by creating remote and digital channels such as voice bots.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At Mibanco, </w:t>
      </w:r>
      <w:r>
        <w:rPr>
          <w:rFonts w:ascii="Arial" w:cs="Arial" w:eastAsia="Arial" w:hAnsi="Arial"/>
          <w:sz w:val="15"/>
          <w:szCs w:val="15"/>
          <w:color w:val="auto"/>
        </w:rPr>
        <w:t>we have prioritized three fronts of action to increase the NPS:</w:t>
      </w:r>
    </w:p>
    <w:p>
      <w:pPr>
        <w:spacing w:after="0" w:line="18" w:lineRule="exact"/>
        <w:rPr>
          <w:sz w:val="20"/>
          <w:szCs w:val="20"/>
          <w:color w:val="auto"/>
        </w:rPr>
      </w:pPr>
    </w:p>
    <w:p>
      <w:pPr>
        <w:jc w:val="both"/>
        <w:ind w:left="268" w:right="20" w:hanging="268"/>
        <w:spacing w:after="0"/>
        <w:tabs>
          <w:tab w:leader="none" w:pos="268" w:val="left"/>
        </w:tabs>
        <w:numPr>
          <w:ilvl w:val="0"/>
          <w:numId w:val="62"/>
        </w:numPr>
        <w:rPr>
          <w:rFonts w:ascii="Arial" w:cs="Arial" w:eastAsia="Arial" w:hAnsi="Arial"/>
          <w:sz w:val="15"/>
          <w:szCs w:val="15"/>
          <w:color w:val="auto"/>
        </w:rPr>
      </w:pPr>
      <w:r>
        <w:rPr>
          <w:rFonts w:ascii="Arial" w:cs="Arial" w:eastAsia="Arial" w:hAnsi="Arial"/>
          <w:sz w:val="15"/>
          <w:szCs w:val="15"/>
          <w:b w:val="1"/>
          <w:bCs w:val="1"/>
          <w:color w:val="auto"/>
        </w:rPr>
        <w:t xml:space="preserve">Relationship Managers: </w:t>
      </w:r>
      <w:r>
        <w:rPr>
          <w:rFonts w:ascii="Arial" w:cs="Arial" w:eastAsia="Arial" w:hAnsi="Arial"/>
          <w:sz w:val="15"/>
          <w:szCs w:val="15"/>
          <w:color w:val="auto"/>
        </w:rPr>
        <w:t>“Visits to develop Relations” include questions to</w:t>
      </w:r>
      <w:r>
        <w:rPr>
          <w:rFonts w:ascii="Arial" w:cs="Arial" w:eastAsia="Arial" w:hAnsi="Arial"/>
          <w:sz w:val="15"/>
          <w:szCs w:val="15"/>
          <w:b w:val="1"/>
          <w:bCs w:val="1"/>
          <w:color w:val="auto"/>
        </w:rPr>
        <w:t xml:space="preserve"> </w:t>
      </w:r>
      <w:r>
        <w:rPr>
          <w:rFonts w:ascii="Arial" w:cs="Arial" w:eastAsia="Arial" w:hAnsi="Arial"/>
          <w:sz w:val="15"/>
          <w:szCs w:val="15"/>
          <w:color w:val="auto"/>
        </w:rPr>
        <w:t>ask clients how they are faring and identify opportunities for improvement. Every month, we impact 50 thousand clients. Clients who receive visits report high levels of recommendation.</w:t>
      </w:r>
    </w:p>
    <w:p>
      <w:pPr>
        <w:spacing w:after="0" w:line="1" w:lineRule="exact"/>
        <w:rPr>
          <w:rFonts w:ascii="Arial" w:cs="Arial" w:eastAsia="Arial" w:hAnsi="Arial"/>
          <w:sz w:val="15"/>
          <w:szCs w:val="15"/>
          <w:color w:val="auto"/>
        </w:rPr>
      </w:pPr>
    </w:p>
    <w:p>
      <w:pPr>
        <w:ind w:left="268" w:right="20" w:hanging="268"/>
        <w:spacing w:after="0"/>
        <w:tabs>
          <w:tab w:leader="none" w:pos="268"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Service at Branches</w:t>
      </w:r>
      <w:r>
        <w:rPr>
          <w:rFonts w:ascii="Arial" w:cs="Arial" w:eastAsia="Arial" w:hAnsi="Arial"/>
          <w:sz w:val="15"/>
          <w:szCs w:val="15"/>
          <w:color w:val="auto"/>
        </w:rPr>
        <w:t>: We have implemented standardized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protocols for platforms and tellers.</w:t>
      </w:r>
    </w:p>
    <w:p>
      <w:pPr>
        <w:jc w:val="both"/>
        <w:ind w:left="268" w:right="20" w:hanging="268"/>
        <w:spacing w:after="0" w:line="246" w:lineRule="auto"/>
        <w:tabs>
          <w:tab w:leader="none" w:pos="268"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Intensity of pre-delinquency collections: </w:t>
      </w:r>
      <w:r>
        <w:rPr>
          <w:rFonts w:ascii="Arial" w:cs="Arial" w:eastAsia="Arial" w:hAnsi="Arial"/>
          <w:sz w:val="15"/>
          <w:szCs w:val="15"/>
          <w:color w:val="auto"/>
        </w:rPr>
        <w:t>We reduced the intensity of</w:t>
      </w:r>
      <w:r>
        <w:rPr>
          <w:rFonts w:ascii="Arial" w:cs="Arial" w:eastAsia="Arial" w:hAnsi="Arial"/>
          <w:sz w:val="15"/>
          <w:szCs w:val="15"/>
          <w:b w:val="1"/>
          <w:bCs w:val="1"/>
          <w:color w:val="auto"/>
        </w:rPr>
        <w:t xml:space="preserve"> </w:t>
      </w:r>
      <w:r>
        <w:rPr>
          <w:rFonts w:ascii="Arial" w:cs="Arial" w:eastAsia="Arial" w:hAnsi="Arial"/>
          <w:sz w:val="15"/>
          <w:szCs w:val="15"/>
          <w:color w:val="auto"/>
        </w:rPr>
        <w:t>calls to clients in the pre-delinquency stage and set up service protocols for payment reminders to create a balance between effective collections and the client experience.</w:t>
      </w:r>
    </w:p>
    <w:p>
      <w:pPr>
        <w:spacing w:after="0" w:line="139" w:lineRule="exact"/>
        <w:rPr>
          <w:sz w:val="20"/>
          <w:szCs w:val="20"/>
          <w:color w:val="auto"/>
        </w:rPr>
      </w:pPr>
    </w:p>
    <w:p>
      <w:pPr>
        <w:jc w:val="both"/>
        <w:ind w:left="8"/>
        <w:spacing w:after="0" w:line="251" w:lineRule="auto"/>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b w:val="1"/>
          <w:bCs w:val="1"/>
          <w:color w:val="auto"/>
        </w:rPr>
        <w:t>Prima AFP,</w:t>
      </w:r>
      <w:r>
        <w:rPr>
          <w:rFonts w:ascii="Arial" w:cs="Arial" w:eastAsia="Arial" w:hAnsi="Arial"/>
          <w:sz w:val="15"/>
          <w:szCs w:val="15"/>
          <w:color w:val="auto"/>
        </w:rPr>
        <w:t xml:space="preserve"> we conduct monthly follow-up on satisfaction, comprehension and usefulness of communications about investments and profitability and on a quarterly basis, we measure public opinion and client satisfaction. To differentiate our services, we have improved our benefits program and the discounts and promotions we offer clients.</w:t>
      </w:r>
    </w:p>
    <w:p>
      <w:pPr>
        <w:spacing w:after="0" w:line="136" w:lineRule="exact"/>
        <w:rPr>
          <w:sz w:val="20"/>
          <w:szCs w:val="20"/>
          <w:color w:val="auto"/>
        </w:rPr>
      </w:pPr>
    </w:p>
    <w:p>
      <w:pPr>
        <w:jc w:val="both"/>
        <w:ind w:left="8"/>
        <w:spacing w:after="0" w:line="252" w:lineRule="auto"/>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b w:val="1"/>
          <w:bCs w:val="1"/>
          <w:color w:val="auto"/>
        </w:rPr>
        <w:t>Credicorp Capital,</w:t>
      </w:r>
      <w:r>
        <w:rPr>
          <w:rFonts w:ascii="Arial" w:cs="Arial" w:eastAsia="Arial" w:hAnsi="Arial"/>
          <w:sz w:val="15"/>
          <w:szCs w:val="15"/>
          <w:color w:val="auto"/>
        </w:rPr>
        <w:t xml:space="preserve"> we rolled out regional initiatives to improve our relations with clients. We facilitated client contact with account executives by providing the latter’s contact details making the corresponding introductions. We created a channel in Panama to approve transactional processes with digital signatures.</w:t>
      </w:r>
    </w:p>
    <w:p>
      <w:pPr>
        <w:spacing w:after="0" w:line="313" w:lineRule="exact"/>
        <w:rPr>
          <w:sz w:val="20"/>
          <w:szCs w:val="20"/>
          <w:color w:val="auto"/>
        </w:rPr>
      </w:pPr>
    </w:p>
    <w:p>
      <w:pPr>
        <w:jc w:val="both"/>
        <w:ind w:left="8"/>
        <w:spacing w:after="0" w:line="254" w:lineRule="auto"/>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b w:val="1"/>
          <w:bCs w:val="1"/>
          <w:color w:val="auto"/>
        </w:rPr>
        <w:t>Pacífico Seguros</w:t>
      </w:r>
      <w:r>
        <w:rPr>
          <w:rFonts w:ascii="Arial" w:cs="Arial" w:eastAsia="Arial" w:hAnsi="Arial"/>
          <w:sz w:val="15"/>
          <w:szCs w:val="15"/>
          <w:color w:val="auto"/>
        </w:rPr>
        <w:t>, we established a systematized work model to reduce claims, achieving very significant improvements in our service management through the call center, collections, vehicle assistance, and services for complex health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1473835</wp:posOffset>
            </wp:positionV>
            <wp:extent cx="7152640" cy="14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Innovation and Transformation in 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343344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78" w:lineRule="exact"/>
        <w:rPr>
          <w:sz w:val="20"/>
          <w:szCs w:val="20"/>
          <w:color w:val="auto"/>
        </w:rPr>
      </w:pPr>
    </w:p>
    <w:p>
      <w:pPr>
        <w:ind w:right="2440"/>
        <w:spacing w:after="0" w:line="269" w:lineRule="auto"/>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Innovation and Technology</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203-1, 203-2</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Pillar 2</w:t>
      </w:r>
    </w:p>
    <w:p>
      <w:pPr>
        <w:spacing w:after="0" w:line="323"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Credicorp believes that its businesses must undergo digital transformation to continue pursuing its purpose to contribute to improving lives and accelerating the changes our countries need. To strengthen our innovation and entrepreneurial culture at the corporate level; align spaces where we can innovate; and optimize returns on our innovation portfolio, we have initiated the process to implement our corporate innovation system.</w:t>
      </w:r>
    </w:p>
    <w:p>
      <w:pPr>
        <w:spacing w:after="0" w:line="158" w:lineRule="exact"/>
        <w:rPr>
          <w:sz w:val="20"/>
          <w:szCs w:val="20"/>
          <w:color w:val="auto"/>
        </w:rPr>
      </w:pPr>
    </w:p>
    <w:p>
      <w:pPr>
        <w:ind w:right="100"/>
        <w:spacing w:after="0" w:line="246" w:lineRule="auto"/>
        <w:rPr>
          <w:sz w:val="20"/>
          <w:szCs w:val="20"/>
          <w:color w:val="auto"/>
        </w:rPr>
      </w:pPr>
      <w:r>
        <w:rPr>
          <w:rFonts w:ascii="Arial" w:cs="Arial" w:eastAsia="Arial" w:hAnsi="Arial"/>
          <w:sz w:val="15"/>
          <w:szCs w:val="15"/>
          <w:color w:val="auto"/>
        </w:rPr>
        <w:t>This system focuses on the initiatives that are considered the most disruptive, given that they i) seek to generate new sources of income through new business models, ii) can compete with our traditional businesses and/or iii) are supported by the most advanced technological components.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main governance bodies of this system are summarized below:</w:t>
      </w:r>
    </w:p>
    <w:p>
      <w:pPr>
        <w:spacing w:after="0" w:line="155" w:lineRule="exact"/>
        <w:rPr>
          <w:sz w:val="20"/>
          <w:szCs w:val="20"/>
          <w:color w:val="auto"/>
        </w:rPr>
      </w:pPr>
    </w:p>
    <w:p>
      <w:pPr>
        <w:ind w:left="560" w:right="20" w:hanging="274"/>
        <w:spacing w:after="0" w:line="246" w:lineRule="auto"/>
        <w:tabs>
          <w:tab w:leader="none" w:pos="56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Innovation Committee: </w:t>
      </w:r>
      <w:r>
        <w:rPr>
          <w:rFonts w:ascii="Arial" w:cs="Arial" w:eastAsia="Arial" w:hAnsi="Arial"/>
          <w:sz w:val="15"/>
          <w:szCs w:val="15"/>
          <w:color w:val="auto"/>
        </w:rPr>
        <w:t>defines the innovation strategy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guidelines for portfolio management in representation of the Board. This committee is comprised of the CEO, COO and CINO and the CFO and CEO of Krealo are recurring participants.</w:t>
      </w:r>
    </w:p>
    <w:p>
      <w:pPr>
        <w:spacing w:after="0" w:line="2" w:lineRule="exact"/>
        <w:rPr>
          <w:rFonts w:ascii="Arial" w:cs="Arial" w:eastAsia="Arial" w:hAnsi="Arial"/>
          <w:sz w:val="15"/>
          <w:szCs w:val="15"/>
          <w:color w:val="auto"/>
        </w:rPr>
      </w:pPr>
    </w:p>
    <w:p>
      <w:pPr>
        <w:jc w:val="both"/>
        <w:ind w:left="560" w:right="100" w:hanging="274"/>
        <w:spacing w:after="0"/>
        <w:tabs>
          <w:tab w:leader="none" w:pos="56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Valuation Committee: </w:t>
      </w:r>
      <w:r>
        <w:rPr>
          <w:rFonts w:ascii="Arial" w:cs="Arial" w:eastAsia="Arial" w:hAnsi="Arial"/>
          <w:sz w:val="15"/>
          <w:szCs w:val="15"/>
          <w:color w:val="auto"/>
        </w:rPr>
        <w:t>defines the methodologies and parameters to</w:t>
      </w:r>
      <w:r>
        <w:rPr>
          <w:rFonts w:ascii="Arial" w:cs="Arial" w:eastAsia="Arial" w:hAnsi="Arial"/>
          <w:sz w:val="15"/>
          <w:szCs w:val="15"/>
          <w:b w:val="1"/>
          <w:bCs w:val="1"/>
          <w:color w:val="auto"/>
        </w:rPr>
        <w:t xml:space="preserve"> </w:t>
      </w:r>
      <w:r>
        <w:rPr>
          <w:rFonts w:ascii="Arial" w:cs="Arial" w:eastAsia="Arial" w:hAnsi="Arial"/>
          <w:sz w:val="15"/>
          <w:szCs w:val="15"/>
          <w:color w:val="auto"/>
        </w:rPr>
        <w:t>price the investments that comprise the disruptive innovation portfolio. It is presided by the CFO.</w:t>
      </w:r>
    </w:p>
    <w:p>
      <w:pPr>
        <w:spacing w:after="0" w:line="1" w:lineRule="exact"/>
        <w:rPr>
          <w:rFonts w:ascii="Arial" w:cs="Arial" w:eastAsia="Arial" w:hAnsi="Arial"/>
          <w:sz w:val="15"/>
          <w:szCs w:val="15"/>
          <w:color w:val="auto"/>
        </w:rPr>
      </w:pPr>
    </w:p>
    <w:p>
      <w:pPr>
        <w:ind w:left="560" w:right="140" w:hanging="274"/>
        <w:spacing w:after="0"/>
        <w:tabs>
          <w:tab w:leader="none" w:pos="5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Innovation Round Table: Forum where leaders of the Innovation Units meet to discuss, coordinate and collaborate.</w:t>
      </w:r>
    </w:p>
    <w:p>
      <w:pPr>
        <w:ind w:left="560" w:right="220" w:hanging="274"/>
        <w:spacing w:after="0"/>
        <w:tabs>
          <w:tab w:leader="none" w:pos="56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Innovation Office: </w:t>
      </w:r>
      <w:r>
        <w:rPr>
          <w:rFonts w:ascii="Arial" w:cs="Arial" w:eastAsia="Arial" w:hAnsi="Arial"/>
          <w:sz w:val="15"/>
          <w:szCs w:val="15"/>
          <w:color w:val="auto"/>
        </w:rPr>
        <w:t>in conjunction with the CINO, this office designs</w:t>
      </w:r>
      <w:r>
        <w:rPr>
          <w:rFonts w:ascii="Arial" w:cs="Arial" w:eastAsia="Arial" w:hAnsi="Arial"/>
          <w:sz w:val="15"/>
          <w:szCs w:val="15"/>
          <w:b w:val="1"/>
          <w:bCs w:val="1"/>
          <w:color w:val="auto"/>
        </w:rPr>
        <w:t xml:space="preserve"> </w:t>
      </w:r>
      <w:r>
        <w:rPr>
          <w:rFonts w:ascii="Arial" w:cs="Arial" w:eastAsia="Arial" w:hAnsi="Arial"/>
          <w:sz w:val="15"/>
          <w:szCs w:val="15"/>
          <w:color w:val="auto"/>
        </w:rPr>
        <w:t>the disruptive innovation strategy and makes recommendations; manages the innovation portfolio; and works on developing enablers that optimize the innovation efforts of the Innovation Units.</w:t>
      </w:r>
    </w:p>
    <w:p>
      <w:pPr>
        <w:spacing w:after="0" w:line="1" w:lineRule="exact"/>
        <w:rPr>
          <w:rFonts w:ascii="Arial" w:cs="Arial" w:eastAsia="Arial" w:hAnsi="Arial"/>
          <w:sz w:val="15"/>
          <w:szCs w:val="15"/>
          <w:color w:val="auto"/>
        </w:rPr>
      </w:pPr>
    </w:p>
    <w:p>
      <w:pPr>
        <w:ind w:left="560" w:right="40" w:hanging="274"/>
        <w:spacing w:after="0"/>
        <w:tabs>
          <w:tab w:leader="none" w:pos="5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Innovation Committee, Innovation Round Table and the Innovation Offices are led by the CINO. The committee’s objective is to provide support and ensure that the system, and governance of corporate innovation, constantly evolves.</w:t>
      </w:r>
    </w:p>
    <w:p>
      <w:pPr>
        <w:spacing w:after="0" w:line="1" w:lineRule="exact"/>
        <w:rPr>
          <w:rFonts w:ascii="Arial" w:cs="Arial" w:eastAsia="Arial" w:hAnsi="Arial"/>
          <w:sz w:val="15"/>
          <w:szCs w:val="15"/>
          <w:color w:val="auto"/>
        </w:rPr>
      </w:pPr>
    </w:p>
    <w:p>
      <w:pPr>
        <w:ind w:left="560" w:right="20" w:hanging="274"/>
        <w:spacing w:after="0" w:line="242" w:lineRule="auto"/>
        <w:tabs>
          <w:tab w:leader="none" w:pos="56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Innovation Units (UdI): </w:t>
      </w:r>
      <w:r>
        <w:rPr>
          <w:rFonts w:ascii="Arial" w:cs="Arial" w:eastAsia="Arial" w:hAnsi="Arial"/>
          <w:sz w:val="15"/>
          <w:szCs w:val="15"/>
          <w:color w:val="auto"/>
        </w:rPr>
        <w:t>explore and design innovation initiatives.</w:t>
      </w:r>
      <w:r>
        <w:rPr>
          <w:rFonts w:ascii="Arial" w:cs="Arial" w:eastAsia="Arial" w:hAnsi="Arial"/>
          <w:sz w:val="15"/>
          <w:szCs w:val="15"/>
          <w:b w:val="1"/>
          <w:bCs w:val="1"/>
          <w:color w:val="auto"/>
        </w:rPr>
        <w:t xml:space="preserve"> </w:t>
      </w:r>
      <w:r>
        <w:rPr>
          <w:rFonts w:ascii="Arial" w:cs="Arial" w:eastAsia="Arial" w:hAnsi="Arial"/>
          <w:sz w:val="15"/>
          <w:szCs w:val="15"/>
          <w:color w:val="auto"/>
        </w:rPr>
        <w:t>These UdI are set up in our different Lines of Business to maintain a system of innovation that is both entrepreneurial and decentralized. The UdI receives an innovation mandate that is aligned with the needs of the Line of Business to which it belongs and with the system for transversal innovation. The UDI assume four main roles: i) innovation laboratories; ii) Krealo, our corporate venture capital entity; iii) a special unit that focuses on scaling initiatives with proven potential; and selected disruptive initiatives that are key to the business.</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109</w:t>
      </w:r>
    </w:p>
    <w:p>
      <w:pPr>
        <w:sectPr>
          <w:pgSz w:w="11900" w:h="16838" w:orient="portrait"/>
          <w:cols w:equalWidth="0" w:num="2">
            <w:col w:w="5408" w:space="440"/>
            <w:col w:w="5420"/>
          </w:cols>
          <w:pgMar w:left="312" w:top="120" w:right="319" w:bottom="1440" w:gutter="0" w:footer="0" w:header="0"/>
        </w:sectPr>
      </w:pPr>
    </w:p>
    <w:bookmarkStart w:id="112" w:name="page113"/>
    <w:bookmarkEnd w:id="112"/>
    <w:p>
      <w:pPr>
        <w:ind w:left="5908"/>
        <w:spacing w:after="0"/>
        <w:rPr>
          <w:sz w:val="20"/>
          <w:szCs w:val="20"/>
          <w:color w:val="auto"/>
        </w:rPr>
      </w:pPr>
      <w:r>
        <w:rPr>
          <w:rFonts w:ascii="Arial" w:cs="Arial" w:eastAsia="Arial" w:hAnsi="Arial"/>
          <w:sz w:val="25"/>
          <w:szCs w:val="25"/>
          <w:b w:val="1"/>
          <w:bCs w:val="1"/>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-160020</wp:posOffset>
            </wp:positionV>
            <wp:extent cx="6903720" cy="26136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03720" cy="2613660"/>
                    </a:xfrm>
                    <a:prstGeom prst="rect">
                      <a:avLst/>
                    </a:prstGeom>
                    <a:noFill/>
                  </pic:spPr>
                </pic:pic>
              </a:graphicData>
            </a:graphic>
          </wp:anchor>
        </w:drawing>
      </w:r>
    </w:p>
    <w:p>
      <w:pPr>
        <w:spacing w:after="0" w:line="183" w:lineRule="exact"/>
        <w:rPr>
          <w:sz w:val="20"/>
          <w:szCs w:val="20"/>
          <w:color w:val="auto"/>
        </w:rPr>
      </w:pPr>
    </w:p>
    <w:p>
      <w:pPr>
        <w:jc w:val="center"/>
        <w:ind w:left="5848"/>
        <w:spacing w:after="0" w:line="254" w:lineRule="auto"/>
        <w:rPr>
          <w:sz w:val="20"/>
          <w:szCs w:val="20"/>
          <w:color w:val="auto"/>
        </w:rPr>
      </w:pPr>
      <w:r>
        <w:rPr>
          <w:rFonts w:ascii="Arial" w:cs="Arial" w:eastAsia="Arial" w:hAnsi="Arial"/>
          <w:sz w:val="18"/>
          <w:szCs w:val="18"/>
          <w:b w:val="1"/>
          <w:bCs w:val="1"/>
          <w:i w:val="1"/>
          <w:iCs w:val="1"/>
          <w:color w:val="3B72E1"/>
        </w:rPr>
        <w:t>WE PROMOTE INCLUSION OF DIVERSITY AND SUPPORT OUR PEOPLE TO STRENGTHEN THE SKILLS, EFFICIENCY AND IMPACT AS WE WORK TO DEVELOP THE WORKFORCE OF THE FUTURE</w:t>
      </w:r>
    </w:p>
    <w:p>
      <w:pPr>
        <w:spacing w:after="0" w:line="154" w:lineRule="exact"/>
        <w:rPr>
          <w:sz w:val="20"/>
          <w:szCs w:val="20"/>
          <w:color w:val="auto"/>
        </w:rPr>
      </w:pPr>
    </w:p>
    <w:p>
      <w:pPr>
        <w:jc w:val="both"/>
        <w:ind w:left="5848"/>
        <w:spacing w:after="0" w:line="249" w:lineRule="auto"/>
        <w:rPr>
          <w:sz w:val="20"/>
          <w:szCs w:val="20"/>
          <w:color w:val="auto"/>
        </w:rPr>
      </w:pPr>
      <w:r>
        <w:rPr>
          <w:rFonts w:ascii="Arial" w:cs="Arial" w:eastAsia="Arial" w:hAnsi="Arial"/>
          <w:sz w:val="15"/>
          <w:szCs w:val="15"/>
          <w:color w:val="auto"/>
        </w:rPr>
        <w:t>At Credicorp, we are convinced that we can only achieve our purpose if we attract, develop and retain the best talent. For this reason, Credicorp’s brand is sustained by four pillars:</w:t>
      </w:r>
    </w:p>
    <w:p>
      <w:pPr>
        <w:spacing w:after="0" w:line="155" w:lineRule="exact"/>
        <w:rPr>
          <w:sz w:val="20"/>
          <w:szCs w:val="20"/>
          <w:color w:val="auto"/>
        </w:rPr>
      </w:pPr>
    </w:p>
    <w:p>
      <w:pPr>
        <w:ind w:left="6368" w:hanging="511"/>
        <w:spacing w:after="0"/>
        <w:tabs>
          <w:tab w:leader="none" w:pos="6368" w:val="left"/>
        </w:tabs>
        <w:numPr>
          <w:ilvl w:val="0"/>
          <w:numId w:val="64"/>
        </w:numPr>
        <w:rPr>
          <w:rFonts w:ascii="Arial" w:cs="Arial" w:eastAsia="Arial" w:hAnsi="Arial"/>
          <w:sz w:val="15"/>
          <w:szCs w:val="15"/>
          <w:color w:val="auto"/>
        </w:rPr>
      </w:pPr>
      <w:r>
        <w:rPr>
          <w:rFonts w:ascii="Arial" w:cs="Arial" w:eastAsia="Arial" w:hAnsi="Arial"/>
          <w:sz w:val="15"/>
          <w:szCs w:val="15"/>
          <w:color w:val="auto"/>
        </w:rPr>
        <w:t>First people</w:t>
      </w:r>
    </w:p>
    <w:p>
      <w:pPr>
        <w:ind w:left="6368" w:hanging="511"/>
        <w:spacing w:after="0"/>
        <w:tabs>
          <w:tab w:leader="none" w:pos="6368" w:val="left"/>
        </w:tabs>
        <w:numPr>
          <w:ilvl w:val="0"/>
          <w:numId w:val="64"/>
        </w:numPr>
        <w:rPr>
          <w:rFonts w:ascii="Arial" w:cs="Arial" w:eastAsia="Arial" w:hAnsi="Arial"/>
          <w:sz w:val="15"/>
          <w:szCs w:val="15"/>
          <w:color w:val="auto"/>
        </w:rPr>
      </w:pPr>
      <w:r>
        <w:rPr>
          <w:rFonts w:ascii="Arial" w:cs="Arial" w:eastAsia="Arial" w:hAnsi="Arial"/>
          <w:sz w:val="15"/>
          <w:szCs w:val="15"/>
          <w:color w:val="auto"/>
        </w:rPr>
        <w:t>DNA of an innovator</w:t>
      </w:r>
    </w:p>
    <w:p>
      <w:pPr>
        <w:ind w:left="6368" w:hanging="511"/>
        <w:spacing w:after="0"/>
        <w:tabs>
          <w:tab w:leader="none" w:pos="6368" w:val="left"/>
        </w:tabs>
        <w:numPr>
          <w:ilvl w:val="0"/>
          <w:numId w:val="64"/>
        </w:numPr>
        <w:rPr>
          <w:rFonts w:ascii="Arial" w:cs="Arial" w:eastAsia="Arial" w:hAnsi="Arial"/>
          <w:sz w:val="15"/>
          <w:szCs w:val="15"/>
          <w:color w:val="auto"/>
        </w:rPr>
      </w:pPr>
      <w:r>
        <w:rPr>
          <w:rFonts w:ascii="Arial" w:cs="Arial" w:eastAsia="Arial" w:hAnsi="Arial"/>
          <w:sz w:val="15"/>
          <w:szCs w:val="15"/>
          <w:color w:val="auto"/>
        </w:rPr>
        <w:t>Be your best version of you</w:t>
      </w:r>
    </w:p>
    <w:p>
      <w:pPr>
        <w:ind w:left="6368" w:hanging="511"/>
        <w:spacing w:after="0"/>
        <w:tabs>
          <w:tab w:leader="none" w:pos="6368" w:val="left"/>
        </w:tabs>
        <w:numPr>
          <w:ilvl w:val="0"/>
          <w:numId w:val="64"/>
        </w:numPr>
        <w:rPr>
          <w:rFonts w:ascii="Arial" w:cs="Arial" w:eastAsia="Arial" w:hAnsi="Arial"/>
          <w:sz w:val="15"/>
          <w:szCs w:val="15"/>
          <w:color w:val="auto"/>
        </w:rPr>
      </w:pPr>
      <w:r>
        <w:rPr>
          <w:rFonts w:ascii="Arial" w:cs="Arial" w:eastAsia="Arial" w:hAnsi="Arial"/>
          <w:sz w:val="15"/>
          <w:szCs w:val="15"/>
          <w:color w:val="auto"/>
        </w:rPr>
        <w:t>Always a positive impact</w:t>
      </w:r>
    </w:p>
    <w:p>
      <w:pPr>
        <w:spacing w:after="0" w:line="173" w:lineRule="exact"/>
        <w:rPr>
          <w:sz w:val="20"/>
          <w:szCs w:val="20"/>
          <w:color w:val="auto"/>
        </w:rPr>
      </w:pPr>
    </w:p>
    <w:p>
      <w:pPr>
        <w:ind w:left="5848" w:right="20"/>
        <w:spacing w:after="0" w:line="258" w:lineRule="auto"/>
        <w:rPr>
          <w:sz w:val="20"/>
          <w:szCs w:val="20"/>
          <w:color w:val="auto"/>
        </w:rPr>
      </w:pPr>
      <w:r>
        <w:rPr>
          <w:rFonts w:ascii="Arial" w:cs="Arial" w:eastAsia="Arial" w:hAnsi="Arial"/>
          <w:sz w:val="15"/>
          <w:szCs w:val="15"/>
          <w:color w:val="auto"/>
        </w:rPr>
        <w:t>We have more than 36 thousand employees, who are distributed in 6 countries as follows:</w:t>
      </w:r>
    </w:p>
    <w:p>
      <w:pPr>
        <w:spacing w:after="0" w:line="130" w:lineRule="exact"/>
        <w:rPr>
          <w:sz w:val="20"/>
          <w:szCs w:val="20"/>
          <w:color w:val="auto"/>
        </w:rPr>
      </w:pPr>
    </w:p>
    <w:p>
      <w:pPr>
        <w:ind w:left="5848"/>
        <w:spacing w:after="0"/>
        <w:rPr>
          <w:sz w:val="20"/>
          <w:szCs w:val="20"/>
          <w:color w:val="auto"/>
        </w:rPr>
      </w:pPr>
      <w:r>
        <w:rPr>
          <w:rFonts w:ascii="Arial" w:cs="Arial" w:eastAsia="Arial" w:hAnsi="Arial"/>
          <w:sz w:val="15"/>
          <w:szCs w:val="15"/>
          <w:b w:val="1"/>
          <w:bCs w:val="1"/>
          <w:color w:val="4472C4"/>
        </w:rPr>
        <w:t>Distribution of our employees by company and country</w:t>
      </w:r>
    </w:p>
    <w:p>
      <w:pPr>
        <w:sectPr>
          <w:pgSz w:w="11900" w:h="16838" w:orient="portrait"/>
          <w:cols w:equalWidth="0" w:num="1">
            <w:col w:w="11268"/>
          </w:cols>
          <w:pgMar w:left="312" w:top="105" w:right="31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8"/>
        <w:spacing w:after="0" w:line="249" w:lineRule="auto"/>
        <w:rPr>
          <w:sz w:val="20"/>
          <w:szCs w:val="20"/>
          <w:color w:val="auto"/>
        </w:rPr>
      </w:pPr>
      <w:r>
        <w:rPr>
          <w:rFonts w:ascii="Arial" w:cs="Arial" w:eastAsia="Arial" w:hAnsi="Arial"/>
          <w:sz w:val="15"/>
          <w:szCs w:val="15"/>
          <w:color w:val="auto"/>
        </w:rPr>
        <w:t>For more information on the transformation strategies of Credicorp’s businesses; initiatives rolled out this year; and the results obtained, please see section Our Businesses in the Annual Report.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660" w:type="dxa"/>
            <w:vAlign w:val="bottom"/>
            <w:tcBorders>
              <w:top w:val="single" w:sz="8" w:color="DBDBDB"/>
              <w:bottom w:val="single" w:sz="8" w:color="C9C9C9"/>
              <w:right w:val="single" w:sz="8" w:color="DBDBDB"/>
            </w:tcBorders>
            <w:shd w:val="clear" w:color="auto" w:fill="F2F2F2"/>
          </w:tcPr>
          <w:p>
            <w:pPr>
              <w:ind w:left="440"/>
              <w:spacing w:after="0"/>
              <w:rPr>
                <w:sz w:val="20"/>
                <w:szCs w:val="20"/>
                <w:color w:val="auto"/>
              </w:rPr>
            </w:pPr>
            <w:r>
              <w:rPr>
                <w:rFonts w:ascii="Arial" w:cs="Arial" w:eastAsia="Arial" w:hAnsi="Arial"/>
                <w:sz w:val="15"/>
                <w:szCs w:val="15"/>
                <w:b w:val="1"/>
                <w:bCs w:val="1"/>
                <w:color w:val="auto"/>
              </w:rPr>
              <w:t>Subsidiary</w:t>
            </w:r>
          </w:p>
        </w:tc>
        <w:tc>
          <w:tcPr>
            <w:tcW w:w="780" w:type="dxa"/>
            <w:vAlign w:val="bottom"/>
            <w:tcBorders>
              <w:top w:val="single" w:sz="8" w:color="DBDBDB"/>
              <w:bottom w:val="single" w:sz="8" w:color="C9C9C9"/>
              <w:right w:val="single" w:sz="8" w:color="DBDBDB"/>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2022</w:t>
            </w:r>
          </w:p>
        </w:tc>
        <w:tc>
          <w:tcPr>
            <w:tcW w:w="760" w:type="dxa"/>
            <w:vAlign w:val="bottom"/>
            <w:tcBorders>
              <w:top w:val="single" w:sz="8" w:color="DBDBDB"/>
              <w:bottom w:val="single" w:sz="8" w:color="C9C9C9"/>
            </w:tcBorders>
            <w:shd w:val="clear" w:color="auto" w:fill="F2F2F2"/>
          </w:tcPr>
          <w:p>
            <w:pPr>
              <w:jc w:val="center"/>
              <w:spacing w:after="0" w:line="185" w:lineRule="exact"/>
              <w:rPr>
                <w:sz w:val="20"/>
                <w:szCs w:val="20"/>
                <w:color w:val="auto"/>
              </w:rPr>
            </w:pPr>
            <w:r>
              <w:rPr>
                <w:rFonts w:ascii="Arial" w:cs="Arial" w:eastAsia="Arial" w:hAnsi="Arial"/>
                <w:sz w:val="13"/>
                <w:szCs w:val="13"/>
                <w:b w:val="1"/>
                <w:bCs w:val="1"/>
                <w:color w:val="auto"/>
              </w:rPr>
              <w:t>2021</w:t>
            </w:r>
            <w:r>
              <w:rPr>
                <w:rFonts w:ascii="Arial" w:cs="Arial" w:eastAsia="Arial" w:hAnsi="Arial"/>
                <w:sz w:val="21"/>
                <w:szCs w:val="21"/>
                <w:b w:val="1"/>
                <w:bCs w:val="1"/>
                <w:color w:val="auto"/>
                <w:vertAlign w:val="superscript"/>
              </w:rPr>
              <w:t>32</w:t>
            </w:r>
          </w:p>
        </w:tc>
        <w:tc>
          <w:tcPr>
            <w:tcW w:w="20" w:type="dxa"/>
            <w:vAlign w:val="bottom"/>
            <w:tcBorders>
              <w:top w:val="single" w:sz="8" w:color="DBDBDB"/>
              <w:bottom w:val="single" w:sz="8" w:color="C9C9C9"/>
            </w:tcBorders>
          </w:tcPr>
          <w:p>
            <w:pPr>
              <w:spacing w:after="0"/>
              <w:rPr>
                <w:sz w:val="16"/>
                <w:szCs w:val="16"/>
                <w:color w:val="auto"/>
              </w:rPr>
            </w:pPr>
          </w:p>
        </w:tc>
      </w:tr>
      <w:tr>
        <w:trPr>
          <w:trHeight w:val="173"/>
        </w:trPr>
        <w:tc>
          <w:tcPr>
            <w:tcW w:w="1660" w:type="dxa"/>
            <w:vAlign w:val="bottom"/>
            <w:tcBorders>
              <w:bottom w:val="single" w:sz="8" w:color="DBDBDB"/>
            </w:tcBorders>
          </w:tcPr>
          <w:p>
            <w:pPr>
              <w:ind w:left="60"/>
              <w:spacing w:after="0"/>
              <w:rPr>
                <w:sz w:val="20"/>
                <w:szCs w:val="20"/>
                <w:color w:val="auto"/>
              </w:rPr>
            </w:pPr>
            <w:r>
              <w:rPr>
                <w:rFonts w:ascii="Arial" w:cs="Arial" w:eastAsia="Arial" w:hAnsi="Arial"/>
                <w:sz w:val="15"/>
                <w:szCs w:val="15"/>
                <w:color w:val="auto"/>
              </w:rPr>
              <w:t>BCP</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rPr>
              <w:t>17,695</w:t>
            </w:r>
          </w:p>
        </w:tc>
        <w:tc>
          <w:tcPr>
            <w:tcW w:w="76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rPr>
              <w:t>17,385</w:t>
            </w:r>
          </w:p>
        </w:tc>
        <w:tc>
          <w:tcPr>
            <w:tcW w:w="20" w:type="dxa"/>
            <w:vAlign w:val="bottom"/>
            <w:tcBorders>
              <w:bottom w:val="single" w:sz="8" w:color="DBDBDB"/>
            </w:tcBorders>
          </w:tcPr>
          <w:p>
            <w:pPr>
              <w:spacing w:after="0"/>
              <w:rPr>
                <w:sz w:val="15"/>
                <w:szCs w:val="15"/>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Pacífico Seguros</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2,444</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2,563</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Prima AFP</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572</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605</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MiBanco</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9,725</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9,878</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Credicorp Capital</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1,939</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1,832</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BCP Bolivia</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1,763</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1,633</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MiBanco Colombia</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2,665</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2,357</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Grupo Crédito</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116</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w w:val="95"/>
              </w:rPr>
              <w:t>93</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BCP Miami *</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rPr>
              <w:t>42</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w w:val="95"/>
              </w:rPr>
              <w:t>42</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Borders>
              <w:bottom w:val="single" w:sz="8" w:color="DBDBDB"/>
            </w:tcBorders>
          </w:tcPr>
          <w:p>
            <w:pPr>
              <w:ind w:left="60"/>
              <w:spacing w:after="0" w:line="164" w:lineRule="exact"/>
              <w:rPr>
                <w:sz w:val="20"/>
                <w:szCs w:val="20"/>
                <w:color w:val="auto"/>
              </w:rPr>
            </w:pPr>
            <w:r>
              <w:rPr>
                <w:rFonts w:ascii="Arial" w:cs="Arial" w:eastAsia="Arial" w:hAnsi="Arial"/>
                <w:sz w:val="15"/>
                <w:szCs w:val="15"/>
                <w:color w:val="auto"/>
              </w:rPr>
              <w:t>BCP Panamá Agency*</w:t>
            </w:r>
          </w:p>
        </w:tc>
        <w:tc>
          <w:tcPr>
            <w:tcW w:w="78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w w:val="95"/>
              </w:rPr>
              <w:t>7</w:t>
            </w:r>
          </w:p>
        </w:tc>
        <w:tc>
          <w:tcPr>
            <w:tcW w:w="760" w:type="dxa"/>
            <w:vAlign w:val="bottom"/>
            <w:tcBorders>
              <w:bottom w:val="single" w:sz="8" w:color="DBDBDB"/>
            </w:tcBorders>
          </w:tcPr>
          <w:p>
            <w:pPr>
              <w:jc w:val="center"/>
              <w:spacing w:after="0" w:line="164" w:lineRule="exact"/>
              <w:rPr>
                <w:sz w:val="20"/>
                <w:szCs w:val="20"/>
                <w:color w:val="auto"/>
              </w:rPr>
            </w:pPr>
            <w:r>
              <w:rPr>
                <w:rFonts w:ascii="Arial" w:cs="Arial" w:eastAsia="Arial" w:hAnsi="Arial"/>
                <w:sz w:val="15"/>
                <w:szCs w:val="15"/>
                <w:color w:val="auto"/>
                <w:w w:val="95"/>
              </w:rPr>
              <w:t>8</w:t>
            </w:r>
          </w:p>
        </w:tc>
        <w:tc>
          <w:tcPr>
            <w:tcW w:w="20" w:type="dxa"/>
            <w:vAlign w:val="bottom"/>
            <w:tcBorders>
              <w:bottom w:val="single" w:sz="8" w:color="DBDBDB"/>
            </w:tcBorders>
          </w:tcPr>
          <w:p>
            <w:pPr>
              <w:spacing w:after="0"/>
              <w:rPr>
                <w:sz w:val="14"/>
                <w:szCs w:val="14"/>
                <w:color w:val="auto"/>
              </w:rPr>
            </w:pPr>
          </w:p>
        </w:tc>
      </w:tr>
      <w:tr>
        <w:trPr>
          <w:trHeight w:val="164"/>
        </w:trPr>
        <w:tc>
          <w:tcPr>
            <w:tcW w:w="1660" w:type="dxa"/>
            <w:vAlign w:val="bottom"/>
          </w:tcPr>
          <w:p>
            <w:pPr>
              <w:ind w:left="60"/>
              <w:spacing w:after="0" w:line="164" w:lineRule="exact"/>
              <w:rPr>
                <w:sz w:val="20"/>
                <w:szCs w:val="20"/>
                <w:color w:val="auto"/>
              </w:rPr>
            </w:pPr>
            <w:r>
              <w:rPr>
                <w:rFonts w:ascii="Arial" w:cs="Arial" w:eastAsia="Arial" w:hAnsi="Arial"/>
                <w:sz w:val="15"/>
                <w:szCs w:val="15"/>
                <w:b w:val="1"/>
                <w:bCs w:val="1"/>
                <w:color w:val="auto"/>
              </w:rPr>
              <w:t>Total Credicorp</w:t>
            </w:r>
          </w:p>
        </w:tc>
        <w:tc>
          <w:tcPr>
            <w:tcW w:w="78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36,968</w:t>
            </w:r>
          </w:p>
        </w:tc>
        <w:tc>
          <w:tcPr>
            <w:tcW w:w="76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36,396</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-1411605</wp:posOffset>
            </wp:positionV>
            <wp:extent cx="2035175" cy="14204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035175" cy="142049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5"/>
          <w:szCs w:val="15"/>
          <w:color w:val="auto"/>
        </w:rPr>
        <w:t>Subsidiaries outside the scope of this report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60"/>
        <w:spacing w:after="0"/>
        <w:tabs>
          <w:tab w:leader="none" w:pos="860" w:val="left"/>
          <w:tab w:leader="none" w:pos="1460" w:val="left"/>
        </w:tabs>
        <w:rPr>
          <w:sz w:val="20"/>
          <w:szCs w:val="20"/>
          <w:color w:val="auto"/>
        </w:rPr>
      </w:pPr>
      <w:r>
        <w:rPr>
          <w:rFonts w:ascii="Arial" w:cs="Arial" w:eastAsia="Arial" w:hAnsi="Arial"/>
          <w:sz w:val="15"/>
          <w:szCs w:val="15"/>
          <w:b w:val="1"/>
          <w:bCs w:val="1"/>
          <w:color w:val="auto"/>
        </w:rPr>
        <w:t>Country</w:t>
        <w:tab/>
        <w:t>2022</w:t>
        <w:tab/>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-104140</wp:posOffset>
            </wp:positionV>
            <wp:extent cx="1266190" cy="951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66190" cy="951865"/>
                    </a:xfrm>
                    <a:prstGeom prst="rect">
                      <a:avLst/>
                    </a:prstGeom>
                    <a:noFill/>
                  </pic:spPr>
                </pic:pic>
              </a:graphicData>
            </a:graphic>
          </wp:anchor>
        </w:drawing>
      </w:r>
    </w:p>
    <w:p>
      <w:pPr>
        <w:spacing w:after="0" w:line="22" w:lineRule="exact"/>
        <w:rPr>
          <w:sz w:val="20"/>
          <w:szCs w:val="20"/>
          <w:color w:val="auto"/>
        </w:rPr>
      </w:pPr>
    </w:p>
    <w:p>
      <w:pPr>
        <w:jc w:val="both"/>
        <w:ind w:left="200"/>
        <w:spacing w:after="0"/>
        <w:tabs>
          <w:tab w:leader="none" w:pos="800" w:val="left"/>
        </w:tabs>
        <w:rPr>
          <w:sz w:val="20"/>
          <w:szCs w:val="20"/>
          <w:color w:val="auto"/>
        </w:rPr>
      </w:pPr>
      <w:r>
        <w:rPr>
          <w:rFonts w:ascii="Arial" w:cs="Arial" w:eastAsia="Arial" w:hAnsi="Arial"/>
          <w:sz w:val="15"/>
          <w:szCs w:val="15"/>
          <w:color w:val="auto"/>
        </w:rPr>
        <w:t>Perú</w:t>
      </w:r>
      <w:r>
        <w:rPr>
          <w:sz w:val="20"/>
          <w:szCs w:val="20"/>
          <w:color w:val="auto"/>
        </w:rPr>
        <w:tab/>
      </w:r>
      <w:r>
        <w:rPr>
          <w:rFonts w:ascii="Arial" w:cs="Arial" w:eastAsia="Arial" w:hAnsi="Arial"/>
          <w:sz w:val="15"/>
          <w:szCs w:val="15"/>
          <w:color w:val="auto"/>
        </w:rPr>
        <w:t>31,094  31,018</w:t>
      </w:r>
    </w:p>
    <w:p>
      <w:pPr>
        <w:spacing w:after="0" w:line="12" w:lineRule="exact"/>
        <w:rPr>
          <w:sz w:val="20"/>
          <w:szCs w:val="20"/>
          <w:color w:val="auto"/>
        </w:rPr>
      </w:pPr>
    </w:p>
    <w:p>
      <w:pPr>
        <w:ind w:left="140"/>
        <w:spacing w:after="0"/>
        <w:tabs>
          <w:tab w:leader="none" w:pos="840" w:val="left"/>
          <w:tab w:leader="none" w:pos="1440" w:val="left"/>
        </w:tabs>
        <w:rPr>
          <w:sz w:val="20"/>
          <w:szCs w:val="20"/>
          <w:color w:val="auto"/>
        </w:rPr>
      </w:pPr>
      <w:r>
        <w:rPr>
          <w:rFonts w:ascii="Arial" w:cs="Arial" w:eastAsia="Arial" w:hAnsi="Arial"/>
          <w:sz w:val="15"/>
          <w:szCs w:val="15"/>
          <w:color w:val="auto"/>
        </w:rPr>
        <w:t>Bolivia</w:t>
      </w:r>
      <w:r>
        <w:rPr>
          <w:sz w:val="20"/>
          <w:szCs w:val="20"/>
          <w:color w:val="auto"/>
        </w:rPr>
        <w:tab/>
      </w:r>
      <w:r>
        <w:rPr>
          <w:rFonts w:ascii="Arial" w:cs="Arial" w:eastAsia="Arial" w:hAnsi="Arial"/>
          <w:sz w:val="15"/>
          <w:szCs w:val="15"/>
          <w:color w:val="auto"/>
        </w:rPr>
        <w:t>1,763</w:t>
        <w:tab/>
        <w:t>1,633</w:t>
      </w:r>
    </w:p>
    <w:p>
      <w:pPr>
        <w:spacing w:after="0" w:line="12" w:lineRule="exact"/>
        <w:rPr>
          <w:sz w:val="20"/>
          <w:szCs w:val="20"/>
          <w:color w:val="auto"/>
        </w:rPr>
      </w:pPr>
    </w:p>
    <w:p>
      <w:pPr>
        <w:ind w:left="200"/>
        <w:spacing w:after="0"/>
        <w:tabs>
          <w:tab w:leader="none" w:pos="960" w:val="left"/>
          <w:tab w:leader="none" w:pos="1540" w:val="left"/>
        </w:tabs>
        <w:rPr>
          <w:sz w:val="20"/>
          <w:szCs w:val="20"/>
          <w:color w:val="auto"/>
        </w:rPr>
      </w:pPr>
      <w:r>
        <w:rPr>
          <w:rFonts w:ascii="Arial" w:cs="Arial" w:eastAsia="Arial" w:hAnsi="Arial"/>
          <w:sz w:val="15"/>
          <w:szCs w:val="15"/>
          <w:color w:val="auto"/>
        </w:rPr>
        <w:t>USA</w:t>
      </w:r>
      <w:r>
        <w:rPr>
          <w:sz w:val="20"/>
          <w:szCs w:val="20"/>
          <w:color w:val="auto"/>
        </w:rPr>
        <w:tab/>
      </w:r>
      <w:r>
        <w:rPr>
          <w:rFonts w:ascii="Arial" w:cs="Arial" w:eastAsia="Arial" w:hAnsi="Arial"/>
          <w:sz w:val="15"/>
          <w:szCs w:val="15"/>
          <w:color w:val="auto"/>
        </w:rPr>
        <w:t>74</w:t>
      </w:r>
      <w:r>
        <w:rPr>
          <w:sz w:val="20"/>
          <w:szCs w:val="20"/>
          <w:color w:val="auto"/>
        </w:rPr>
        <w:tab/>
      </w:r>
      <w:r>
        <w:rPr>
          <w:rFonts w:ascii="Arial" w:cs="Arial" w:eastAsia="Arial" w:hAnsi="Arial"/>
          <w:sz w:val="15"/>
          <w:szCs w:val="15"/>
          <w:color w:val="auto"/>
        </w:rPr>
        <w:t>74</w:t>
      </w:r>
    </w:p>
    <w:p>
      <w:pPr>
        <w:spacing w:after="0" w:line="12" w:lineRule="exact"/>
        <w:rPr>
          <w:sz w:val="20"/>
          <w:szCs w:val="20"/>
          <w:color w:val="auto"/>
        </w:rPr>
      </w:pPr>
    </w:p>
    <w:p>
      <w:pPr>
        <w:ind w:left="40"/>
        <w:spacing w:after="0"/>
        <w:tabs>
          <w:tab w:leader="none" w:pos="840" w:val="left"/>
          <w:tab w:leader="none" w:pos="1440" w:val="left"/>
        </w:tabs>
        <w:rPr>
          <w:sz w:val="20"/>
          <w:szCs w:val="20"/>
          <w:color w:val="auto"/>
        </w:rPr>
      </w:pPr>
      <w:r>
        <w:rPr>
          <w:rFonts w:ascii="Arial" w:cs="Arial" w:eastAsia="Arial" w:hAnsi="Arial"/>
          <w:sz w:val="15"/>
          <w:szCs w:val="15"/>
          <w:color w:val="auto"/>
        </w:rPr>
        <w:t>Colombia</w:t>
        <w:tab/>
        <w:t>3,660</w:t>
        <w:tab/>
        <w:t>3,274</w:t>
      </w:r>
    </w:p>
    <w:p>
      <w:pPr>
        <w:spacing w:after="0" w:line="12" w:lineRule="exact"/>
        <w:rPr>
          <w:sz w:val="20"/>
          <w:szCs w:val="20"/>
          <w:color w:val="auto"/>
        </w:rPr>
      </w:pPr>
    </w:p>
    <w:p>
      <w:pPr>
        <w:ind w:left="80"/>
        <w:spacing w:after="0"/>
        <w:tabs>
          <w:tab w:leader="none" w:pos="900" w:val="left"/>
          <w:tab w:leader="none" w:pos="1500" w:val="left"/>
        </w:tabs>
        <w:rPr>
          <w:sz w:val="20"/>
          <w:szCs w:val="20"/>
          <w:color w:val="auto"/>
        </w:rPr>
      </w:pPr>
      <w:r>
        <w:rPr>
          <w:rFonts w:ascii="Arial" w:cs="Arial" w:eastAsia="Arial" w:hAnsi="Arial"/>
          <w:sz w:val="15"/>
          <w:szCs w:val="15"/>
          <w:color w:val="auto"/>
        </w:rPr>
        <w:t>Panamá</w:t>
      </w:r>
      <w:r>
        <w:rPr>
          <w:sz w:val="20"/>
          <w:szCs w:val="20"/>
          <w:color w:val="auto"/>
        </w:rPr>
        <w:tab/>
      </w:r>
      <w:r>
        <w:rPr>
          <w:rFonts w:ascii="Arial" w:cs="Arial" w:eastAsia="Arial" w:hAnsi="Arial"/>
          <w:sz w:val="15"/>
          <w:szCs w:val="15"/>
          <w:color w:val="auto"/>
        </w:rPr>
        <w:t>159</w:t>
      </w:r>
      <w:r>
        <w:rPr>
          <w:sz w:val="20"/>
          <w:szCs w:val="20"/>
          <w:color w:val="auto"/>
        </w:rPr>
        <w:tab/>
      </w:r>
      <w:r>
        <w:rPr>
          <w:rFonts w:ascii="Arial" w:cs="Arial" w:eastAsia="Arial" w:hAnsi="Arial"/>
          <w:sz w:val="15"/>
          <w:szCs w:val="15"/>
          <w:color w:val="auto"/>
        </w:rPr>
        <w:t>168</w:t>
      </w:r>
    </w:p>
    <w:p>
      <w:pPr>
        <w:spacing w:after="0" w:line="12" w:lineRule="exact"/>
        <w:rPr>
          <w:sz w:val="20"/>
          <w:szCs w:val="20"/>
          <w:color w:val="auto"/>
        </w:rPr>
      </w:pPr>
    </w:p>
    <w:p>
      <w:pPr>
        <w:ind w:left="180"/>
        <w:spacing w:after="0"/>
        <w:tabs>
          <w:tab w:leader="none" w:pos="900" w:val="left"/>
          <w:tab w:leader="none" w:pos="1500" w:val="left"/>
        </w:tabs>
        <w:rPr>
          <w:sz w:val="20"/>
          <w:szCs w:val="20"/>
          <w:color w:val="auto"/>
        </w:rPr>
      </w:pPr>
      <w:r>
        <w:rPr>
          <w:rFonts w:ascii="Arial" w:cs="Arial" w:eastAsia="Arial" w:hAnsi="Arial"/>
          <w:sz w:val="15"/>
          <w:szCs w:val="15"/>
          <w:color w:val="auto"/>
        </w:rPr>
        <w:t>Chile</w:t>
      </w:r>
      <w:r>
        <w:rPr>
          <w:sz w:val="20"/>
          <w:szCs w:val="20"/>
          <w:color w:val="auto"/>
        </w:rPr>
        <w:tab/>
      </w:r>
      <w:r>
        <w:rPr>
          <w:rFonts w:ascii="Arial" w:cs="Arial" w:eastAsia="Arial" w:hAnsi="Arial"/>
          <w:sz w:val="15"/>
          <w:szCs w:val="15"/>
          <w:color w:val="auto"/>
        </w:rPr>
        <w:t>218</w:t>
      </w:r>
      <w:r>
        <w:rPr>
          <w:sz w:val="20"/>
          <w:szCs w:val="20"/>
          <w:color w:val="auto"/>
        </w:rPr>
        <w:tab/>
      </w:r>
      <w:r>
        <w:rPr>
          <w:rFonts w:ascii="Arial" w:cs="Arial" w:eastAsia="Arial" w:hAnsi="Arial"/>
          <w:sz w:val="15"/>
          <w:szCs w:val="15"/>
          <w:color w:val="auto"/>
        </w:rPr>
        <w:t>229</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Credicorp 36,968  36,396</w:t>
      </w:r>
    </w:p>
    <w:p>
      <w:pPr>
        <w:spacing w:after="0" w:line="1095" w:lineRule="exact"/>
        <w:rPr>
          <w:sz w:val="20"/>
          <w:szCs w:val="20"/>
          <w:color w:val="auto"/>
        </w:rPr>
      </w:pPr>
    </w:p>
    <w:p>
      <w:pPr>
        <w:sectPr>
          <w:pgSz w:w="11900" w:h="16838" w:orient="portrait"/>
          <w:cols w:equalWidth="0" w:num="3">
            <w:col w:w="5348" w:space="500"/>
            <w:col w:w="3220" w:space="240"/>
            <w:col w:w="1960"/>
          </w:cols>
          <w:pgMar w:left="312" w:top="105" w:right="319" w:bottom="1440" w:gutter="0" w:footer="0" w:header="0"/>
          <w:type w:val="continuous"/>
        </w:sectPr>
      </w:pPr>
    </w:p>
    <w:p>
      <w:pPr>
        <w:ind w:left="5848"/>
        <w:spacing w:after="0"/>
        <w:rPr>
          <w:sz w:val="20"/>
          <w:szCs w:val="20"/>
          <w:color w:val="auto"/>
        </w:rPr>
      </w:pPr>
      <w:r>
        <w:rPr>
          <w:rFonts w:ascii="Arial" w:cs="Arial" w:eastAsia="Arial" w:hAnsi="Arial"/>
          <w:sz w:val="15"/>
          <w:szCs w:val="15"/>
          <w:color w:val="auto"/>
        </w:rPr>
        <w:t>We are working with two areas linked to our employees’ strategic management.</w:t>
      </w:r>
    </w:p>
    <w:p>
      <w:pPr>
        <w:ind w:left="5848"/>
        <w:spacing w:after="0"/>
        <w:rPr>
          <w:sz w:val="20"/>
          <w:szCs w:val="20"/>
          <w:color w:val="auto"/>
        </w:rPr>
      </w:pPr>
      <w:r>
        <w:rPr>
          <w:rFonts w:ascii="Arial" w:cs="Arial" w:eastAsia="Arial" w:hAnsi="Arial"/>
          <w:sz w:val="15"/>
          <w:szCs w:val="15"/>
          <w:color w:val="auto"/>
        </w:rPr>
        <w:t>On one side, we have Human Management and Development (GDH), which</w:t>
      </w:r>
    </w:p>
    <w:p>
      <w:pPr>
        <w:ind w:left="5848"/>
        <w:spacing w:after="0"/>
        <w:rPr>
          <w:sz w:val="20"/>
          <w:szCs w:val="20"/>
          <w:color w:val="auto"/>
        </w:rPr>
      </w:pPr>
      <w:r>
        <w:rPr>
          <w:rFonts w:ascii="Arial" w:cs="Arial" w:eastAsia="Arial" w:hAnsi="Arial"/>
          <w:sz w:val="15"/>
          <w:szCs w:val="15"/>
          <w:color w:val="auto"/>
        </w:rPr>
        <w:t>focuses on employees in general, and on the other side,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142748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385" w:lineRule="exact"/>
        <w:rPr>
          <w:sz w:val="20"/>
          <w:szCs w:val="20"/>
          <w:color w:val="auto"/>
        </w:rPr>
      </w:pPr>
    </w:p>
    <w:p>
      <w:pPr>
        <w:ind w:left="188" w:hanging="188"/>
        <w:spacing w:after="0"/>
        <w:tabs>
          <w:tab w:leader="none" w:pos="188" w:val="left"/>
        </w:tabs>
        <w:numPr>
          <w:ilvl w:val="0"/>
          <w:numId w:val="65"/>
        </w:numPr>
        <w:rPr>
          <w:rFonts w:ascii="Arial" w:cs="Arial" w:eastAsia="Arial" w:hAnsi="Arial"/>
          <w:sz w:val="25"/>
          <w:szCs w:val="25"/>
          <w:color w:val="auto"/>
          <w:vertAlign w:val="superscript"/>
        </w:rPr>
      </w:pPr>
      <w:r>
        <w:rPr>
          <w:rFonts w:ascii="Arial" w:cs="Arial" w:eastAsia="Arial" w:hAnsi="Arial"/>
          <w:sz w:val="15"/>
          <w:szCs w:val="15"/>
          <w:color w:val="auto"/>
        </w:rPr>
        <w:t>There are differences vs 2021 Report given that some companies’ updates were made after the report was published.</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05" w:right="319" w:bottom="1440" w:gutter="0" w:footer="0" w:header="0"/>
          <w:type w:val="continuous"/>
        </w:sectPr>
      </w:pPr>
    </w:p>
    <w:bookmarkStart w:id="113" w:name="page114"/>
    <w:bookmarkEnd w:id="113"/>
    <w:p>
      <w:pPr>
        <w:jc w:val="both"/>
        <w:spacing w:after="0" w:line="249" w:lineRule="auto"/>
        <w:rPr>
          <w:sz w:val="20"/>
          <w:szCs w:val="20"/>
          <w:color w:val="auto"/>
        </w:rPr>
      </w:pPr>
      <w:r>
        <w:rPr>
          <w:rFonts w:ascii="Arial" w:cs="Arial" w:eastAsia="Arial" w:hAnsi="Arial"/>
          <w:sz w:val="15"/>
          <w:szCs w:val="15"/>
          <w:color w:val="auto"/>
        </w:rPr>
        <w:t>Management, which handles High Potential, Core Team, Xperts and Tops. For more details on our corporate management of Talent, please see the Credicorp Talent Management section.</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Human Development Management area is responsible for implementing the four strategic fronts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94615</wp:posOffset>
            </wp:positionV>
            <wp:extent cx="2927985" cy="15227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27985" cy="152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the sections that follow, we discuss how we align these fronts with our GDH strategy, which is transversal across our subsidiaries and the countries in which we operate.</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Human Management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Employment and Talent Management, Diversity Inclusion and</w:t>
      </w:r>
      <w:r>
        <w:rPr>
          <w:rFonts w:ascii="Arial" w:cs="Arial" w:eastAsia="Arial" w:hAnsi="Arial"/>
          <w:sz w:val="15"/>
          <w:szCs w:val="15"/>
          <w:b w:val="1"/>
          <w:bCs w:val="1"/>
          <w:color w:val="auto"/>
        </w:rPr>
        <w:t xml:space="preserve"> </w:t>
      </w:r>
      <w:r>
        <w:rPr>
          <w:rFonts w:ascii="Arial" w:cs="Arial" w:eastAsia="Arial" w:hAnsi="Arial"/>
          <w:sz w:val="15"/>
          <w:szCs w:val="15"/>
          <w:color w:val="auto"/>
        </w:rPr>
        <w:t>Equality of Opportunities</w:t>
      </w:r>
    </w:p>
    <w:p>
      <w:pPr>
        <w:ind w:right="1520"/>
        <w:spacing w:after="0" w:line="258" w:lineRule="auto"/>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401-1, 401-2, 404-1, 404-2, 404-3, 405-1, 405-2</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Pillar 3</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Digital Profiles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At Credicorp, our Digital Talent plays a key role. Currently, 70 roles are included in the Digital Profile segment, with +2,800 employees al Credicorp level from units such as IT, Data &amp; Analytics, Digital Sales, CRM, Agility, Pricing CIX, Strategic Design, Cybersecurity, among others.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15"/>
          <w:szCs w:val="15"/>
          <w:color w:val="auto"/>
        </w:rPr>
        <w:t>For a role to be defined as Digital Talent, it must meet the following requirements:</w:t>
      </w:r>
    </w:p>
    <w:p>
      <w:pPr>
        <w:spacing w:after="0" w:line="149" w:lineRule="exact"/>
        <w:rPr>
          <w:sz w:val="20"/>
          <w:szCs w:val="20"/>
          <w:color w:val="auto"/>
        </w:rPr>
      </w:pPr>
    </w:p>
    <w:p>
      <w:pPr>
        <w:ind w:left="840"/>
        <w:spacing w:after="0"/>
        <w:rPr>
          <w:sz w:val="20"/>
          <w:szCs w:val="20"/>
          <w:color w:val="auto"/>
        </w:rPr>
      </w:pPr>
      <w:r>
        <w:rPr>
          <w:sz w:val="1"/>
          <w:szCs w:val="1"/>
          <w:color w:val="auto"/>
        </w:rPr>
        <w:drawing>
          <wp:inline distT="0" distB="0" distL="0" distR="0">
            <wp:extent cx="263525" cy="1682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3525" cy="168275"/>
                    </a:xfrm>
                    <a:prstGeom prst="rect">
                      <a:avLst/>
                    </a:prstGeom>
                    <a:noFill/>
                    <a:ln>
                      <a:noFill/>
                    </a:ln>
                  </pic:spPr>
                </pic:pic>
              </a:graphicData>
            </a:graphic>
          </wp:inline>
        </w:drawing>
      </w:r>
      <w:r>
        <w:rPr>
          <w:rFonts w:ascii="Arial" w:cs="Arial" w:eastAsia="Arial" w:hAnsi="Arial"/>
          <w:sz w:val="15"/>
          <w:szCs w:val="15"/>
          <w:color w:val="auto"/>
        </w:rPr>
        <w:t xml:space="preserve"> Has digital/technological expertise.</w:t>
      </w:r>
    </w:p>
    <w:p>
      <w:pPr>
        <w:spacing w:after="0" w:line="3" w:lineRule="exact"/>
        <w:rPr>
          <w:sz w:val="20"/>
          <w:szCs w:val="20"/>
          <w:color w:val="auto"/>
        </w:rPr>
      </w:pPr>
    </w:p>
    <w:p>
      <w:pPr>
        <w:ind w:left="840"/>
        <w:spacing w:after="0"/>
        <w:rPr>
          <w:sz w:val="20"/>
          <w:szCs w:val="20"/>
          <w:color w:val="auto"/>
        </w:rPr>
      </w:pPr>
      <w:r>
        <w:rPr>
          <w:sz w:val="1"/>
          <w:szCs w:val="1"/>
          <w:color w:val="auto"/>
        </w:rPr>
        <w:drawing>
          <wp:inline distT="0" distB="0" distL="0" distR="0">
            <wp:extent cx="263525" cy="16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3525" cy="168275"/>
                    </a:xfrm>
                    <a:prstGeom prst="rect">
                      <a:avLst/>
                    </a:prstGeom>
                    <a:noFill/>
                    <a:ln>
                      <a:noFill/>
                    </a:ln>
                  </pic:spPr>
                </pic:pic>
              </a:graphicData>
            </a:graphic>
          </wp:inline>
        </w:drawing>
      </w:r>
      <w:r>
        <w:rPr>
          <w:rFonts w:ascii="Arial" w:cs="Arial" w:eastAsia="Arial" w:hAnsi="Arial"/>
          <w:sz w:val="15"/>
          <w:szCs w:val="15"/>
          <w:color w:val="auto"/>
        </w:rPr>
        <w:t xml:space="preserve"> Uses agile methodologies and work structures.</w:t>
      </w:r>
    </w:p>
    <w:p>
      <w:pPr>
        <w:spacing w:after="0" w:line="3" w:lineRule="exact"/>
        <w:rPr>
          <w:sz w:val="20"/>
          <w:szCs w:val="20"/>
          <w:color w:val="auto"/>
        </w:rPr>
      </w:pPr>
    </w:p>
    <w:p>
      <w:pPr>
        <w:ind w:left="840"/>
        <w:spacing w:after="0"/>
        <w:rPr>
          <w:sz w:val="20"/>
          <w:szCs w:val="20"/>
          <w:color w:val="auto"/>
        </w:rPr>
      </w:pPr>
      <w:r>
        <w:rPr>
          <w:sz w:val="1"/>
          <w:szCs w:val="1"/>
          <w:color w:val="auto"/>
        </w:rPr>
        <w:drawing>
          <wp:inline distT="0" distB="0" distL="0" distR="0">
            <wp:extent cx="263525" cy="16827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3525" cy="168275"/>
                    </a:xfrm>
                    <a:prstGeom prst="rect">
                      <a:avLst/>
                    </a:prstGeom>
                    <a:noFill/>
                    <a:ln>
                      <a:noFill/>
                    </a:ln>
                  </pic:spPr>
                </pic:pic>
              </a:graphicData>
            </a:graphic>
          </wp:inline>
        </w:drawing>
      </w:r>
      <w:r>
        <w:rPr>
          <w:rFonts w:ascii="Arial" w:cs="Arial" w:eastAsia="Arial" w:hAnsi="Arial"/>
          <w:sz w:val="15"/>
          <w:szCs w:val="15"/>
          <w:color w:val="auto"/>
        </w:rPr>
        <w:t xml:space="preserve"> Develops and/or maintains digital products.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At BCP, Credicorp’s main subsidiary, we have 2,300 employees from the Digital Talent segment (80% of the total) focused on turning BCP into a Digital Bank.</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we focused on strengthening the value proposition we offer this group. To accomplish this, we redesigned various products and human management processes: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Recruitment and Selection</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are experiencing challenges due to a lack of talent, which has impacted countries around the globe. This has led us to expand our scope to other countries and to design as well as implement different operating models based on the profile and level of expertise required, including internal recruitment cells, which are comprised of digital recruiters, specialized boutique suppliers, and recruitment process outsourcing (RPO).</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Employer Brand</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have worked hand-in-hand with leaders in digital profiles to strengthen our employer brand by communicating our value proposition through venues such as meet ups, universities, conferences, etc. Additionally, we have established partnerships with both local and international tech education platforms to reach specialized talent. Our presence in the social networks, communities and specialized forum is vital to our efforts to reach our target market to inform them of our internal and external initiatives. We are working on expanding the funnel of candidates by focusing on developing trainee programs for Cybersecurity and Security Architecture.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Learning and Development</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On this front, our objective is to reduce the expertise gap of our specialists to mobilize their teams’ productivity. For this purpose, we have designed an upskilling strategy based on a capacities’ model (tools, technology and knowledge) that contemplates different levels that are associated with observable behaviors, which provide evidence of the growth of our employees within their specialty.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312" w:right="319" w:bottom="1440" w:gutter="0" w:footer="0" w:header="0"/>
        </w:sectPr>
      </w:pPr>
    </w:p>
    <w:bookmarkStart w:id="114" w:name="page115"/>
    <w:bookmarkEnd w:id="114"/>
    <w:p>
      <w:pPr>
        <w:spacing w:after="0" w:line="33"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Additionally, we incorporate dimensions of leadership, communication, cultural fit and problem solving in our career path maps, which help us identify the gaps in each employee’s development. Subsequently, we roll out personalized learning routes based on the tech-digital capacities defined for each team.</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FF66CC"/>
        </w:rPr>
        <w:t>Leadership</w:t>
      </w:r>
    </w:p>
    <w:p>
      <w:pPr>
        <w:spacing w:after="0" w:line="191"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We realized that it is not enough to merely develop tech digital capacities. As such, we defined the functional and leadership capacities that Product Owners (PO) need; identified existing gaps; designed and designed and rolled out the corresponding learning journey. Additionally, we designed and launched the specialized leaders’ leadership program</w:t>
      </w:r>
      <w:r>
        <w:rPr>
          <w:rFonts w:ascii="Arial" w:cs="Arial" w:eastAsia="Arial" w:hAnsi="Arial"/>
          <w:sz w:val="25"/>
          <w:szCs w:val="25"/>
          <w:color w:val="auto"/>
          <w:vertAlign w:val="superscript"/>
        </w:rPr>
        <w:t>33</w:t>
      </w:r>
      <w:r>
        <w:rPr>
          <w:rFonts w:ascii="Arial" w:cs="Arial" w:eastAsia="Arial" w:hAnsi="Arial"/>
          <w:sz w:val="15"/>
          <w:szCs w:val="15"/>
          <w:color w:val="auto"/>
        </w:rPr>
        <w: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4472C4"/>
        </w:rPr>
        <w:t>Main achievements 2022</w:t>
      </w:r>
    </w:p>
    <w:p>
      <w:pPr>
        <w:spacing w:after="0" w:line="191" w:lineRule="exact"/>
        <w:rPr>
          <w:sz w:val="20"/>
          <w:szCs w:val="20"/>
          <w:color w:val="auto"/>
        </w:rPr>
      </w:pPr>
    </w:p>
    <w:p>
      <w:pPr>
        <w:jc w:val="both"/>
        <w:ind w:left="548" w:right="20" w:hanging="548"/>
        <w:spacing w:after="0" w:line="249" w:lineRule="auto"/>
        <w:tabs>
          <w:tab w:leader="none" w:pos="548" w:val="left"/>
        </w:tabs>
        <w:numPr>
          <w:ilvl w:val="0"/>
          <w:numId w:val="66"/>
        </w:numPr>
        <w:rPr>
          <w:rFonts w:ascii="Arial" w:cs="Arial" w:eastAsia="Arial" w:hAnsi="Arial"/>
          <w:sz w:val="15"/>
          <w:szCs w:val="15"/>
          <w:color w:val="auto"/>
        </w:rPr>
      </w:pPr>
      <w:r>
        <w:rPr>
          <w:rFonts w:ascii="Arial" w:cs="Arial" w:eastAsia="Arial" w:hAnsi="Arial"/>
          <w:sz w:val="15"/>
          <w:szCs w:val="15"/>
          <w:color w:val="auto"/>
        </w:rPr>
        <w:t>Our new Recruitment and Selection Strategy allows us to conduct more effective searches in terms of time and quality of candidates (More than 900 processes closed).</w:t>
      </w:r>
    </w:p>
    <w:p>
      <w:pPr>
        <w:spacing w:after="0" w:line="154" w:lineRule="exact"/>
        <w:rPr>
          <w:rFonts w:ascii="Arial" w:cs="Arial" w:eastAsia="Arial" w:hAnsi="Arial"/>
          <w:sz w:val="15"/>
          <w:szCs w:val="15"/>
          <w:color w:val="auto"/>
        </w:rPr>
      </w:pPr>
    </w:p>
    <w:p>
      <w:pPr>
        <w:jc w:val="both"/>
        <w:ind w:left="548" w:right="20" w:hanging="548"/>
        <w:spacing w:after="0" w:line="258" w:lineRule="auto"/>
        <w:tabs>
          <w:tab w:leader="none" w:pos="548" w:val="left"/>
        </w:tabs>
        <w:numPr>
          <w:ilvl w:val="0"/>
          <w:numId w:val="66"/>
        </w:numPr>
        <w:rPr>
          <w:rFonts w:ascii="Arial" w:cs="Arial" w:eastAsia="Arial" w:hAnsi="Arial"/>
          <w:sz w:val="15"/>
          <w:szCs w:val="15"/>
          <w:color w:val="auto"/>
        </w:rPr>
      </w:pPr>
      <w:r>
        <w:rPr>
          <w:rFonts w:ascii="Arial" w:cs="Arial" w:eastAsia="Arial" w:hAnsi="Arial"/>
          <w:sz w:val="15"/>
          <w:szCs w:val="15"/>
          <w:color w:val="auto"/>
        </w:rPr>
        <w:t>Design and roll out of the Upskilling strategy, which contemplates a new methodology for career maps (Reduced the talent gap by 10.7%).</w:t>
      </w:r>
    </w:p>
    <w:p>
      <w:pPr>
        <w:spacing w:after="0" w:line="147" w:lineRule="exact"/>
        <w:rPr>
          <w:rFonts w:ascii="Arial" w:cs="Arial" w:eastAsia="Arial" w:hAnsi="Arial"/>
          <w:sz w:val="15"/>
          <w:szCs w:val="15"/>
          <w:color w:val="auto"/>
        </w:rPr>
      </w:pPr>
    </w:p>
    <w:p>
      <w:pPr>
        <w:jc w:val="both"/>
        <w:ind w:left="548" w:right="20" w:hanging="548"/>
        <w:spacing w:after="0" w:line="252" w:lineRule="auto"/>
        <w:tabs>
          <w:tab w:leader="none" w:pos="548" w:val="left"/>
        </w:tabs>
        <w:numPr>
          <w:ilvl w:val="0"/>
          <w:numId w:val="66"/>
        </w:numPr>
        <w:rPr>
          <w:rFonts w:ascii="Arial" w:cs="Arial" w:eastAsia="Arial" w:hAnsi="Arial"/>
          <w:sz w:val="15"/>
          <w:szCs w:val="15"/>
          <w:color w:val="auto"/>
        </w:rPr>
      </w:pPr>
      <w:r>
        <w:rPr>
          <w:rFonts w:ascii="Arial" w:cs="Arial" w:eastAsia="Arial" w:hAnsi="Arial"/>
          <w:sz w:val="15"/>
          <w:szCs w:val="15"/>
          <w:color w:val="auto"/>
        </w:rPr>
        <w:t>Successful roll out of personalized learning routes for Digital Profile chapters and leadership roles (Product Owner and specialized leaders).</w:t>
      </w:r>
    </w:p>
    <w:p>
      <w:pPr>
        <w:spacing w:after="0" w:line="312" w:lineRule="exact"/>
        <w:rPr>
          <w:sz w:val="20"/>
          <w:szCs w:val="20"/>
          <w:color w:val="auto"/>
        </w:rPr>
      </w:pPr>
    </w:p>
    <w:p>
      <w:pPr>
        <w:jc w:val="both"/>
        <w:ind w:left="8"/>
        <w:spacing w:after="0" w:line="247" w:lineRule="auto"/>
        <w:rPr>
          <w:sz w:val="20"/>
          <w:szCs w:val="20"/>
          <w:color w:val="auto"/>
        </w:rPr>
      </w:pPr>
      <w:r>
        <w:rPr>
          <w:rFonts w:ascii="Arial" w:cs="Arial" w:eastAsia="Arial" w:hAnsi="Arial"/>
          <w:sz w:val="15"/>
          <w:szCs w:val="15"/>
          <w:color w:val="auto"/>
        </w:rPr>
        <w:t xml:space="preserve">In 2023, on the Recruiting and </w:t>
      </w:r>
      <w:r>
        <w:rPr>
          <w:rFonts w:ascii="Arial" w:cs="Arial" w:eastAsia="Arial" w:hAnsi="Arial"/>
          <w:sz w:val="15"/>
          <w:szCs w:val="15"/>
          <w:b w:val="1"/>
          <w:bCs w:val="1"/>
          <w:color w:val="auto"/>
        </w:rPr>
        <w:t>Selection front</w:t>
      </w:r>
      <w:r>
        <w:rPr>
          <w:rFonts w:ascii="Arial" w:cs="Arial" w:eastAsia="Arial" w:hAnsi="Arial"/>
          <w:sz w:val="15"/>
          <w:szCs w:val="15"/>
          <w:color w:val="auto"/>
        </w:rPr>
        <w:t xml:space="preserve">, we will work on consolidating and scaling our new selection model and on expanding our presence in other countries. With regard to </w:t>
      </w:r>
      <w:r>
        <w:rPr>
          <w:rFonts w:ascii="Arial" w:cs="Arial" w:eastAsia="Arial" w:hAnsi="Arial"/>
          <w:sz w:val="15"/>
          <w:szCs w:val="15"/>
          <w:b w:val="1"/>
          <w:bCs w:val="1"/>
          <w:color w:val="auto"/>
        </w:rPr>
        <w:t>Learning and Upskilling</w:t>
      </w:r>
      <w:r>
        <w:rPr>
          <w:rFonts w:ascii="Arial" w:cs="Arial" w:eastAsia="Arial" w:hAnsi="Arial"/>
          <w:sz w:val="15"/>
          <w:szCs w:val="15"/>
          <w:color w:val="auto"/>
        </w:rPr>
        <w:t xml:space="preserve">, we will capitalize on everything we have learned this year and scale our strategy to 18 chapters. Additionally, we will continue working on strategic planning of </w:t>
      </w:r>
      <w:r>
        <w:rPr>
          <w:rFonts w:ascii="Arial" w:cs="Arial" w:eastAsia="Arial" w:hAnsi="Arial"/>
          <w:sz w:val="15"/>
          <w:szCs w:val="15"/>
          <w:b w:val="1"/>
          <w:bCs w:val="1"/>
          <w:color w:val="auto"/>
        </w:rPr>
        <w:t>Learning</w:t>
      </w:r>
      <w:r>
        <w:rPr>
          <w:rFonts w:ascii="Arial" w:cs="Arial" w:eastAsia="Arial" w:hAnsi="Arial"/>
          <w:sz w:val="15"/>
          <w:szCs w:val="15"/>
          <w:color w:val="auto"/>
        </w:rPr>
        <w:t xml:space="preserve"> Initiatives to improve the capacities of our specialists so that they can fulfill their business objectives.</w:t>
      </w:r>
    </w:p>
    <w:p>
      <w:pPr>
        <w:spacing w:after="0" w:line="141" w:lineRule="exact"/>
        <w:rPr>
          <w:sz w:val="20"/>
          <w:szCs w:val="20"/>
          <w:color w:val="auto"/>
        </w:rPr>
      </w:pPr>
    </w:p>
    <w:p>
      <w:pPr>
        <w:jc w:val="both"/>
        <w:ind w:left="8"/>
        <w:spacing w:after="0" w:line="254" w:lineRule="auto"/>
        <w:rPr>
          <w:sz w:val="20"/>
          <w:szCs w:val="20"/>
          <w:color w:val="auto"/>
        </w:rPr>
      </w:pPr>
      <w:r>
        <w:rPr>
          <w:rFonts w:ascii="Arial" w:cs="Arial" w:eastAsia="Arial" w:hAnsi="Arial"/>
          <w:sz w:val="15"/>
          <w:szCs w:val="15"/>
          <w:color w:val="auto"/>
        </w:rPr>
        <w:t xml:space="preserve">On the </w:t>
      </w:r>
      <w:r>
        <w:rPr>
          <w:rFonts w:ascii="Arial" w:cs="Arial" w:eastAsia="Arial" w:hAnsi="Arial"/>
          <w:sz w:val="15"/>
          <w:szCs w:val="15"/>
          <w:b w:val="1"/>
          <w:bCs w:val="1"/>
          <w:color w:val="auto"/>
        </w:rPr>
        <w:t>Leadership</w:t>
      </w:r>
      <w:r>
        <w:rPr>
          <w:rFonts w:ascii="Arial" w:cs="Arial" w:eastAsia="Arial" w:hAnsi="Arial"/>
          <w:sz w:val="15"/>
          <w:szCs w:val="15"/>
          <w:color w:val="auto"/>
        </w:rPr>
        <w:t xml:space="preserve"> front, we will continue developing Wave 2 of the Leadership Program for Chapter Leaders and PO Journey. The program entails the functional learning journey, which will help us achieve an educational coverage rate of 100% for Chapter Leaders and POs.</w:t>
      </w:r>
    </w:p>
    <w:p>
      <w:pPr>
        <w:spacing w:after="0" w:line="152"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About the corporate level plans, we will continue efforts to share applied methodologies top-down with subsidiaries based on their needs. At this point, however, we have yet to achieve 100% scaling.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8834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50" w:lineRule="exact"/>
        <w:rPr>
          <w:sz w:val="20"/>
          <w:szCs w:val="20"/>
          <w:color w:val="auto"/>
        </w:rPr>
      </w:pPr>
    </w:p>
    <w:p>
      <w:pPr>
        <w:jc w:val="both"/>
        <w:ind w:left="8" w:hanging="8"/>
        <w:spacing w:after="0" w:line="206" w:lineRule="auto"/>
        <w:tabs>
          <w:tab w:leader="none" w:pos="220" w:val="left"/>
        </w:tabs>
        <w:numPr>
          <w:ilvl w:val="0"/>
          <w:numId w:val="67"/>
        </w:numPr>
        <w:rPr>
          <w:rFonts w:ascii="Arial" w:cs="Arial" w:eastAsia="Arial" w:hAnsi="Arial"/>
          <w:sz w:val="26"/>
          <w:szCs w:val="26"/>
          <w:color w:val="121212"/>
          <w:vertAlign w:val="superscript"/>
        </w:rPr>
      </w:pPr>
      <w:r>
        <w:rPr>
          <w:rFonts w:ascii="Arial" w:cs="Arial" w:eastAsia="Arial" w:hAnsi="Arial"/>
          <w:sz w:val="15"/>
          <w:szCs w:val="15"/>
          <w:color w:val="121212"/>
        </w:rPr>
        <w:t>Chapters Leads leadership program: Backend Java, Testing, Front End Mobile, Data Engineer, Data Steward, DevSecCops, Solution Architecture, Business Architecture, Hosting Automation, Security Architecture, Marktech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609600</wp:posOffset>
            </wp:positionV>
            <wp:extent cx="7152640"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Employee Experience and Satisfaction</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121212"/>
        </w:rPr>
        <w:t>To inspire, strengthen and dynamize the best professionals, we have launched a number of programs to attract talent; recruitment processes to ensure that adequate profiles are considered; and training to develop the knowledge necessary to reach business objectives in a diverse environment with equal opportunities.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Our Employee Experience Model is based on 4 strategic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110490</wp:posOffset>
            </wp:positionV>
            <wp:extent cx="2927985" cy="13176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927985" cy="131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121212"/>
        </w:rPr>
        <w:t>As part of the initiatives on the Employee Experience Front, we conducted a survey to measure the overall satisfaction of our employees with an eye on all examining all of the aspects related to the work experience at our companies. We obtained the following results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112</w:t>
      </w:r>
    </w:p>
    <w:p>
      <w:pPr>
        <w:sectPr>
          <w:pgSz w:w="11900" w:h="16838" w:orient="portrait"/>
          <w:cols w:equalWidth="0" w:num="2">
            <w:col w:w="5408" w:space="440"/>
            <w:col w:w="5420"/>
          </w:cols>
          <w:pgMar w:left="312" w:top="279" w:right="319" w:bottom="1440" w:gutter="0" w:footer="0" w:header="0"/>
        </w:sectPr>
      </w:pPr>
    </w:p>
    <w:bookmarkStart w:id="115" w:name="page116"/>
    <w:bookmarkEnd w:id="115"/>
    <w:p>
      <w:pPr>
        <w:ind w:left="1620"/>
        <w:spacing w:after="0"/>
        <w:rPr>
          <w:sz w:val="20"/>
          <w:szCs w:val="20"/>
          <w:color w:val="auto"/>
        </w:rPr>
      </w:pPr>
      <w:r>
        <w:rPr>
          <w:rFonts w:ascii="Arial" w:cs="Arial" w:eastAsia="Arial" w:hAnsi="Arial"/>
          <w:sz w:val="15"/>
          <w:szCs w:val="15"/>
          <w:b w:val="1"/>
          <w:bCs w:val="1"/>
          <w:color w:val="121212"/>
        </w:rPr>
        <w:t>Employee Experience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121920</wp:posOffset>
            </wp:positionV>
            <wp:extent cx="2927985" cy="13614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927985"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2F5496"/>
        </w:rPr>
        <w:t>Future of Work – Hybrid Work Model</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121212"/>
        </w:rPr>
        <w:t>During the pandemic, almost 90% of our employees worked from home. Post-pandemic, we worked to incorporate the lessons learned during this period to evaluate new forms of work. In response, we created the Future Work project to design a methodology to segment employees based on different needs for on-site work. With this focus in mind, we designed alternatives to 100% in-office work, which entailed providing digital tools to our employees; empowering leaders; reshaping workday hours; and injecting more flexibility.</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121212"/>
        </w:rPr>
        <w:t>Since August 2022, at BCP, the model has been adopted by all our teams with the flexibility required to ensure that each profile can integrate, connect and share while maintaining high levels of productivity and respecting work-life conciliation. The satisfaction level for this initiative was 73% (top two box)</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2F5496"/>
        </w:rPr>
        <w:t>Strengthening our performance</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121212"/>
        </w:rPr>
        <w:t>We focus on ensuring that all of our employees develop their maximum potential. To this end, we have developed training plans at each of our subsidiaries, which are complemented by periodic performance assessments to help our employees develop personally and professionally.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Our Learning Programs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121212"/>
        </w:rPr>
        <w:t>These programs and developed and executed through each of our subsidiaries to ensure that the specific needs of their employees and business strategies are met. Program roll out is through the digital learning platforms at each of the companies and some notable examples are d Campus BCP, Universidad Mibanco, Campus Prima AFP, Aprende Credicorp Capital and Campus Pacífico.</w:t>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Arial" w:cs="Arial" w:eastAsia="Arial" w:hAnsi="Arial"/>
          <w:sz w:val="15"/>
          <w:szCs w:val="15"/>
          <w:color w:val="auto"/>
        </w:rPr>
        <w:t xml:space="preserve">In 2022, all of our subsidiaries offered high-value training programs. At BCP Peru, for example, we have developed induction programs for positions that have mass entries. Additionally, through the UDEMY digital platform, we promote a culture of collaborative learning that is self-managed and provide training on agile methodologies and project management. We have also developed a </w:t>
      </w:r>
      <w:r>
        <w:rPr>
          <w:rFonts w:ascii="Arial" w:cs="Arial" w:eastAsia="Arial" w:hAnsi="Arial"/>
          <w:sz w:val="15"/>
          <w:szCs w:val="15"/>
          <w:b w:val="1"/>
          <w:bCs w:val="1"/>
          <w:color w:val="auto"/>
        </w:rPr>
        <w:t>Trainee Program</w:t>
      </w:r>
      <w:r>
        <w:rPr>
          <w:rFonts w:ascii="Arial" w:cs="Arial" w:eastAsia="Arial" w:hAnsi="Arial"/>
          <w:sz w:val="15"/>
          <w:szCs w:val="15"/>
          <w:color w:val="auto"/>
        </w:rPr>
        <w:t xml:space="preserve"> for young college students who are about to graduate so that they can work in the Middle Market Banking and Loan areas at BCP. At the end of the training period, participants may be offered a position on one of these teams.</w:t>
      </w:r>
    </w:p>
    <w:p>
      <w:pPr>
        <w:spacing w:after="0" w:line="32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At Pacifico Seguros and Prima AFP, we have </w:t>
      </w:r>
      <w:r>
        <w:rPr>
          <w:rFonts w:ascii="Arial" w:cs="Arial" w:eastAsia="Arial" w:hAnsi="Arial"/>
          <w:sz w:val="15"/>
          <w:szCs w:val="15"/>
          <w:b w:val="1"/>
          <w:bCs w:val="1"/>
          <w:color w:val="auto"/>
        </w:rPr>
        <w:t>Programa Fortalece,</w:t>
      </w:r>
      <w:r>
        <w:rPr>
          <w:rFonts w:ascii="Arial" w:cs="Arial" w:eastAsia="Arial" w:hAnsi="Arial"/>
          <w:sz w:val="15"/>
          <w:szCs w:val="15"/>
          <w:color w:val="auto"/>
        </w:rPr>
        <w:t xml:space="preserve"> which is a training program with six strategic fronts that address issues related to improving wellbeing; workplace relations; productivity; soft skills; adaptation to the hybrid work model; agile experience; sustainability; gender equity; compliance; and programs to increase professionalization and focuses on results.</w:t>
      </w:r>
    </w:p>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As a complement, we have </w:t>
      </w:r>
      <w:r>
        <w:rPr>
          <w:rFonts w:ascii="Arial" w:cs="Arial" w:eastAsia="Arial" w:hAnsi="Arial"/>
          <w:sz w:val="15"/>
          <w:szCs w:val="15"/>
          <w:b w:val="1"/>
          <w:bCs w:val="1"/>
          <w:color w:val="auto"/>
        </w:rPr>
        <w:t>Escuela de Seguros y Pensiones,</w:t>
      </w:r>
      <w:r>
        <w:rPr>
          <w:rFonts w:ascii="Arial" w:cs="Arial" w:eastAsia="Arial" w:hAnsi="Arial"/>
          <w:sz w:val="15"/>
          <w:szCs w:val="15"/>
          <w:color w:val="auto"/>
        </w:rPr>
        <w:t xml:space="preserve"> which seeks to professionalize employees’ management of products and processes on the insurance and pension fronts, and the </w:t>
      </w:r>
      <w:r>
        <w:rPr>
          <w:rFonts w:ascii="Arial" w:cs="Arial" w:eastAsia="Arial" w:hAnsi="Arial"/>
          <w:sz w:val="15"/>
          <w:szCs w:val="15"/>
          <w:b w:val="1"/>
          <w:bCs w:val="1"/>
          <w:color w:val="auto"/>
        </w:rPr>
        <w:t>Escuela Líder</w:t>
      </w:r>
      <w:r>
        <w:rPr>
          <w:rFonts w:ascii="Arial" w:cs="Arial" w:eastAsia="Arial" w:hAnsi="Arial"/>
          <w:sz w:val="15"/>
          <w:szCs w:val="15"/>
          <w:color w:val="auto"/>
        </w:rPr>
        <w:t>, which focuses on developing leaders on two levels: personal leadership and team leadership. Leaders have the option to request external courses that are aligned with their functions and the company will assume the cost.</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more information on these topics and the number of training hours imparted at each of our subsidiaries, see Annex “Education and Training.”</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Performance Management</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121212"/>
        </w:rPr>
        <w:t>The models to assess performance at our main subsidiaries consists of periodic assessments of employees to maximize their performance and align their individual contribution with each company’s strategic, financial and operating priorities. Additionally, we seek on-going feedback from leaders, peers and employees through a formal performance assessment. This evaluation is conducted periodically and considers each employee’s contribution to objectives and how said contribution was achieved, which must be aligned with the Group’s principles and expectations regarding behavior.</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121212"/>
        </w:rPr>
        <w:t>The aforementioned assessment and feedback processes are rolled out on a quarterly and semester basis. In the quarterly reviews, the objective is to generate formal spaces to interact to receive and provide feedback to recognize and value the effort of employees or identify areas for improvement. On a semester basis, the objective is to value the quantitative results obtained through the KPIs/KRs and recognize the contribution that is behind these results.</w:t>
      </w:r>
    </w:p>
    <w:p>
      <w:pPr>
        <w:spacing w:after="0" w:line="33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121212"/>
        </w:rPr>
        <w:t>In 2022, 98% of our employees were subjects of a periodic performance assessment and feedback.</w:t>
      </w:r>
    </w:p>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121212"/>
        </w:rPr>
        <w:t>To learn about the metrics of our periodic assessments by gender and job category, please see the Performance Management Annex.</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94" w:right="319" w:bottom="1440" w:gutter="0" w:footer="0" w:header="0"/>
        </w:sectPr>
      </w:pPr>
    </w:p>
    <w:bookmarkStart w:id="116" w:name="page117"/>
    <w:bookmarkEnd w:id="116"/>
    <w:p>
      <w:pPr>
        <w:spacing w:after="0"/>
        <w:rPr>
          <w:sz w:val="20"/>
          <w:szCs w:val="20"/>
          <w:color w:val="auto"/>
        </w:rPr>
      </w:pPr>
      <w:r>
        <w:rPr>
          <w:rFonts w:ascii="Arial" w:cs="Arial" w:eastAsia="Arial" w:hAnsi="Arial"/>
          <w:sz w:val="15"/>
          <w:szCs w:val="15"/>
          <w:color w:val="2F5496"/>
        </w:rPr>
        <w:t>Attractive Workplace Benefits</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2022 we reviewed the benefits offered to Credicorp’s employees at both the transversal and individual levels and by subsidiary. By the end of 2023, we hope to have culminated efforts to develop a benefits structure that can be applied transversally across the group. In parallel, we will continue working on structures that are differentiated by subsidiary to respond to distinct challenges and needs. As part of its value proposition, Credicorp offers employees a series of benefits that may differ by subsidiary and range from financial and health benefits, flexible schedules, lines of assistance, to discounts at establishments. Importantly, we promote mental and physical health through diverse initiatives.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The main benefits are distributed within the following fronts: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3425825" cy="27819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5825" cy="278193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Borders>
              <w:top w:val="single" w:sz="8" w:color="auto"/>
            </w:tcBorders>
            <w:shd w:val="clear" w:color="auto" w:fill="002060"/>
          </w:tcPr>
          <w:p>
            <w:pPr>
              <w:spacing w:after="0"/>
              <w:rPr>
                <w:sz w:val="15"/>
                <w:szCs w:val="15"/>
                <w:color w:val="auto"/>
              </w:rPr>
            </w:pPr>
          </w:p>
        </w:tc>
        <w:tc>
          <w:tcPr>
            <w:tcW w:w="446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color w:val="auto"/>
              </w:rPr>
              <w:t>● Health Insurance</w:t>
            </w:r>
          </w:p>
        </w:tc>
        <w:tc>
          <w:tcPr>
            <w:tcW w:w="0" w:type="dxa"/>
            <w:vAlign w:val="bottom"/>
          </w:tcPr>
          <w:p>
            <w:pPr>
              <w:spacing w:after="0"/>
              <w:rPr>
                <w:sz w:val="1"/>
                <w:szCs w:val="1"/>
                <w:color w:val="auto"/>
              </w:rPr>
            </w:pPr>
          </w:p>
        </w:tc>
      </w:tr>
      <w:tr>
        <w:trPr>
          <w:trHeight w:val="173"/>
        </w:trPr>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5"/>
                <w:szCs w:val="15"/>
                <w:b w:val="1"/>
                <w:bCs w:val="1"/>
                <w:color w:val="FFFFFF"/>
              </w:rPr>
              <w:t>General</w:t>
            </w: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Paid parental leave</w:t>
            </w:r>
          </w:p>
        </w:tc>
        <w:tc>
          <w:tcPr>
            <w:tcW w:w="0" w:type="dxa"/>
            <w:vAlign w:val="bottom"/>
          </w:tcPr>
          <w:p>
            <w:pPr>
              <w:spacing w:after="0"/>
              <w:rPr>
                <w:sz w:val="1"/>
                <w:szCs w:val="1"/>
                <w:color w:val="auto"/>
              </w:rPr>
            </w:pPr>
          </w:p>
        </w:tc>
      </w:tr>
      <w:tr>
        <w:trPr>
          <w:trHeight w:val="173"/>
        </w:trPr>
        <w:tc>
          <w:tcPr>
            <w:tcW w:w="920" w:type="dxa"/>
            <w:vAlign w:val="bottom"/>
            <w:vMerge w:val="continue"/>
            <w:shd w:val="clear" w:color="auto" w:fill="002060"/>
          </w:tcPr>
          <w:p>
            <w:pPr>
              <w:spacing w:after="0"/>
              <w:rPr>
                <w:sz w:val="15"/>
                <w:szCs w:val="15"/>
                <w:color w:val="auto"/>
              </w:rPr>
            </w:pP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Support for the children of deceased employees</w:t>
            </w:r>
          </w:p>
        </w:tc>
        <w:tc>
          <w:tcPr>
            <w:tcW w:w="0" w:type="dxa"/>
            <w:vAlign w:val="bottom"/>
          </w:tcPr>
          <w:p>
            <w:pPr>
              <w:spacing w:after="0"/>
              <w:rPr>
                <w:sz w:val="1"/>
                <w:szCs w:val="1"/>
                <w:color w:val="auto"/>
              </w:rPr>
            </w:pPr>
          </w:p>
        </w:tc>
      </w:tr>
      <w:tr>
        <w:trPr>
          <w:trHeight w:val="173"/>
        </w:trPr>
        <w:tc>
          <w:tcPr>
            <w:tcW w:w="920" w:type="dxa"/>
            <w:vAlign w:val="bottom"/>
            <w:shd w:val="clear" w:color="auto" w:fill="002060"/>
          </w:tcPr>
          <w:p>
            <w:pPr>
              <w:spacing w:after="0"/>
              <w:rPr>
                <w:sz w:val="15"/>
                <w:szCs w:val="15"/>
                <w:color w:val="auto"/>
              </w:rPr>
            </w:pP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4260" w:type="dxa"/>
            <w:vAlign w:val="bottom"/>
          </w:tcPr>
          <w:p>
            <w:pPr>
              <w:ind w:left="100"/>
              <w:spacing w:after="0"/>
              <w:rPr>
                <w:sz w:val="20"/>
                <w:szCs w:val="20"/>
                <w:color w:val="auto"/>
              </w:rPr>
            </w:pPr>
            <w:r>
              <w:rPr>
                <w:rFonts w:ascii="Arial" w:cs="Arial" w:eastAsia="Arial" w:hAnsi="Arial"/>
                <w:sz w:val="15"/>
                <w:szCs w:val="15"/>
                <w:color w:val="auto"/>
              </w:rPr>
              <w:t>Days off for death of a direct family member of serious</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shd w:val="clear" w:color="auto" w:fill="002060"/>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accident</w:t>
            </w:r>
          </w:p>
        </w:tc>
        <w:tc>
          <w:tcPr>
            <w:tcW w:w="0" w:type="dxa"/>
            <w:vAlign w:val="bottom"/>
          </w:tcPr>
          <w:p>
            <w:pPr>
              <w:spacing w:after="0"/>
              <w:rPr>
                <w:sz w:val="1"/>
                <w:szCs w:val="1"/>
                <w:color w:val="auto"/>
              </w:rPr>
            </w:pPr>
          </w:p>
        </w:tc>
      </w:tr>
      <w:tr>
        <w:trPr>
          <w:trHeight w:val="164"/>
        </w:trPr>
        <w:tc>
          <w:tcPr>
            <w:tcW w:w="920" w:type="dxa"/>
            <w:vAlign w:val="bottom"/>
            <w:shd w:val="clear" w:color="auto" w:fill="002060"/>
          </w:tcPr>
          <w:p>
            <w:pPr>
              <w:spacing w:after="0"/>
              <w:rPr>
                <w:sz w:val="14"/>
                <w:szCs w:val="14"/>
                <w:color w:val="auto"/>
              </w:rPr>
            </w:pPr>
          </w:p>
        </w:tc>
        <w:tc>
          <w:tcPr>
            <w:tcW w:w="200" w:type="dxa"/>
            <w:vAlign w:val="bottom"/>
          </w:tcPr>
          <w:p>
            <w:pPr>
              <w:ind w:left="80"/>
              <w:spacing w:after="0" w:line="164" w:lineRule="exact"/>
              <w:rPr>
                <w:sz w:val="20"/>
                <w:szCs w:val="20"/>
                <w:color w:val="auto"/>
              </w:rPr>
            </w:pPr>
            <w:r>
              <w:rPr>
                <w:rFonts w:ascii="Arial" w:cs="Arial" w:eastAsia="Arial" w:hAnsi="Arial"/>
                <w:sz w:val="15"/>
                <w:szCs w:val="15"/>
                <w:color w:val="auto"/>
              </w:rPr>
              <w:t>●</w:t>
            </w:r>
          </w:p>
        </w:tc>
        <w:tc>
          <w:tcPr>
            <w:tcW w:w="4260" w:type="dxa"/>
            <w:vAlign w:val="bottom"/>
          </w:tcPr>
          <w:p>
            <w:pPr>
              <w:ind w:left="100"/>
              <w:spacing w:after="0" w:line="164" w:lineRule="exact"/>
              <w:rPr>
                <w:sz w:val="20"/>
                <w:szCs w:val="20"/>
                <w:color w:val="auto"/>
              </w:rPr>
            </w:pPr>
            <w:r>
              <w:rPr>
                <w:rFonts w:ascii="Arial" w:cs="Arial" w:eastAsia="Arial" w:hAnsi="Arial"/>
                <w:sz w:val="15"/>
                <w:szCs w:val="15"/>
                <w:color w:val="auto"/>
              </w:rPr>
              <w:t>Special interest rates on free-availability credit, mortgage</w:t>
            </w:r>
          </w:p>
        </w:tc>
        <w:tc>
          <w:tcPr>
            <w:tcW w:w="0" w:type="dxa"/>
            <w:vAlign w:val="bottom"/>
          </w:tcPr>
          <w:p>
            <w:pPr>
              <w:spacing w:after="0"/>
              <w:rPr>
                <w:sz w:val="1"/>
                <w:szCs w:val="1"/>
                <w:color w:val="auto"/>
              </w:rPr>
            </w:pPr>
          </w:p>
        </w:tc>
      </w:tr>
      <w:tr>
        <w:trPr>
          <w:trHeight w:val="173"/>
        </w:trPr>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5"/>
                <w:szCs w:val="15"/>
                <w:b w:val="1"/>
                <w:bCs w:val="1"/>
                <w:color w:val="FFFFFF"/>
              </w:rPr>
              <w:t>Financing</w:t>
            </w:r>
          </w:p>
        </w:tc>
        <w:tc>
          <w:tcPr>
            <w:tcW w:w="20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5"/>
                <w:szCs w:val="15"/>
                <w:color w:val="auto"/>
              </w:rPr>
              <w:t>loans, student loans, car loans and administrative loans in</w:t>
            </w:r>
          </w:p>
        </w:tc>
        <w:tc>
          <w:tcPr>
            <w:tcW w:w="0" w:type="dxa"/>
            <w:vAlign w:val="bottom"/>
          </w:tcPr>
          <w:p>
            <w:pPr>
              <w:spacing w:after="0"/>
              <w:rPr>
                <w:sz w:val="1"/>
                <w:szCs w:val="1"/>
                <w:color w:val="auto"/>
              </w:rPr>
            </w:pPr>
          </w:p>
        </w:tc>
      </w:tr>
      <w:tr>
        <w:trPr>
          <w:trHeight w:val="173"/>
        </w:trPr>
        <w:tc>
          <w:tcPr>
            <w:tcW w:w="920" w:type="dxa"/>
            <w:vAlign w:val="bottom"/>
            <w:vMerge w:val="continue"/>
            <w:shd w:val="clear" w:color="auto" w:fill="002060"/>
          </w:tcPr>
          <w:p>
            <w:pPr>
              <w:spacing w:after="0"/>
              <w:rPr>
                <w:sz w:val="15"/>
                <w:szCs w:val="15"/>
                <w:color w:val="auto"/>
              </w:rPr>
            </w:pPr>
          </w:p>
        </w:tc>
        <w:tc>
          <w:tcPr>
            <w:tcW w:w="20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5"/>
                <w:szCs w:val="15"/>
                <w:color w:val="auto"/>
              </w:rPr>
              <w:t>case of emergency</w:t>
            </w:r>
          </w:p>
        </w:tc>
        <w:tc>
          <w:tcPr>
            <w:tcW w:w="0" w:type="dxa"/>
            <w:vAlign w:val="bottom"/>
          </w:tcPr>
          <w:p>
            <w:pPr>
              <w:spacing w:after="0"/>
              <w:rPr>
                <w:sz w:val="1"/>
                <w:szCs w:val="1"/>
                <w:color w:val="auto"/>
              </w:rPr>
            </w:pPr>
          </w:p>
        </w:tc>
      </w:tr>
      <w:tr>
        <w:trPr>
          <w:trHeight w:val="173"/>
        </w:trPr>
        <w:tc>
          <w:tcPr>
            <w:tcW w:w="920" w:type="dxa"/>
            <w:vAlign w:val="bottom"/>
            <w:shd w:val="clear" w:color="auto" w:fill="002060"/>
          </w:tcPr>
          <w:p>
            <w:pPr>
              <w:spacing w:after="0"/>
              <w:rPr>
                <w:sz w:val="15"/>
                <w:szCs w:val="15"/>
                <w:color w:val="auto"/>
              </w:rPr>
            </w:pP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Special rates and upgrade for credit cards and preferential</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shd w:val="clear" w:color="auto" w:fill="002060"/>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exchange rate.</w:t>
            </w:r>
          </w:p>
        </w:tc>
        <w:tc>
          <w:tcPr>
            <w:tcW w:w="0" w:type="dxa"/>
            <w:vAlign w:val="bottom"/>
          </w:tcPr>
          <w:p>
            <w:pPr>
              <w:spacing w:after="0"/>
              <w:rPr>
                <w:sz w:val="1"/>
                <w:szCs w:val="1"/>
                <w:color w:val="auto"/>
              </w:rPr>
            </w:pPr>
          </w:p>
        </w:tc>
      </w:tr>
      <w:tr>
        <w:trPr>
          <w:trHeight w:val="164"/>
        </w:trPr>
        <w:tc>
          <w:tcPr>
            <w:tcW w:w="920" w:type="dxa"/>
            <w:vAlign w:val="bottom"/>
            <w:shd w:val="clear" w:color="auto" w:fill="002060"/>
          </w:tcPr>
          <w:p>
            <w:pPr>
              <w:spacing w:after="0"/>
              <w:rPr>
                <w:sz w:val="14"/>
                <w:szCs w:val="14"/>
                <w:color w:val="auto"/>
              </w:rPr>
            </w:pPr>
          </w:p>
        </w:tc>
        <w:tc>
          <w:tcPr>
            <w:tcW w:w="4460" w:type="dxa"/>
            <w:vAlign w:val="bottom"/>
            <w:gridSpan w:val="2"/>
          </w:tcPr>
          <w:p>
            <w:pPr>
              <w:ind w:left="80"/>
              <w:spacing w:after="0" w:line="164" w:lineRule="exact"/>
              <w:rPr>
                <w:sz w:val="20"/>
                <w:szCs w:val="20"/>
                <w:color w:val="auto"/>
              </w:rPr>
            </w:pPr>
            <w:r>
              <w:rPr>
                <w:rFonts w:ascii="Arial" w:cs="Arial" w:eastAsia="Arial" w:hAnsi="Arial"/>
                <w:sz w:val="15"/>
                <w:szCs w:val="15"/>
                <w:color w:val="auto"/>
              </w:rPr>
              <w:t>● Health Plan</w:t>
            </w:r>
          </w:p>
        </w:tc>
        <w:tc>
          <w:tcPr>
            <w:tcW w:w="0" w:type="dxa"/>
            <w:vAlign w:val="bottom"/>
          </w:tcPr>
          <w:p>
            <w:pPr>
              <w:spacing w:after="0"/>
              <w:rPr>
                <w:sz w:val="1"/>
                <w:szCs w:val="1"/>
                <w:color w:val="auto"/>
              </w:rPr>
            </w:pPr>
          </w:p>
        </w:tc>
      </w:tr>
      <w:tr>
        <w:trPr>
          <w:trHeight w:val="173"/>
        </w:trPr>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5"/>
                <w:szCs w:val="15"/>
                <w:b w:val="1"/>
                <w:bCs w:val="1"/>
                <w:color w:val="FFFFFF"/>
              </w:rPr>
              <w:t>Health</w:t>
            </w: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Collective Oncological Insurance</w:t>
            </w:r>
          </w:p>
        </w:tc>
        <w:tc>
          <w:tcPr>
            <w:tcW w:w="0" w:type="dxa"/>
            <w:vAlign w:val="bottom"/>
          </w:tcPr>
          <w:p>
            <w:pPr>
              <w:spacing w:after="0"/>
              <w:rPr>
                <w:sz w:val="1"/>
                <w:szCs w:val="1"/>
                <w:color w:val="auto"/>
              </w:rPr>
            </w:pPr>
          </w:p>
        </w:tc>
      </w:tr>
      <w:tr>
        <w:trPr>
          <w:trHeight w:val="93"/>
        </w:trPr>
        <w:tc>
          <w:tcPr>
            <w:tcW w:w="920" w:type="dxa"/>
            <w:vAlign w:val="bottom"/>
            <w:vMerge w:val="continue"/>
            <w:shd w:val="clear" w:color="auto" w:fill="002060"/>
          </w:tcPr>
          <w:p>
            <w:pPr>
              <w:spacing w:after="0"/>
              <w:rPr>
                <w:sz w:val="8"/>
                <w:szCs w:val="8"/>
                <w:color w:val="auto"/>
              </w:rPr>
            </w:pPr>
          </w:p>
        </w:tc>
        <w:tc>
          <w:tcPr>
            <w:tcW w:w="4460" w:type="dxa"/>
            <w:vAlign w:val="bottom"/>
            <w:gridSpan w:val="2"/>
            <w:vMerge w:val="restart"/>
          </w:tcPr>
          <w:p>
            <w:pPr>
              <w:ind w:left="80"/>
              <w:spacing w:after="0"/>
              <w:rPr>
                <w:sz w:val="20"/>
                <w:szCs w:val="20"/>
                <w:color w:val="auto"/>
              </w:rPr>
            </w:pPr>
            <w:r>
              <w:rPr>
                <w:rFonts w:ascii="Arial" w:cs="Arial" w:eastAsia="Arial" w:hAnsi="Arial"/>
                <w:sz w:val="15"/>
                <w:szCs w:val="15"/>
                <w:color w:val="auto"/>
              </w:rPr>
              <w:t>● Breast-feeding rooms</w:t>
            </w:r>
          </w:p>
        </w:tc>
        <w:tc>
          <w:tcPr>
            <w:tcW w:w="0" w:type="dxa"/>
            <w:vAlign w:val="bottom"/>
          </w:tcPr>
          <w:p>
            <w:pPr>
              <w:spacing w:after="0"/>
              <w:rPr>
                <w:sz w:val="1"/>
                <w:szCs w:val="1"/>
                <w:color w:val="auto"/>
              </w:rPr>
            </w:pPr>
          </w:p>
        </w:tc>
      </w:tr>
      <w:tr>
        <w:trPr>
          <w:trHeight w:val="80"/>
        </w:trPr>
        <w:tc>
          <w:tcPr>
            <w:tcW w:w="920" w:type="dxa"/>
            <w:vAlign w:val="bottom"/>
            <w:shd w:val="clear" w:color="auto" w:fill="002060"/>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shd w:val="clear" w:color="auto" w:fill="002060"/>
          </w:tcPr>
          <w:p>
            <w:pPr>
              <w:spacing w:after="0"/>
              <w:rPr>
                <w:sz w:val="15"/>
                <w:szCs w:val="15"/>
                <w:color w:val="auto"/>
              </w:rPr>
            </w:pPr>
          </w:p>
        </w:tc>
        <w:tc>
          <w:tcPr>
            <w:tcW w:w="44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auto"/>
              </w:rPr>
              <w:t>● Days off for oncological exams</w:t>
            </w:r>
          </w:p>
        </w:tc>
        <w:tc>
          <w:tcPr>
            <w:tcW w:w="0" w:type="dxa"/>
            <w:vAlign w:val="bottom"/>
          </w:tcPr>
          <w:p>
            <w:pPr>
              <w:spacing w:after="0"/>
              <w:rPr>
                <w:sz w:val="1"/>
                <w:szCs w:val="1"/>
                <w:color w:val="auto"/>
              </w:rPr>
            </w:pPr>
          </w:p>
        </w:tc>
      </w:tr>
      <w:tr>
        <w:trPr>
          <w:trHeight w:val="164"/>
        </w:trPr>
        <w:tc>
          <w:tcPr>
            <w:tcW w:w="920" w:type="dxa"/>
            <w:vAlign w:val="bottom"/>
            <w:shd w:val="clear" w:color="auto" w:fill="002060"/>
          </w:tcPr>
          <w:p>
            <w:pPr>
              <w:spacing w:after="0"/>
              <w:rPr>
                <w:sz w:val="14"/>
                <w:szCs w:val="14"/>
                <w:color w:val="auto"/>
              </w:rPr>
            </w:pPr>
          </w:p>
        </w:tc>
        <w:tc>
          <w:tcPr>
            <w:tcW w:w="4460" w:type="dxa"/>
            <w:vAlign w:val="bottom"/>
            <w:gridSpan w:val="2"/>
          </w:tcPr>
          <w:p>
            <w:pPr>
              <w:ind w:left="80"/>
              <w:spacing w:after="0" w:line="164" w:lineRule="exact"/>
              <w:rPr>
                <w:sz w:val="20"/>
                <w:szCs w:val="20"/>
                <w:color w:val="auto"/>
              </w:rPr>
            </w:pPr>
            <w:r>
              <w:rPr>
                <w:rFonts w:ascii="Arial" w:cs="Arial" w:eastAsia="Arial" w:hAnsi="Arial"/>
                <w:sz w:val="15"/>
                <w:szCs w:val="15"/>
                <w:color w:val="auto"/>
              </w:rPr>
              <w:t>● Flexible schedules</w:t>
            </w:r>
          </w:p>
        </w:tc>
        <w:tc>
          <w:tcPr>
            <w:tcW w:w="0" w:type="dxa"/>
            <w:vAlign w:val="bottom"/>
          </w:tcPr>
          <w:p>
            <w:pPr>
              <w:spacing w:after="0"/>
              <w:rPr>
                <w:sz w:val="1"/>
                <w:szCs w:val="1"/>
                <w:color w:val="auto"/>
              </w:rPr>
            </w:pPr>
          </w:p>
        </w:tc>
      </w:tr>
      <w:tr>
        <w:trPr>
          <w:trHeight w:val="173"/>
        </w:trPr>
        <w:tc>
          <w:tcPr>
            <w:tcW w:w="920" w:type="dxa"/>
            <w:vAlign w:val="bottom"/>
            <w:shd w:val="clear" w:color="auto" w:fill="002060"/>
          </w:tcPr>
          <w:p>
            <w:pPr>
              <w:spacing w:after="0"/>
              <w:rPr>
                <w:sz w:val="15"/>
                <w:szCs w:val="15"/>
                <w:color w:val="auto"/>
              </w:rPr>
            </w:pP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Half-day off on Fridays</w:t>
            </w:r>
          </w:p>
        </w:tc>
        <w:tc>
          <w:tcPr>
            <w:tcW w:w="0" w:type="dxa"/>
            <w:vAlign w:val="bottom"/>
          </w:tcPr>
          <w:p>
            <w:pPr>
              <w:spacing w:after="0"/>
              <w:rPr>
                <w:sz w:val="1"/>
                <w:szCs w:val="1"/>
                <w:color w:val="auto"/>
              </w:rPr>
            </w:pPr>
          </w:p>
        </w:tc>
      </w:tr>
      <w:tr>
        <w:trPr>
          <w:trHeight w:val="173"/>
        </w:trPr>
        <w:tc>
          <w:tcPr>
            <w:tcW w:w="920" w:type="dxa"/>
            <w:vAlign w:val="bottom"/>
            <w:shd w:val="clear" w:color="auto" w:fill="002060"/>
          </w:tcPr>
          <w:p>
            <w:pPr>
              <w:spacing w:after="0"/>
              <w:rPr>
                <w:sz w:val="15"/>
                <w:szCs w:val="15"/>
                <w:color w:val="auto"/>
              </w:rPr>
            </w:pP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Days off for employee’s wedding</w:t>
            </w:r>
          </w:p>
        </w:tc>
        <w:tc>
          <w:tcPr>
            <w:tcW w:w="0" w:type="dxa"/>
            <w:vAlign w:val="bottom"/>
          </w:tcPr>
          <w:p>
            <w:pPr>
              <w:spacing w:after="0"/>
              <w:rPr>
                <w:sz w:val="1"/>
                <w:szCs w:val="1"/>
                <w:color w:val="auto"/>
              </w:rPr>
            </w:pPr>
          </w:p>
        </w:tc>
      </w:tr>
      <w:tr>
        <w:trPr>
          <w:trHeight w:val="173"/>
        </w:trPr>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5"/>
                <w:szCs w:val="15"/>
                <w:b w:val="1"/>
                <w:bCs w:val="1"/>
                <w:color w:val="FFFFFF"/>
              </w:rPr>
              <w:t>Wellbeing</w:t>
            </w: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Progressive return to the office post-maternity leave</w:t>
            </w:r>
          </w:p>
        </w:tc>
        <w:tc>
          <w:tcPr>
            <w:tcW w:w="0" w:type="dxa"/>
            <w:vAlign w:val="bottom"/>
          </w:tcPr>
          <w:p>
            <w:pPr>
              <w:spacing w:after="0"/>
              <w:rPr>
                <w:sz w:val="1"/>
                <w:szCs w:val="1"/>
                <w:color w:val="auto"/>
              </w:rPr>
            </w:pPr>
          </w:p>
        </w:tc>
      </w:tr>
      <w:tr>
        <w:trPr>
          <w:trHeight w:val="63"/>
        </w:trPr>
        <w:tc>
          <w:tcPr>
            <w:tcW w:w="920" w:type="dxa"/>
            <w:vAlign w:val="bottom"/>
            <w:vMerge w:val="continue"/>
            <w:shd w:val="clear" w:color="auto" w:fill="002060"/>
          </w:tcPr>
          <w:p>
            <w:pPr>
              <w:spacing w:after="0"/>
              <w:rPr>
                <w:sz w:val="5"/>
                <w:szCs w:val="5"/>
                <w:color w:val="auto"/>
              </w:rPr>
            </w:pPr>
          </w:p>
        </w:tc>
        <w:tc>
          <w:tcPr>
            <w:tcW w:w="4460" w:type="dxa"/>
            <w:vAlign w:val="bottom"/>
            <w:gridSpan w:val="2"/>
            <w:vMerge w:val="restart"/>
          </w:tcPr>
          <w:p>
            <w:pPr>
              <w:ind w:left="80"/>
              <w:spacing w:after="0"/>
              <w:rPr>
                <w:sz w:val="20"/>
                <w:szCs w:val="20"/>
                <w:color w:val="auto"/>
              </w:rPr>
            </w:pPr>
            <w:r>
              <w:rPr>
                <w:rFonts w:ascii="Arial" w:cs="Arial" w:eastAsia="Arial" w:hAnsi="Arial"/>
                <w:sz w:val="15"/>
                <w:szCs w:val="15"/>
                <w:color w:val="auto"/>
              </w:rPr>
              <w:t>● Hybrid work</w:t>
            </w:r>
          </w:p>
        </w:tc>
        <w:tc>
          <w:tcPr>
            <w:tcW w:w="0" w:type="dxa"/>
            <w:vAlign w:val="bottom"/>
          </w:tcPr>
          <w:p>
            <w:pPr>
              <w:spacing w:after="0"/>
              <w:rPr>
                <w:sz w:val="1"/>
                <w:szCs w:val="1"/>
                <w:color w:val="auto"/>
              </w:rPr>
            </w:pPr>
          </w:p>
        </w:tc>
      </w:tr>
      <w:tr>
        <w:trPr>
          <w:trHeight w:val="110"/>
        </w:trPr>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5"/>
                <w:szCs w:val="15"/>
                <w:b w:val="1"/>
                <w:bCs w:val="1"/>
                <w:color w:val="FFFFFF"/>
              </w:rPr>
              <w:t>and</w:t>
            </w:r>
          </w:p>
        </w:tc>
        <w:tc>
          <w:tcPr>
            <w:tcW w:w="4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920" w:type="dxa"/>
            <w:vAlign w:val="bottom"/>
            <w:vMerge w:val="continue"/>
            <w:shd w:val="clear" w:color="auto" w:fill="002060"/>
          </w:tcPr>
          <w:p>
            <w:pPr>
              <w:spacing w:after="0"/>
              <w:rPr>
                <w:sz w:val="5"/>
                <w:szCs w:val="5"/>
                <w:color w:val="auto"/>
              </w:rPr>
            </w:pPr>
          </w:p>
        </w:tc>
        <w:tc>
          <w:tcPr>
            <w:tcW w:w="4460" w:type="dxa"/>
            <w:vAlign w:val="bottom"/>
            <w:gridSpan w:val="2"/>
            <w:vMerge w:val="restart"/>
          </w:tcPr>
          <w:p>
            <w:pPr>
              <w:ind w:left="80"/>
              <w:spacing w:after="0"/>
              <w:rPr>
                <w:sz w:val="20"/>
                <w:szCs w:val="20"/>
                <w:color w:val="auto"/>
              </w:rPr>
            </w:pPr>
            <w:r>
              <w:rPr>
                <w:rFonts w:ascii="Arial" w:cs="Arial" w:eastAsia="Arial" w:hAnsi="Arial"/>
                <w:sz w:val="15"/>
                <w:szCs w:val="15"/>
                <w:color w:val="auto"/>
              </w:rPr>
              <w:t>● Lines of assistance: emotional, nutritional, legal and financial</w:t>
            </w:r>
          </w:p>
        </w:tc>
        <w:tc>
          <w:tcPr>
            <w:tcW w:w="0" w:type="dxa"/>
            <w:vAlign w:val="bottom"/>
          </w:tcPr>
          <w:p>
            <w:pPr>
              <w:spacing w:after="0"/>
              <w:rPr>
                <w:sz w:val="1"/>
                <w:szCs w:val="1"/>
                <w:color w:val="auto"/>
              </w:rPr>
            </w:pPr>
          </w:p>
        </w:tc>
      </w:tr>
      <w:tr>
        <w:trPr>
          <w:trHeight w:val="110"/>
        </w:trPr>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5"/>
                <w:szCs w:val="15"/>
                <w:b w:val="1"/>
                <w:bCs w:val="1"/>
                <w:color w:val="FFFFFF"/>
              </w:rPr>
              <w:t>Quality of</w:t>
            </w:r>
          </w:p>
        </w:tc>
        <w:tc>
          <w:tcPr>
            <w:tcW w:w="4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920" w:type="dxa"/>
            <w:vAlign w:val="bottom"/>
            <w:vMerge w:val="continue"/>
            <w:shd w:val="clear" w:color="auto" w:fill="002060"/>
          </w:tcPr>
          <w:p>
            <w:pPr>
              <w:spacing w:after="0"/>
              <w:rPr>
                <w:sz w:val="5"/>
                <w:szCs w:val="5"/>
                <w:color w:val="auto"/>
              </w:rPr>
            </w:pPr>
          </w:p>
        </w:tc>
        <w:tc>
          <w:tcPr>
            <w:tcW w:w="200" w:type="dxa"/>
            <w:vAlign w:val="bottom"/>
          </w:tcPr>
          <w:p>
            <w:pPr>
              <w:spacing w:after="0"/>
              <w:rPr>
                <w:sz w:val="5"/>
                <w:szCs w:val="5"/>
                <w:color w:val="auto"/>
              </w:rPr>
            </w:pPr>
          </w:p>
        </w:tc>
        <w:tc>
          <w:tcPr>
            <w:tcW w:w="4260" w:type="dxa"/>
            <w:vAlign w:val="bottom"/>
            <w:vMerge w:val="restart"/>
          </w:tcPr>
          <w:p>
            <w:pPr>
              <w:ind w:left="20"/>
              <w:spacing w:after="0"/>
              <w:rPr>
                <w:sz w:val="20"/>
                <w:szCs w:val="20"/>
                <w:color w:val="auto"/>
              </w:rPr>
            </w:pPr>
            <w:r>
              <w:rPr>
                <w:rFonts w:ascii="Arial" w:cs="Arial" w:eastAsia="Arial" w:hAnsi="Arial"/>
                <w:sz w:val="15"/>
                <w:szCs w:val="15"/>
                <w:color w:val="auto"/>
              </w:rPr>
              <w:t>support</w:t>
            </w:r>
          </w:p>
        </w:tc>
        <w:tc>
          <w:tcPr>
            <w:tcW w:w="0" w:type="dxa"/>
            <w:vAlign w:val="bottom"/>
          </w:tcPr>
          <w:p>
            <w:pPr>
              <w:spacing w:after="0"/>
              <w:rPr>
                <w:sz w:val="1"/>
                <w:szCs w:val="1"/>
                <w:color w:val="auto"/>
              </w:rPr>
            </w:pPr>
          </w:p>
        </w:tc>
      </w:tr>
      <w:tr>
        <w:trPr>
          <w:trHeight w:val="110"/>
        </w:trPr>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5"/>
                <w:szCs w:val="15"/>
                <w:b w:val="1"/>
                <w:bCs w:val="1"/>
                <w:color w:val="FFFFFF"/>
              </w:rPr>
              <w:t>Life</w:t>
            </w:r>
          </w:p>
        </w:tc>
        <w:tc>
          <w:tcPr>
            <w:tcW w:w="20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920" w:type="dxa"/>
            <w:vAlign w:val="bottom"/>
            <w:vMerge w:val="continue"/>
            <w:shd w:val="clear" w:color="auto" w:fill="002060"/>
          </w:tcPr>
          <w:p>
            <w:pPr>
              <w:spacing w:after="0"/>
              <w:rPr>
                <w:sz w:val="8"/>
                <w:szCs w:val="8"/>
                <w:color w:val="auto"/>
              </w:rPr>
            </w:pPr>
          </w:p>
        </w:tc>
        <w:tc>
          <w:tcPr>
            <w:tcW w:w="4460" w:type="dxa"/>
            <w:vAlign w:val="bottom"/>
            <w:gridSpan w:val="2"/>
            <w:vMerge w:val="restart"/>
          </w:tcPr>
          <w:p>
            <w:pPr>
              <w:ind w:left="80"/>
              <w:spacing w:after="0"/>
              <w:rPr>
                <w:sz w:val="20"/>
                <w:szCs w:val="20"/>
                <w:color w:val="auto"/>
              </w:rPr>
            </w:pPr>
            <w:r>
              <w:rPr>
                <w:rFonts w:ascii="Arial" w:cs="Arial" w:eastAsia="Arial" w:hAnsi="Arial"/>
                <w:sz w:val="15"/>
                <w:szCs w:val="15"/>
                <w:color w:val="auto"/>
              </w:rPr>
              <w:t>● Emotional support and mental health</w:t>
            </w:r>
          </w:p>
        </w:tc>
        <w:tc>
          <w:tcPr>
            <w:tcW w:w="0" w:type="dxa"/>
            <w:vAlign w:val="bottom"/>
          </w:tcPr>
          <w:p>
            <w:pPr>
              <w:spacing w:after="0"/>
              <w:rPr>
                <w:sz w:val="1"/>
                <w:szCs w:val="1"/>
                <w:color w:val="auto"/>
              </w:rPr>
            </w:pPr>
          </w:p>
        </w:tc>
      </w:tr>
      <w:tr>
        <w:trPr>
          <w:trHeight w:val="80"/>
        </w:trPr>
        <w:tc>
          <w:tcPr>
            <w:tcW w:w="920" w:type="dxa"/>
            <w:vAlign w:val="bottom"/>
            <w:shd w:val="clear" w:color="auto" w:fill="002060"/>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920" w:type="dxa"/>
            <w:vAlign w:val="bottom"/>
            <w:shd w:val="clear" w:color="auto" w:fill="002060"/>
          </w:tcPr>
          <w:p>
            <w:pPr>
              <w:spacing w:after="0"/>
              <w:rPr>
                <w:sz w:val="15"/>
                <w:szCs w:val="15"/>
                <w:color w:val="auto"/>
              </w:rPr>
            </w:pP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Cost-free, personalized nutrition support for employees,</w:t>
            </w:r>
          </w:p>
        </w:tc>
        <w:tc>
          <w:tcPr>
            <w:tcW w:w="0" w:type="dxa"/>
            <w:vAlign w:val="bottom"/>
          </w:tcPr>
          <w:p>
            <w:pPr>
              <w:spacing w:after="0"/>
              <w:rPr>
                <w:sz w:val="1"/>
                <w:szCs w:val="1"/>
                <w:color w:val="auto"/>
              </w:rPr>
            </w:pPr>
          </w:p>
        </w:tc>
      </w:tr>
      <w:tr>
        <w:trPr>
          <w:trHeight w:val="173"/>
        </w:trPr>
        <w:tc>
          <w:tcPr>
            <w:tcW w:w="920" w:type="dxa"/>
            <w:vAlign w:val="bottom"/>
            <w:shd w:val="clear" w:color="auto" w:fill="002060"/>
          </w:tcPr>
          <w:p>
            <w:pPr>
              <w:spacing w:after="0"/>
              <w:rPr>
                <w:sz w:val="15"/>
                <w:szCs w:val="15"/>
                <w:color w:val="auto"/>
              </w:rPr>
            </w:pPr>
          </w:p>
        </w:tc>
        <w:tc>
          <w:tcPr>
            <w:tcW w:w="4460" w:type="dxa"/>
            <w:vAlign w:val="bottom"/>
            <w:gridSpan w:val="2"/>
          </w:tcPr>
          <w:p>
            <w:pPr>
              <w:ind w:left="80"/>
              <w:spacing w:after="0"/>
              <w:rPr>
                <w:sz w:val="20"/>
                <w:szCs w:val="20"/>
                <w:color w:val="auto"/>
              </w:rPr>
            </w:pPr>
            <w:r>
              <w:rPr>
                <w:rFonts w:ascii="Arial" w:cs="Arial" w:eastAsia="Arial" w:hAnsi="Arial"/>
                <w:sz w:val="15"/>
                <w:szCs w:val="15"/>
                <w:color w:val="auto"/>
              </w:rPr>
              <w:t>● Taped dance, yoga and functional training classes for</w:t>
            </w:r>
          </w:p>
        </w:tc>
        <w:tc>
          <w:tcPr>
            <w:tcW w:w="0" w:type="dxa"/>
            <w:vAlign w:val="bottom"/>
          </w:tcPr>
          <w:p>
            <w:pPr>
              <w:spacing w:after="0"/>
              <w:rPr>
                <w:sz w:val="1"/>
                <w:szCs w:val="1"/>
                <w:color w:val="auto"/>
              </w:rPr>
            </w:pPr>
          </w:p>
        </w:tc>
      </w:tr>
      <w:tr>
        <w:trPr>
          <w:trHeight w:val="174"/>
        </w:trPr>
        <w:tc>
          <w:tcPr>
            <w:tcW w:w="920" w:type="dxa"/>
            <w:vAlign w:val="bottom"/>
            <w:shd w:val="clear" w:color="auto" w:fill="002060"/>
          </w:tcPr>
          <w:p>
            <w:pPr>
              <w:spacing w:after="0"/>
              <w:rPr>
                <w:sz w:val="15"/>
                <w:szCs w:val="15"/>
                <w:color w:val="auto"/>
              </w:rPr>
            </w:pPr>
          </w:p>
        </w:tc>
        <w:tc>
          <w:tcPr>
            <w:tcW w:w="20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5"/>
                <w:szCs w:val="15"/>
                <w:color w:val="auto"/>
              </w:rPr>
              <w:t>employees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b w:val="1"/>
          <w:bCs w:val="1"/>
          <w:color w:val="E93CAC"/>
        </w:rPr>
        <w:t>Parental Leave</w:t>
      </w:r>
    </w:p>
    <w:p>
      <w:pPr>
        <w:spacing w:after="0" w:line="1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Some subsidiaries offer extended renumerated parental level (beyond what is offered at all subsidiaries by law). Both men and women have access to this benefit, which has the power to bolster retention levels.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2F5496"/>
        </w:rPr>
        <w:t>Employee Satisfaction</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121212"/>
        </w:rPr>
        <w:t>The initiatives mentioned in previous sections seek to improve our employees’ experience and satisfaction levels. We are proud of the levels we achieved in 2022 through the annual workplace climate survey, which we believe is a reflection of our employees’ recognition of the Group’s efforts in this regard. The score of our workplace climate survey this year topped 80% at all of our subsidiaries, which represents a high level given that the survey response rate was also high (more than 80% at all of our subsidiaries and about 90% at 5 out of 7). Variations in satisfaction between 2022 and 2021 were not significant (rising from one to three percentage points depending on the subsidiary), with the exception of Mibanco Colombia, which registered a 5-point improvement in the same benchmark comparison.</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2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Companies</w:t>
            </w:r>
          </w:p>
        </w:tc>
        <w:tc>
          <w:tcPr>
            <w:tcW w:w="920" w:type="dxa"/>
            <w:vAlign w:val="bottom"/>
            <w:tcBorders>
              <w:top w:val="single" w:sz="8" w:color="auto"/>
              <w:right w:val="single" w:sz="8" w:color="auto"/>
            </w:tcBorders>
          </w:tcPr>
          <w:p>
            <w:pPr>
              <w:ind w:left="200"/>
              <w:spacing w:after="0" w:line="166" w:lineRule="exact"/>
              <w:rPr>
                <w:sz w:val="20"/>
                <w:szCs w:val="20"/>
                <w:color w:val="auto"/>
              </w:rPr>
            </w:pPr>
            <w:r>
              <w:rPr>
                <w:rFonts w:ascii="Arial" w:cs="Arial" w:eastAsia="Arial" w:hAnsi="Arial"/>
                <w:sz w:val="15"/>
                <w:szCs w:val="15"/>
                <w:b w:val="1"/>
                <w:bCs w:val="1"/>
                <w:color w:val="auto"/>
              </w:rPr>
              <w:t>Result</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Result 2022</w:t>
            </w:r>
          </w:p>
        </w:tc>
        <w:tc>
          <w:tcPr>
            <w:tcW w:w="1300" w:type="dxa"/>
            <w:vAlign w:val="bottom"/>
            <w:tcBorders>
              <w:top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rPr>
              <w:t>% of employees</w:t>
            </w:r>
          </w:p>
        </w:tc>
        <w:tc>
          <w:tcPr>
            <w:tcW w:w="0" w:type="dxa"/>
            <w:vAlign w:val="bottom"/>
          </w:tcPr>
          <w:p>
            <w:pPr>
              <w:spacing w:after="0"/>
              <w:rPr>
                <w:sz w:val="1"/>
                <w:szCs w:val="1"/>
                <w:color w:val="auto"/>
              </w:rPr>
            </w:pPr>
          </w:p>
        </w:tc>
      </w:tr>
      <w:tr>
        <w:trPr>
          <w:trHeight w:val="111"/>
        </w:trPr>
        <w:tc>
          <w:tcPr>
            <w:tcW w:w="19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2021</w:t>
            </w:r>
          </w:p>
        </w:tc>
        <w:tc>
          <w:tcPr>
            <w:tcW w:w="128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surveyed</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9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BCP</w:t>
            </w:r>
          </w:p>
        </w:tc>
        <w:tc>
          <w:tcPr>
            <w:tcW w:w="9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88%</w:t>
            </w:r>
          </w:p>
        </w:tc>
        <w:tc>
          <w:tcPr>
            <w:tcW w:w="12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88%</w:t>
            </w:r>
          </w:p>
        </w:tc>
        <w:tc>
          <w:tcPr>
            <w:tcW w:w="13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80%</w:t>
            </w:r>
          </w:p>
        </w:tc>
        <w:tc>
          <w:tcPr>
            <w:tcW w:w="0" w:type="dxa"/>
            <w:vAlign w:val="bottom"/>
          </w:tcPr>
          <w:p>
            <w:pPr>
              <w:spacing w:after="0"/>
              <w:rPr>
                <w:sz w:val="1"/>
                <w:szCs w:val="1"/>
                <w:color w:val="auto"/>
              </w:rPr>
            </w:pPr>
          </w:p>
        </w:tc>
      </w:tr>
      <w:tr>
        <w:trPr>
          <w:trHeight w:val="164"/>
        </w:trPr>
        <w:tc>
          <w:tcPr>
            <w:tcW w:w="19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Mibanco Perú</w:t>
            </w:r>
          </w:p>
        </w:tc>
        <w:tc>
          <w:tcPr>
            <w:tcW w:w="9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90%</w:t>
            </w:r>
          </w:p>
        </w:tc>
        <w:tc>
          <w:tcPr>
            <w:tcW w:w="12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89%</w:t>
            </w:r>
          </w:p>
        </w:tc>
        <w:tc>
          <w:tcPr>
            <w:tcW w:w="13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95%</w:t>
            </w:r>
          </w:p>
        </w:tc>
        <w:tc>
          <w:tcPr>
            <w:tcW w:w="0" w:type="dxa"/>
            <w:vAlign w:val="bottom"/>
          </w:tcPr>
          <w:p>
            <w:pPr>
              <w:spacing w:after="0"/>
              <w:rPr>
                <w:sz w:val="1"/>
                <w:szCs w:val="1"/>
                <w:color w:val="auto"/>
              </w:rPr>
            </w:pPr>
          </w:p>
        </w:tc>
      </w:tr>
      <w:tr>
        <w:trPr>
          <w:trHeight w:val="164"/>
        </w:trPr>
        <w:tc>
          <w:tcPr>
            <w:tcW w:w="19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Pacífico Seguros</w:t>
            </w:r>
          </w:p>
        </w:tc>
        <w:tc>
          <w:tcPr>
            <w:tcW w:w="9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85%</w:t>
            </w:r>
          </w:p>
        </w:tc>
        <w:tc>
          <w:tcPr>
            <w:tcW w:w="12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85%</w:t>
            </w:r>
          </w:p>
        </w:tc>
        <w:tc>
          <w:tcPr>
            <w:tcW w:w="13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94%</w:t>
            </w:r>
          </w:p>
        </w:tc>
        <w:tc>
          <w:tcPr>
            <w:tcW w:w="0" w:type="dxa"/>
            <w:vAlign w:val="bottom"/>
          </w:tcPr>
          <w:p>
            <w:pPr>
              <w:spacing w:after="0"/>
              <w:rPr>
                <w:sz w:val="1"/>
                <w:szCs w:val="1"/>
                <w:color w:val="auto"/>
              </w:rPr>
            </w:pPr>
          </w:p>
        </w:tc>
      </w:tr>
      <w:tr>
        <w:trPr>
          <w:trHeight w:val="164"/>
        </w:trPr>
        <w:tc>
          <w:tcPr>
            <w:tcW w:w="19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BCP Bolivia</w:t>
            </w:r>
          </w:p>
        </w:tc>
        <w:tc>
          <w:tcPr>
            <w:tcW w:w="9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88%</w:t>
            </w:r>
          </w:p>
        </w:tc>
        <w:tc>
          <w:tcPr>
            <w:tcW w:w="12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85%</w:t>
            </w:r>
          </w:p>
        </w:tc>
        <w:tc>
          <w:tcPr>
            <w:tcW w:w="13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94%</w:t>
            </w:r>
          </w:p>
        </w:tc>
        <w:tc>
          <w:tcPr>
            <w:tcW w:w="0" w:type="dxa"/>
            <w:vAlign w:val="bottom"/>
          </w:tcPr>
          <w:p>
            <w:pPr>
              <w:spacing w:after="0"/>
              <w:rPr>
                <w:sz w:val="1"/>
                <w:szCs w:val="1"/>
                <w:color w:val="auto"/>
              </w:rPr>
            </w:pPr>
          </w:p>
        </w:tc>
      </w:tr>
      <w:tr>
        <w:trPr>
          <w:trHeight w:val="164"/>
        </w:trPr>
        <w:tc>
          <w:tcPr>
            <w:tcW w:w="19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Credicorp Capital</w:t>
            </w:r>
          </w:p>
        </w:tc>
        <w:tc>
          <w:tcPr>
            <w:tcW w:w="9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80%</w:t>
            </w:r>
          </w:p>
        </w:tc>
        <w:tc>
          <w:tcPr>
            <w:tcW w:w="12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80%</w:t>
            </w:r>
          </w:p>
        </w:tc>
        <w:tc>
          <w:tcPr>
            <w:tcW w:w="13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91%</w:t>
            </w:r>
          </w:p>
        </w:tc>
        <w:tc>
          <w:tcPr>
            <w:tcW w:w="0" w:type="dxa"/>
            <w:vAlign w:val="bottom"/>
          </w:tcPr>
          <w:p>
            <w:pPr>
              <w:spacing w:after="0"/>
              <w:rPr>
                <w:sz w:val="1"/>
                <w:szCs w:val="1"/>
                <w:color w:val="auto"/>
              </w:rPr>
            </w:pPr>
          </w:p>
        </w:tc>
      </w:tr>
      <w:tr>
        <w:trPr>
          <w:trHeight w:val="164"/>
        </w:trPr>
        <w:tc>
          <w:tcPr>
            <w:tcW w:w="19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Prima AFP</w:t>
            </w:r>
          </w:p>
        </w:tc>
        <w:tc>
          <w:tcPr>
            <w:tcW w:w="9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83%</w:t>
            </w:r>
          </w:p>
        </w:tc>
        <w:tc>
          <w:tcPr>
            <w:tcW w:w="12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86%</w:t>
            </w:r>
          </w:p>
        </w:tc>
        <w:tc>
          <w:tcPr>
            <w:tcW w:w="13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95%</w:t>
            </w:r>
          </w:p>
        </w:tc>
        <w:tc>
          <w:tcPr>
            <w:tcW w:w="0" w:type="dxa"/>
            <w:vAlign w:val="bottom"/>
          </w:tcPr>
          <w:p>
            <w:pPr>
              <w:spacing w:after="0"/>
              <w:rPr>
                <w:sz w:val="1"/>
                <w:szCs w:val="1"/>
                <w:color w:val="auto"/>
              </w:rPr>
            </w:pPr>
          </w:p>
        </w:tc>
      </w:tr>
      <w:tr>
        <w:trPr>
          <w:trHeight w:val="164"/>
        </w:trPr>
        <w:tc>
          <w:tcPr>
            <w:tcW w:w="19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Mibanco Colombia</w:t>
            </w:r>
          </w:p>
        </w:tc>
        <w:tc>
          <w:tcPr>
            <w:tcW w:w="9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82%</w:t>
            </w:r>
          </w:p>
        </w:tc>
        <w:tc>
          <w:tcPr>
            <w:tcW w:w="12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87%</w:t>
            </w:r>
          </w:p>
        </w:tc>
        <w:tc>
          <w:tcPr>
            <w:tcW w:w="13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85%</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Gender Equity</w:t>
      </w:r>
    </w:p>
    <w:p>
      <w:pPr>
        <w:spacing w:after="0" w:line="180" w:lineRule="exact"/>
        <w:rPr>
          <w:sz w:val="20"/>
          <w:szCs w:val="20"/>
          <w:color w:val="auto"/>
        </w:rPr>
      </w:pPr>
    </w:p>
    <w:p>
      <w:pPr>
        <w:jc w:val="center"/>
        <w:ind w:left="1100" w:right="40"/>
        <w:spacing w:after="0" w:line="249" w:lineRule="auto"/>
        <w:rPr>
          <w:sz w:val="20"/>
          <w:szCs w:val="20"/>
          <w:color w:val="auto"/>
        </w:rPr>
      </w:pPr>
      <w:r>
        <w:rPr>
          <w:rFonts w:ascii="Arial" w:cs="Arial" w:eastAsia="Arial" w:hAnsi="Arial"/>
          <w:sz w:val="18"/>
          <w:szCs w:val="18"/>
          <w:b w:val="1"/>
          <w:bCs w:val="1"/>
          <w:i w:val="1"/>
          <w:iCs w:val="1"/>
          <w:color w:val="3B72E1"/>
        </w:rPr>
        <w:t>A DIVERSE AND TALENTED TEAM +36,000 employees from 6 countries 55% women</w:t>
      </w:r>
    </w:p>
    <w:p>
      <w:pPr>
        <w:jc w:val="center"/>
        <w:spacing w:after="0"/>
        <w:rPr>
          <w:sz w:val="20"/>
          <w:szCs w:val="20"/>
          <w:color w:val="auto"/>
        </w:rPr>
      </w:pPr>
      <w:r>
        <w:rPr>
          <w:rFonts w:ascii="Arial" w:cs="Arial" w:eastAsia="Arial" w:hAnsi="Arial"/>
          <w:sz w:val="18"/>
          <w:szCs w:val="18"/>
          <w:b w:val="1"/>
          <w:bCs w:val="1"/>
          <w:i w:val="1"/>
          <w:iCs w:val="1"/>
          <w:color w:val="3B72E1"/>
        </w:rPr>
        <w:t>99% with a contract for an indefinite period</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It has been widely proven that efforts to include a diversity focus in the workplace generate better financial and business results; promote a better workplace climate; improve retention; and enhance employees’ wellbeing. At Credicorp, we strive to ensure that equal opportunities for growth and personal fulfillment are available to all employees regardless of their gender, race, sexual orientation, socio-economic level, etc. Diverse challenges exist as we endeavor to include diversity. As such,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312" w:right="319" w:bottom="1440" w:gutter="0" w:footer="0" w:header="0"/>
        </w:sectPr>
      </w:pPr>
    </w:p>
    <w:bookmarkStart w:id="117" w:name="page118"/>
    <w:bookmarkEnd w:id="117"/>
    <w:p>
      <w:pPr>
        <w:spacing w:after="0" w:line="18"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have decided to work in stages and have chosen to begin with the gender aspect of this issue. This will generate significant positive impacts given that more than 50% of our workforce are women.</w:t>
      </w:r>
    </w:p>
    <w:p>
      <w:pPr>
        <w:spacing w:after="0" w:line="155" w:lineRule="exact"/>
        <w:rPr>
          <w:sz w:val="20"/>
          <w:szCs w:val="20"/>
          <w:color w:val="auto"/>
        </w:rPr>
      </w:pPr>
    </w:p>
    <w:p>
      <w:pPr>
        <w:jc w:val="both"/>
        <w:ind w:left="8"/>
        <w:spacing w:after="0" w:line="215" w:lineRule="auto"/>
        <w:rPr>
          <w:sz w:val="20"/>
          <w:szCs w:val="20"/>
          <w:color w:val="auto"/>
        </w:rPr>
      </w:pPr>
      <w:r>
        <w:rPr>
          <w:rFonts w:ascii="Arial" w:cs="Arial" w:eastAsia="Arial" w:hAnsi="Arial"/>
          <w:sz w:val="15"/>
          <w:szCs w:val="15"/>
          <w:color w:val="auto"/>
        </w:rPr>
        <w:t>At Credicorp, we are convinced that a country can only reach full development if both men and women from all spheres of society participate on a playing field with equal opportunities and conditions. Accordingly, we have decided to transform this reality by implementing Credicorp’s Gender Equity Program</w:t>
      </w:r>
      <w:r>
        <w:rPr>
          <w:rFonts w:ascii="Arial" w:cs="Arial" w:eastAsia="Arial" w:hAnsi="Arial"/>
          <w:sz w:val="25"/>
          <w:szCs w:val="25"/>
          <w:color w:val="auto"/>
          <w:vertAlign w:val="superscript"/>
        </w:rPr>
        <w:t>34</w:t>
      </w:r>
      <w:r>
        <w:rPr>
          <w:rFonts w:ascii="Arial" w:cs="Arial" w:eastAsia="Arial" w:hAnsi="Arial"/>
          <w:sz w:val="15"/>
          <w:szCs w:val="15"/>
          <w:color w:val="auto"/>
        </w:rPr>
        <w:t>, which seeks to capitalize on the benefits of gender equity for the organization.</w:t>
      </w:r>
    </w:p>
    <w:p>
      <w:pPr>
        <w:spacing w:after="0" w:line="162" w:lineRule="exact"/>
        <w:rPr>
          <w:sz w:val="20"/>
          <w:szCs w:val="20"/>
          <w:color w:val="auto"/>
        </w:rPr>
      </w:pPr>
    </w:p>
    <w:p>
      <w:pPr>
        <w:jc w:val="both"/>
        <w:ind w:left="8"/>
        <w:spacing w:after="0" w:line="245" w:lineRule="auto"/>
        <w:rPr>
          <w:sz w:val="20"/>
          <w:szCs w:val="20"/>
          <w:color w:val="auto"/>
        </w:rPr>
      </w:pPr>
      <w:r>
        <w:rPr>
          <w:rFonts w:ascii="Arial" w:cs="Arial" w:eastAsia="Arial" w:hAnsi="Arial"/>
          <w:sz w:val="15"/>
          <w:szCs w:val="15"/>
          <w:color w:val="auto"/>
        </w:rPr>
        <w:t>In 2022, we fine-tuned governance of the Gender Equity Program to ensure that its guidelines are more functional and articulated with the decisions and focus of the chain of governance, which includes the Senior Committee for Gender Equity, Credicorp’s Management Committee and the CEOs of each line of business.</w:t>
      </w:r>
    </w:p>
    <w:p>
      <w:pPr>
        <w:spacing w:after="0" w:line="157" w:lineRule="exact"/>
        <w:rPr>
          <w:sz w:val="20"/>
          <w:szCs w:val="20"/>
          <w:color w:val="auto"/>
        </w:rPr>
      </w:pPr>
    </w:p>
    <w:p>
      <w:pPr>
        <w:jc w:val="both"/>
        <w:ind w:left="8"/>
        <w:spacing w:after="0" w:line="245" w:lineRule="auto"/>
        <w:rPr>
          <w:sz w:val="20"/>
          <w:szCs w:val="20"/>
          <w:color w:val="auto"/>
        </w:rPr>
      </w:pPr>
      <w:r>
        <w:rPr>
          <w:rFonts w:ascii="Arial" w:cs="Arial" w:eastAsia="Arial" w:hAnsi="Arial"/>
          <w:sz w:val="15"/>
          <w:szCs w:val="15"/>
          <w:color w:val="auto"/>
        </w:rPr>
        <w:t>As indicated in last year’s report, Credicorp’s Gender Equity Program focuses on four working areas, which were defined by the organizational diagnostic conducted in 2019: gender balance, sexual harassment in the workplace; salary gap; and reconciling family, work and personal aspects of life. Next, we will comment on the evolution of this Program on each of these fronts.</w:t>
      </w:r>
    </w:p>
    <w:p>
      <w:pPr>
        <w:spacing w:after="0" w:line="330" w:lineRule="exact"/>
        <w:rPr>
          <w:sz w:val="20"/>
          <w:szCs w:val="20"/>
          <w:color w:val="auto"/>
        </w:rPr>
      </w:pPr>
    </w:p>
    <w:p>
      <w:pPr>
        <w:ind w:left="8"/>
        <w:spacing w:after="0"/>
        <w:rPr>
          <w:sz w:val="20"/>
          <w:szCs w:val="20"/>
          <w:color w:val="auto"/>
        </w:rPr>
      </w:pPr>
      <w:r>
        <w:rPr>
          <w:rFonts w:ascii="Arial" w:cs="Arial" w:eastAsia="Arial" w:hAnsi="Arial"/>
          <w:sz w:val="15"/>
          <w:szCs w:val="15"/>
          <w:color w:val="2F5496"/>
        </w:rPr>
        <w:t>Gender Balance</w:t>
      </w:r>
    </w:p>
    <w:p>
      <w:pPr>
        <w:spacing w:after="0" w:line="173" w:lineRule="exact"/>
        <w:rPr>
          <w:sz w:val="20"/>
          <w:szCs w:val="20"/>
          <w:color w:val="auto"/>
        </w:rPr>
      </w:pPr>
    </w:p>
    <w:p>
      <w:pPr>
        <w:jc w:val="both"/>
        <w:ind w:left="8"/>
        <w:spacing w:after="0" w:line="245" w:lineRule="auto"/>
        <w:rPr>
          <w:sz w:val="20"/>
          <w:szCs w:val="20"/>
          <w:color w:val="auto"/>
        </w:rPr>
      </w:pPr>
      <w:r>
        <w:rPr>
          <w:rFonts w:ascii="Arial" w:cs="Arial" w:eastAsia="Arial" w:hAnsi="Arial"/>
          <w:sz w:val="15"/>
          <w:szCs w:val="15"/>
          <w:color w:val="auto"/>
        </w:rPr>
        <w:t>At Credicorp and its subsidiaries, although the majority of our employees are women, as we ascend the workforce pyramid, we see larger gaps in the participation of women versus men. For this reason, we are concentrating on instituting change at the Director, senior leader and mid-level management levels.</w:t>
      </w:r>
    </w:p>
    <w:p>
      <w:pPr>
        <w:spacing w:after="0" w:line="157"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With regards to Boards, the objective we set last year through our corporate governance policy was to ensure that Boards at our main subsidiaries and at companies with more than 1,200 employees have at least 2 female directors. To accomplish this, we have rolled out efforts to identify potential female candidates and include them in the nominations process. The gender balance of our boards has improved at 3 of our subsidiaries, which incorporated new female directors. At Mibanco, two additional female directors were appointed, at BCP Bolivia, one (in both cases, these members were added by expanding the number of members of the board), and in Prima, one. One of BCP’s female directors passed away in 2022 and was replaced by a male. Pacifico’s board still has a gender gap.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68834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57" w:lineRule="exact"/>
        <w:rPr>
          <w:sz w:val="20"/>
          <w:szCs w:val="20"/>
          <w:color w:val="auto"/>
        </w:rPr>
      </w:pPr>
    </w:p>
    <w:p>
      <w:pPr>
        <w:jc w:val="both"/>
        <w:ind w:left="8" w:hanging="8"/>
        <w:spacing w:after="0" w:line="201" w:lineRule="auto"/>
        <w:tabs>
          <w:tab w:leader="none" w:pos="186" w:val="left"/>
        </w:tabs>
        <w:numPr>
          <w:ilvl w:val="0"/>
          <w:numId w:val="68"/>
        </w:numPr>
        <w:rPr>
          <w:rFonts w:ascii="Arial" w:cs="Arial" w:eastAsia="Arial" w:hAnsi="Arial"/>
          <w:sz w:val="25"/>
          <w:szCs w:val="25"/>
          <w:color w:val="auto"/>
          <w:vertAlign w:val="superscript"/>
        </w:rPr>
      </w:pPr>
      <w:r>
        <w:rPr>
          <w:rFonts w:ascii="Arial" w:cs="Arial" w:eastAsia="Arial" w:hAnsi="Arial"/>
          <w:sz w:val="15"/>
          <w:szCs w:val="15"/>
          <w:color w:val="auto"/>
        </w:rPr>
        <w:t>Information on the Gender Equity program at Credicorp was compiled from: BCP, BCP Bolivia, Mibanco, Mibanco Colombia, Prima AFP, Pacífico Seguros, Credicorp Capital and Credicorp consolidated.</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5"/>
          <w:szCs w:val="15"/>
          <w:b w:val="1"/>
          <w:bCs w:val="1"/>
          <w:color w:val="auto"/>
        </w:rPr>
        <w:t>Board Gender Balance (% Women) - 2022 vs. 2021</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80" w:type="dxa"/>
            <w:vAlign w:val="bottom"/>
            <w:tcBorders>
              <w:top w:val="single" w:sz="8" w:color="auto"/>
              <w:left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w w:val="99"/>
              </w:rPr>
              <w:t>Credicorp</w:t>
            </w:r>
          </w:p>
        </w:tc>
        <w:tc>
          <w:tcPr>
            <w:tcW w:w="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BCP</w:t>
            </w:r>
          </w:p>
        </w:tc>
        <w:tc>
          <w:tcPr>
            <w:tcW w:w="460" w:type="dxa"/>
            <w:vAlign w:val="bottom"/>
            <w:tcBorders>
              <w:top w:val="single" w:sz="8" w:color="auto"/>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BCP</w:t>
            </w:r>
          </w:p>
        </w:tc>
        <w:tc>
          <w:tcPr>
            <w:tcW w:w="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Mibanco</w:t>
            </w:r>
          </w:p>
        </w:tc>
        <w:tc>
          <w:tcPr>
            <w:tcW w:w="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Mibanco</w:t>
            </w:r>
          </w:p>
        </w:tc>
        <w:tc>
          <w:tcPr>
            <w:tcW w:w="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Prima</w:t>
            </w:r>
          </w:p>
        </w:tc>
        <w:tc>
          <w:tcPr>
            <w:tcW w:w="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w w:val="99"/>
              </w:rPr>
              <w:t>Pacífico</w:t>
            </w:r>
          </w:p>
        </w:tc>
        <w:tc>
          <w:tcPr>
            <w:tcW w:w="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Credicorp</w:t>
            </w:r>
          </w:p>
        </w:tc>
        <w:tc>
          <w:tcPr>
            <w:tcW w:w="0" w:type="dxa"/>
            <w:vAlign w:val="bottom"/>
          </w:tcPr>
          <w:p>
            <w:pPr>
              <w:spacing w:after="0"/>
              <w:rPr>
                <w:sz w:val="1"/>
                <w:szCs w:val="1"/>
                <w:color w:val="auto"/>
              </w:rPr>
            </w:pPr>
          </w:p>
        </w:tc>
      </w:tr>
      <w:tr>
        <w:trPr>
          <w:trHeight w:val="147"/>
        </w:trPr>
        <w:tc>
          <w:tcPr>
            <w:tcW w:w="6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Bolivia</w:t>
            </w:r>
          </w:p>
        </w:tc>
        <w:tc>
          <w:tcPr>
            <w:tcW w:w="5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w w:val="99"/>
              </w:rPr>
              <w:t>Colombia</w:t>
            </w: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AFP</w:t>
            </w:r>
          </w:p>
        </w:tc>
        <w:tc>
          <w:tcPr>
            <w:tcW w:w="50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w w:val="99"/>
              </w:rPr>
              <w:t>Seguros</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49"/>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680" w:type="dxa"/>
            <w:vAlign w:val="bottom"/>
            <w:tcBorders>
              <w:left w:val="single" w:sz="8" w:color="auto"/>
              <w:right w:val="single" w:sz="8" w:color="auto"/>
            </w:tcBorders>
          </w:tcPr>
          <w:p>
            <w:pPr>
              <w:ind w:left="60"/>
              <w:spacing w:after="0" w:line="121" w:lineRule="exact"/>
              <w:rPr>
                <w:sz w:val="20"/>
                <w:szCs w:val="20"/>
                <w:color w:val="auto"/>
              </w:rPr>
            </w:pPr>
            <w:r>
              <w:rPr>
                <w:rFonts w:ascii="Arial" w:cs="Arial" w:eastAsia="Arial" w:hAnsi="Arial"/>
                <w:sz w:val="11"/>
                <w:szCs w:val="11"/>
                <w:color w:val="auto"/>
              </w:rPr>
              <w:t># Women</w:t>
            </w:r>
          </w:p>
        </w:tc>
        <w:tc>
          <w:tcPr>
            <w:tcW w:w="5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2</w:t>
            </w:r>
          </w:p>
        </w:tc>
        <w:tc>
          <w:tcPr>
            <w:tcW w:w="3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2</w:t>
            </w:r>
          </w:p>
        </w:tc>
        <w:tc>
          <w:tcPr>
            <w:tcW w:w="4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2</w:t>
            </w:r>
          </w:p>
        </w:tc>
        <w:tc>
          <w:tcPr>
            <w:tcW w:w="5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3</w:t>
            </w:r>
          </w:p>
        </w:tc>
        <w:tc>
          <w:tcPr>
            <w:tcW w:w="5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2</w:t>
            </w:r>
          </w:p>
        </w:tc>
        <w:tc>
          <w:tcPr>
            <w:tcW w:w="3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2</w:t>
            </w:r>
          </w:p>
        </w:tc>
        <w:tc>
          <w:tcPr>
            <w:tcW w:w="5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1</w:t>
            </w:r>
          </w:p>
        </w:tc>
        <w:tc>
          <w:tcPr>
            <w:tcW w:w="6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2</w:t>
            </w:r>
          </w:p>
        </w:tc>
        <w:tc>
          <w:tcPr>
            <w:tcW w:w="0" w:type="dxa"/>
            <w:vAlign w:val="bottom"/>
          </w:tcPr>
          <w:p>
            <w:pPr>
              <w:spacing w:after="0"/>
              <w:rPr>
                <w:sz w:val="1"/>
                <w:szCs w:val="1"/>
                <w:color w:val="auto"/>
              </w:rPr>
            </w:pPr>
          </w:p>
        </w:tc>
      </w:tr>
      <w:tr>
        <w:trPr>
          <w:trHeight w:val="101"/>
        </w:trPr>
        <w:tc>
          <w:tcPr>
            <w:tcW w:w="68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80" w:type="dxa"/>
            <w:vAlign w:val="bottom"/>
            <w:tcBorders>
              <w:left w:val="single" w:sz="8" w:color="auto"/>
              <w:right w:val="single" w:sz="8" w:color="auto"/>
            </w:tcBorders>
          </w:tcPr>
          <w:p>
            <w:pPr>
              <w:ind w:left="60"/>
              <w:spacing w:after="0" w:line="121" w:lineRule="exact"/>
              <w:rPr>
                <w:sz w:val="20"/>
                <w:szCs w:val="20"/>
                <w:color w:val="auto"/>
              </w:rPr>
            </w:pPr>
            <w:r>
              <w:rPr>
                <w:rFonts w:ascii="Arial" w:cs="Arial" w:eastAsia="Arial" w:hAnsi="Arial"/>
                <w:sz w:val="11"/>
                <w:szCs w:val="11"/>
                <w:color w:val="auto"/>
              </w:rPr>
              <w:t># Men</w:t>
            </w:r>
          </w:p>
        </w:tc>
        <w:tc>
          <w:tcPr>
            <w:tcW w:w="5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7</w:t>
            </w:r>
          </w:p>
        </w:tc>
        <w:tc>
          <w:tcPr>
            <w:tcW w:w="3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11</w:t>
            </w:r>
          </w:p>
        </w:tc>
        <w:tc>
          <w:tcPr>
            <w:tcW w:w="4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5</w:t>
            </w:r>
          </w:p>
        </w:tc>
        <w:tc>
          <w:tcPr>
            <w:tcW w:w="5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7</w:t>
            </w:r>
          </w:p>
        </w:tc>
        <w:tc>
          <w:tcPr>
            <w:tcW w:w="5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7</w:t>
            </w:r>
          </w:p>
        </w:tc>
        <w:tc>
          <w:tcPr>
            <w:tcW w:w="3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5</w:t>
            </w:r>
          </w:p>
        </w:tc>
        <w:tc>
          <w:tcPr>
            <w:tcW w:w="5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7</w:t>
            </w:r>
          </w:p>
        </w:tc>
        <w:tc>
          <w:tcPr>
            <w:tcW w:w="6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7</w:t>
            </w:r>
          </w:p>
        </w:tc>
        <w:tc>
          <w:tcPr>
            <w:tcW w:w="0" w:type="dxa"/>
            <w:vAlign w:val="bottom"/>
          </w:tcPr>
          <w:p>
            <w:pPr>
              <w:spacing w:after="0"/>
              <w:rPr>
                <w:sz w:val="1"/>
                <w:szCs w:val="1"/>
                <w:color w:val="auto"/>
              </w:rPr>
            </w:pPr>
          </w:p>
        </w:tc>
      </w:tr>
      <w:tr>
        <w:trPr>
          <w:trHeight w:val="101"/>
        </w:trPr>
        <w:tc>
          <w:tcPr>
            <w:tcW w:w="68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0" w:type="dxa"/>
            <w:vAlign w:val="bottom"/>
            <w:tcBorders>
              <w:left w:val="single" w:sz="8" w:color="auto"/>
              <w:right w:val="single" w:sz="8" w:color="auto"/>
            </w:tcBorders>
          </w:tcPr>
          <w:p>
            <w:pPr>
              <w:ind w:left="60"/>
              <w:spacing w:after="0" w:line="102" w:lineRule="exact"/>
              <w:rPr>
                <w:sz w:val="20"/>
                <w:szCs w:val="20"/>
                <w:color w:val="auto"/>
              </w:rPr>
            </w:pPr>
            <w:r>
              <w:rPr>
                <w:rFonts w:ascii="Arial" w:cs="Arial" w:eastAsia="Arial" w:hAnsi="Arial"/>
                <w:sz w:val="11"/>
                <w:szCs w:val="11"/>
                <w:color w:val="auto"/>
              </w:rPr>
              <w:t>% Women</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22%</w:t>
            </w:r>
          </w:p>
        </w:tc>
        <w:tc>
          <w:tcPr>
            <w:tcW w:w="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15%</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29%</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30%</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22%</w:t>
            </w:r>
          </w:p>
        </w:tc>
        <w:tc>
          <w:tcPr>
            <w:tcW w:w="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29%</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13%</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22%</w:t>
            </w:r>
          </w:p>
        </w:tc>
        <w:tc>
          <w:tcPr>
            <w:tcW w:w="0" w:type="dxa"/>
            <w:vAlign w:val="bottom"/>
          </w:tcPr>
          <w:p>
            <w:pPr>
              <w:spacing w:after="0"/>
              <w:rPr>
                <w:sz w:val="1"/>
                <w:szCs w:val="1"/>
                <w:color w:val="auto"/>
              </w:rPr>
            </w:pPr>
          </w:p>
        </w:tc>
      </w:tr>
      <w:tr>
        <w:trPr>
          <w:trHeight w:val="72"/>
        </w:trPr>
        <w:tc>
          <w:tcPr>
            <w:tcW w:w="6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(GB)</w:t>
            </w:r>
          </w:p>
        </w:tc>
        <w:tc>
          <w:tcPr>
            <w:tcW w:w="580" w:type="dxa"/>
            <w:vAlign w:val="bottom"/>
            <w:tcBorders>
              <w:right w:val="single" w:sz="8" w:color="auto"/>
            </w:tcBorders>
            <w:vMerge w:val="continue"/>
          </w:tcPr>
          <w:p>
            <w:pPr>
              <w:spacing w:after="0"/>
              <w:rPr>
                <w:sz w:val="6"/>
                <w:szCs w:val="6"/>
                <w:color w:val="auto"/>
              </w:rPr>
            </w:pPr>
          </w:p>
        </w:tc>
        <w:tc>
          <w:tcPr>
            <w:tcW w:w="3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continue"/>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80" w:type="dxa"/>
            <w:vAlign w:val="bottom"/>
            <w:tcBorders>
              <w:left w:val="single" w:sz="8" w:color="auto"/>
              <w:right w:val="single" w:sz="8" w:color="auto"/>
            </w:tcBorders>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680" w:type="dxa"/>
            <w:vAlign w:val="bottom"/>
            <w:tcBorders>
              <w:left w:val="single" w:sz="8" w:color="auto"/>
              <w:bottom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80" w:type="dxa"/>
            <w:vAlign w:val="bottom"/>
            <w:tcBorders>
              <w:left w:val="single" w:sz="8" w:color="auto"/>
              <w:right w:val="single" w:sz="8" w:color="auto"/>
            </w:tcBorders>
          </w:tcPr>
          <w:p>
            <w:pPr>
              <w:ind w:left="60"/>
              <w:spacing w:after="0" w:line="102" w:lineRule="exact"/>
              <w:rPr>
                <w:sz w:val="20"/>
                <w:szCs w:val="20"/>
                <w:color w:val="auto"/>
              </w:rPr>
            </w:pPr>
            <w:r>
              <w:rPr>
                <w:rFonts w:ascii="Arial" w:cs="Arial" w:eastAsia="Arial" w:hAnsi="Arial"/>
                <w:sz w:val="11"/>
                <w:szCs w:val="11"/>
                <w:color w:val="auto"/>
              </w:rPr>
              <w:t>Difference</w:t>
            </w:r>
          </w:p>
        </w:tc>
        <w:tc>
          <w:tcPr>
            <w:tcW w:w="58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80" w:type="dxa"/>
            <w:vAlign w:val="bottom"/>
            <w:tcBorders>
              <w:left w:val="single" w:sz="8" w:color="auto"/>
              <w:right w:val="single" w:sz="8" w:color="auto"/>
            </w:tcBorders>
          </w:tcPr>
          <w:p>
            <w:pPr>
              <w:ind w:left="60"/>
              <w:spacing w:after="0" w:line="115" w:lineRule="exact"/>
              <w:rPr>
                <w:sz w:val="20"/>
                <w:szCs w:val="20"/>
                <w:color w:val="auto"/>
              </w:rPr>
            </w:pPr>
            <w:r>
              <w:rPr>
                <w:rFonts w:ascii="Arial" w:cs="Arial" w:eastAsia="Arial" w:hAnsi="Arial"/>
                <w:sz w:val="11"/>
                <w:szCs w:val="11"/>
                <w:color w:val="auto"/>
              </w:rPr>
              <w:t>in BG with</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0%</w:t>
            </w:r>
          </w:p>
        </w:tc>
        <w:tc>
          <w:tcPr>
            <w:tcW w:w="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-8%</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14%</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19%</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2%</w:t>
            </w:r>
          </w:p>
        </w:tc>
        <w:tc>
          <w:tcPr>
            <w:tcW w:w="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14%</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0%</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0%</w:t>
            </w:r>
          </w:p>
        </w:tc>
        <w:tc>
          <w:tcPr>
            <w:tcW w:w="0" w:type="dxa"/>
            <w:vAlign w:val="bottom"/>
          </w:tcPr>
          <w:p>
            <w:pPr>
              <w:spacing w:after="0"/>
              <w:rPr>
                <w:sz w:val="1"/>
                <w:szCs w:val="1"/>
                <w:color w:val="auto"/>
              </w:rPr>
            </w:pPr>
          </w:p>
        </w:tc>
      </w:tr>
      <w:tr>
        <w:trPr>
          <w:trHeight w:val="72"/>
        </w:trPr>
        <w:tc>
          <w:tcPr>
            <w:tcW w:w="680" w:type="dxa"/>
            <w:vAlign w:val="bottom"/>
            <w:tcBorders>
              <w:left w:val="single" w:sz="8" w:color="auto"/>
              <w:right w:val="single" w:sz="8" w:color="auto"/>
            </w:tcBorders>
            <w:vMerge w:val="restart"/>
          </w:tcPr>
          <w:p>
            <w:pPr>
              <w:ind w:left="60"/>
              <w:spacing w:after="0" w:line="115" w:lineRule="exact"/>
              <w:rPr>
                <w:sz w:val="20"/>
                <w:szCs w:val="20"/>
                <w:color w:val="auto"/>
              </w:rPr>
            </w:pPr>
            <w:r>
              <w:rPr>
                <w:rFonts w:ascii="Arial" w:cs="Arial" w:eastAsia="Arial" w:hAnsi="Arial"/>
                <w:sz w:val="11"/>
                <w:szCs w:val="11"/>
                <w:color w:val="auto"/>
              </w:rPr>
              <w:t>regard to</w:t>
            </w:r>
          </w:p>
        </w:tc>
        <w:tc>
          <w:tcPr>
            <w:tcW w:w="580" w:type="dxa"/>
            <w:vAlign w:val="bottom"/>
            <w:tcBorders>
              <w:right w:val="single" w:sz="8" w:color="auto"/>
            </w:tcBorders>
            <w:vMerge w:val="continue"/>
          </w:tcPr>
          <w:p>
            <w:pPr>
              <w:spacing w:after="0"/>
              <w:rPr>
                <w:sz w:val="6"/>
                <w:szCs w:val="6"/>
                <w:color w:val="auto"/>
              </w:rPr>
            </w:pPr>
          </w:p>
        </w:tc>
        <w:tc>
          <w:tcPr>
            <w:tcW w:w="3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continue"/>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left w:val="single" w:sz="8" w:color="auto"/>
              <w:right w:val="single" w:sz="8" w:color="auto"/>
            </w:tcBorders>
            <w:vMerge w:val="continue"/>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2021</w:t>
            </w:r>
          </w:p>
        </w:tc>
        <w:tc>
          <w:tcPr>
            <w:tcW w:w="58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80" w:type="dxa"/>
            <w:vAlign w:val="bottom"/>
            <w:tcBorders>
              <w:left w:val="single" w:sz="8" w:color="auto"/>
              <w:bottom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In terms of leadership positions at the organization, between 2021 and 2022 the gender balance for senior leaders and mid-level managers has remained virtually unchanged and significant challenges remain. At the mid-level management level, although we registered a positive trajectory at several subsidiaries, at BCP, our largest subsidiary, a downturn was reported because the bank increased its demand for technological and digital profiles, where female candidates are scarce.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102870</wp:posOffset>
            </wp:positionV>
            <wp:extent cx="3089275" cy="7467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89275" cy="746760"/>
                    </a:xfrm>
                    <a:prstGeom prst="rect">
                      <a:avLst/>
                    </a:prstGeom>
                    <a:noFill/>
                  </pic:spPr>
                </pic:pic>
              </a:graphicData>
            </a:graphic>
          </wp:anchor>
        </w:drawing>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420" w:type="dxa"/>
            <w:vAlign w:val="bottom"/>
            <w:shd w:val="clear" w:color="auto" w:fill="000000"/>
          </w:tcPr>
          <w:p>
            <w:pPr>
              <w:ind w:left="100"/>
              <w:spacing w:after="0"/>
              <w:rPr>
                <w:sz w:val="20"/>
                <w:szCs w:val="20"/>
                <w:color w:val="auto"/>
              </w:rPr>
            </w:pPr>
            <w:r>
              <w:rPr>
                <w:rFonts w:ascii="Arial" w:cs="Arial" w:eastAsia="Arial" w:hAnsi="Arial"/>
                <w:sz w:val="15"/>
                <w:szCs w:val="15"/>
                <w:b w:val="1"/>
                <w:bCs w:val="1"/>
                <w:color w:val="FFFFFF"/>
              </w:rPr>
              <w:t>Gender Balance (Women/Total</w:t>
            </w:r>
          </w:p>
        </w:tc>
        <w:tc>
          <w:tcPr>
            <w:tcW w:w="80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2020</w:t>
            </w:r>
          </w:p>
        </w:tc>
        <w:tc>
          <w:tcPr>
            <w:tcW w:w="82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2021</w:t>
            </w:r>
          </w:p>
        </w:tc>
        <w:tc>
          <w:tcPr>
            <w:tcW w:w="80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2022</w:t>
            </w:r>
          </w:p>
        </w:tc>
      </w:tr>
      <w:tr>
        <w:trPr>
          <w:trHeight w:val="196"/>
        </w:trPr>
        <w:tc>
          <w:tcPr>
            <w:tcW w:w="2420" w:type="dxa"/>
            <w:vAlign w:val="bottom"/>
            <w:shd w:val="clear" w:color="auto" w:fill="000000"/>
          </w:tcPr>
          <w:p>
            <w:pPr>
              <w:ind w:left="760"/>
              <w:spacing w:after="0"/>
              <w:rPr>
                <w:sz w:val="20"/>
                <w:szCs w:val="20"/>
                <w:color w:val="auto"/>
              </w:rPr>
            </w:pPr>
            <w:r>
              <w:rPr>
                <w:rFonts w:ascii="Arial" w:cs="Arial" w:eastAsia="Arial" w:hAnsi="Arial"/>
                <w:sz w:val="15"/>
                <w:szCs w:val="15"/>
                <w:b w:val="1"/>
                <w:bCs w:val="1"/>
                <w:color w:val="FFFFFF"/>
              </w:rPr>
              <w:t>Segment) %</w:t>
            </w:r>
          </w:p>
        </w:tc>
        <w:tc>
          <w:tcPr>
            <w:tcW w:w="800" w:type="dxa"/>
            <w:vAlign w:val="bottom"/>
            <w:shd w:val="clear" w:color="auto" w:fill="000000"/>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800" w:type="dxa"/>
            <w:vAlign w:val="bottom"/>
            <w:shd w:val="clear" w:color="auto" w:fill="000000"/>
          </w:tcPr>
          <w:p>
            <w:pPr>
              <w:spacing w:after="0"/>
              <w:rPr>
                <w:sz w:val="17"/>
                <w:szCs w:val="17"/>
                <w:color w:val="auto"/>
              </w:rPr>
            </w:pPr>
          </w:p>
        </w:tc>
      </w:tr>
      <w:tr>
        <w:trPr>
          <w:trHeight w:val="196"/>
        </w:trPr>
        <w:tc>
          <w:tcPr>
            <w:tcW w:w="2420" w:type="dxa"/>
            <w:vAlign w:val="bottom"/>
            <w:shd w:val="clear" w:color="auto" w:fill="E93CAC"/>
          </w:tcPr>
          <w:p>
            <w:pPr>
              <w:ind w:left="80"/>
              <w:spacing w:after="0"/>
              <w:rPr>
                <w:sz w:val="20"/>
                <w:szCs w:val="20"/>
                <w:color w:val="auto"/>
              </w:rPr>
            </w:pPr>
            <w:r>
              <w:rPr>
                <w:rFonts w:ascii="Arial" w:cs="Arial" w:eastAsia="Arial" w:hAnsi="Arial"/>
                <w:sz w:val="15"/>
                <w:szCs w:val="15"/>
                <w:color w:val="FFFFFF"/>
              </w:rPr>
              <w:t>Senior Leaders</w:t>
            </w:r>
          </w:p>
        </w:tc>
        <w:tc>
          <w:tcPr>
            <w:tcW w:w="80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9"/>
              </w:rPr>
              <w:t>27%</w:t>
            </w:r>
          </w:p>
        </w:tc>
        <w:tc>
          <w:tcPr>
            <w:tcW w:w="82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26%</w:t>
            </w:r>
          </w:p>
        </w:tc>
        <w:tc>
          <w:tcPr>
            <w:tcW w:w="80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9"/>
              </w:rPr>
              <w:t>27%</w:t>
            </w:r>
          </w:p>
        </w:tc>
      </w:tr>
      <w:tr>
        <w:trPr>
          <w:trHeight w:val="196"/>
        </w:trPr>
        <w:tc>
          <w:tcPr>
            <w:tcW w:w="2420" w:type="dxa"/>
            <w:vAlign w:val="bottom"/>
            <w:shd w:val="clear" w:color="auto" w:fill="E93CAC"/>
          </w:tcPr>
          <w:p>
            <w:pPr>
              <w:ind w:left="80"/>
              <w:spacing w:after="0"/>
              <w:rPr>
                <w:sz w:val="20"/>
                <w:szCs w:val="20"/>
                <w:color w:val="auto"/>
              </w:rPr>
            </w:pPr>
            <w:r>
              <w:rPr>
                <w:rFonts w:ascii="Arial" w:cs="Arial" w:eastAsia="Arial" w:hAnsi="Arial"/>
                <w:sz w:val="15"/>
                <w:szCs w:val="15"/>
                <w:color w:val="FFFFFF"/>
              </w:rPr>
              <w:t>Mid-level management</w:t>
            </w:r>
          </w:p>
        </w:tc>
        <w:tc>
          <w:tcPr>
            <w:tcW w:w="80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9"/>
              </w:rPr>
              <w:t>40%</w:t>
            </w:r>
          </w:p>
        </w:tc>
        <w:tc>
          <w:tcPr>
            <w:tcW w:w="82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39%</w:t>
            </w:r>
          </w:p>
        </w:tc>
        <w:tc>
          <w:tcPr>
            <w:tcW w:w="80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9"/>
              </w:rPr>
              <w:t>38%</w:t>
            </w:r>
          </w:p>
        </w:tc>
      </w:tr>
      <w:tr>
        <w:trPr>
          <w:trHeight w:val="196"/>
        </w:trPr>
        <w:tc>
          <w:tcPr>
            <w:tcW w:w="2420" w:type="dxa"/>
            <w:vAlign w:val="bottom"/>
            <w:shd w:val="clear" w:color="auto" w:fill="E93CAC"/>
          </w:tcPr>
          <w:p>
            <w:pPr>
              <w:ind w:left="80"/>
              <w:spacing w:after="0"/>
              <w:rPr>
                <w:sz w:val="20"/>
                <w:szCs w:val="20"/>
                <w:color w:val="auto"/>
              </w:rPr>
            </w:pPr>
            <w:r>
              <w:rPr>
                <w:rFonts w:ascii="Arial" w:cs="Arial" w:eastAsia="Arial" w:hAnsi="Arial"/>
                <w:sz w:val="15"/>
                <w:szCs w:val="15"/>
                <w:color w:val="FFFFFF"/>
              </w:rPr>
              <w:t>Non-management employees</w:t>
            </w:r>
          </w:p>
        </w:tc>
        <w:tc>
          <w:tcPr>
            <w:tcW w:w="80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9"/>
              </w:rPr>
              <w:t>57%</w:t>
            </w:r>
          </w:p>
        </w:tc>
        <w:tc>
          <w:tcPr>
            <w:tcW w:w="82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56%</w:t>
            </w:r>
          </w:p>
        </w:tc>
        <w:tc>
          <w:tcPr>
            <w:tcW w:w="80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9"/>
              </w:rPr>
              <w:t>55%</w:t>
            </w:r>
          </w:p>
        </w:tc>
      </w:tr>
      <w:tr>
        <w:trPr>
          <w:trHeight w:val="196"/>
        </w:trPr>
        <w:tc>
          <w:tcPr>
            <w:tcW w:w="2420" w:type="dxa"/>
            <w:vAlign w:val="bottom"/>
            <w:shd w:val="clear" w:color="auto" w:fill="AEAAAA"/>
          </w:tcPr>
          <w:p>
            <w:pPr>
              <w:ind w:left="80"/>
              <w:spacing w:after="0"/>
              <w:rPr>
                <w:sz w:val="20"/>
                <w:szCs w:val="20"/>
                <w:color w:val="auto"/>
              </w:rPr>
            </w:pPr>
            <w:r>
              <w:rPr>
                <w:rFonts w:ascii="Arial" w:cs="Arial" w:eastAsia="Arial" w:hAnsi="Arial"/>
                <w:sz w:val="15"/>
                <w:szCs w:val="15"/>
                <w:color w:val="auto"/>
              </w:rPr>
              <w:t>Total Credicorp</w:t>
            </w:r>
          </w:p>
        </w:tc>
        <w:tc>
          <w:tcPr>
            <w:tcW w:w="800" w:type="dxa"/>
            <w:vAlign w:val="bottom"/>
            <w:shd w:val="clear" w:color="auto" w:fill="AEAAAA"/>
          </w:tcPr>
          <w:p>
            <w:pPr>
              <w:jc w:val="center"/>
              <w:spacing w:after="0"/>
              <w:rPr>
                <w:sz w:val="20"/>
                <w:szCs w:val="20"/>
                <w:color w:val="auto"/>
              </w:rPr>
            </w:pPr>
            <w:r>
              <w:rPr>
                <w:rFonts w:ascii="Arial" w:cs="Arial" w:eastAsia="Arial" w:hAnsi="Arial"/>
                <w:sz w:val="15"/>
                <w:szCs w:val="15"/>
                <w:color w:val="auto"/>
                <w:w w:val="99"/>
              </w:rPr>
              <w:t>56%</w:t>
            </w:r>
          </w:p>
        </w:tc>
        <w:tc>
          <w:tcPr>
            <w:tcW w:w="820" w:type="dxa"/>
            <w:vAlign w:val="bottom"/>
            <w:shd w:val="clear" w:color="auto" w:fill="AEAAAA"/>
          </w:tcPr>
          <w:p>
            <w:pPr>
              <w:jc w:val="center"/>
              <w:spacing w:after="0"/>
              <w:rPr>
                <w:sz w:val="20"/>
                <w:szCs w:val="20"/>
                <w:color w:val="auto"/>
              </w:rPr>
            </w:pPr>
            <w:r>
              <w:rPr>
                <w:rFonts w:ascii="Arial" w:cs="Arial" w:eastAsia="Arial" w:hAnsi="Arial"/>
                <w:sz w:val="15"/>
                <w:szCs w:val="15"/>
                <w:color w:val="auto"/>
              </w:rPr>
              <w:t>56%</w:t>
            </w:r>
          </w:p>
        </w:tc>
        <w:tc>
          <w:tcPr>
            <w:tcW w:w="800" w:type="dxa"/>
            <w:vAlign w:val="bottom"/>
            <w:shd w:val="clear" w:color="auto" w:fill="AEAAAA"/>
          </w:tcPr>
          <w:p>
            <w:pPr>
              <w:jc w:val="center"/>
              <w:spacing w:after="0"/>
              <w:rPr>
                <w:sz w:val="20"/>
                <w:szCs w:val="20"/>
                <w:color w:val="auto"/>
              </w:rPr>
            </w:pPr>
            <w:r>
              <w:rPr>
                <w:rFonts w:ascii="Arial" w:cs="Arial" w:eastAsia="Arial" w:hAnsi="Arial"/>
                <w:sz w:val="15"/>
                <w:szCs w:val="15"/>
                <w:color w:val="auto"/>
                <w:w w:val="99"/>
              </w:rPr>
              <w:t>55%</w:t>
            </w:r>
          </w:p>
        </w:tc>
      </w:tr>
    </w:tbl>
    <w:p>
      <w:pPr>
        <w:spacing w:after="0" w:line="184"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Note: 2020 and 2021 values have been adjusted to remove Pacifico SALUD from the study (this report does not cover this business).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will continue to focus on identifying and rolling out initiatives to improve the gender balance at the corporate level and at each of the subsidiaries (see chart below for detail on our main initiatives deployed). Moving forward, we will be diligent as we seek generate effective change and include more women in positions of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294" w:right="31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337185</wp:posOffset>
            </wp:positionH>
            <wp:positionV relativeFrom="page">
              <wp:posOffset>198755</wp:posOffset>
            </wp:positionV>
            <wp:extent cx="3147695" cy="2166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3147695" cy="216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
        <w:spacing w:after="0"/>
        <w:rPr>
          <w:sz w:val="20"/>
          <w:szCs w:val="20"/>
          <w:color w:val="auto"/>
        </w:rPr>
      </w:pPr>
      <w:r>
        <w:rPr>
          <w:rFonts w:ascii="Arial" w:cs="Arial" w:eastAsia="Arial" w:hAnsi="Arial"/>
          <w:sz w:val="15"/>
          <w:szCs w:val="15"/>
          <w:color w:val="2F5496"/>
        </w:rPr>
        <w:t>Salary Gap</w:t>
      </w:r>
    </w:p>
    <w:p>
      <w:pPr>
        <w:spacing w:after="0" w:line="173"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On this work front, we seek to analyze the salary gap on a recurring basis to understand if it is driven by gender factors. For this purpose, we have been monitoring the equal pay gap, which analyzes salary differences between men and women for positions with similar levels of responsibility and within the same salary band. Given that this indicator uses total annual compensation in its calculation base, we must wait until March of following year, when the compensation period ends. This calculation was conducted twice: the first time in 2021 (for fiscal year 2020), and the second time in 2022 (for fiscal year 2021).</w:t>
      </w:r>
    </w:p>
    <w:p>
      <w:pPr>
        <w:spacing w:after="0" w:line="327" w:lineRule="exact"/>
        <w:rPr>
          <w:sz w:val="20"/>
          <w:szCs w:val="20"/>
          <w:color w:val="auto"/>
        </w:rPr>
      </w:pPr>
    </w:p>
    <w:p>
      <w:pPr>
        <w:jc w:val="both"/>
        <w:ind w:left="8"/>
        <w:spacing w:after="0" w:line="221" w:lineRule="auto"/>
        <w:rPr>
          <w:sz w:val="20"/>
          <w:szCs w:val="20"/>
          <w:color w:val="auto"/>
        </w:rPr>
      </w:pPr>
      <w:r>
        <w:rPr>
          <w:rFonts w:ascii="Arial" w:cs="Arial" w:eastAsia="Arial" w:hAnsi="Arial"/>
          <w:sz w:val="15"/>
          <w:szCs w:val="15"/>
          <w:color w:val="auto"/>
        </w:rPr>
        <w:t>At the Credicorp Level, the calculation of the equal pay gap stood at -2.1%</w:t>
      </w:r>
      <w:r>
        <w:rPr>
          <w:rFonts w:ascii="Arial" w:cs="Arial" w:eastAsia="Arial" w:hAnsi="Arial"/>
          <w:sz w:val="25"/>
          <w:szCs w:val="25"/>
          <w:color w:val="auto"/>
          <w:vertAlign w:val="superscript"/>
        </w:rPr>
        <w:t>35</w:t>
      </w:r>
      <w:r>
        <w:rPr>
          <w:rFonts w:ascii="Arial" w:cs="Arial" w:eastAsia="Arial" w:hAnsi="Arial"/>
          <w:sz w:val="15"/>
          <w:szCs w:val="15"/>
          <w:color w:val="auto"/>
        </w:rPr>
        <w:t xml:space="preserve"> in 2022 (-2.9% in 2021). As such, women’s total annual compensation, considering the same responsibilities and salary band, is 2.1% below that of their male peers. This is driven by two reasons, neither of which reflects gender bias for salary definition. First, some of the market’s best paying positions are held mostly by men. A clear example is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8834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58" w:lineRule="exact"/>
        <w:rPr>
          <w:sz w:val="20"/>
          <w:szCs w:val="20"/>
          <w:color w:val="auto"/>
        </w:rPr>
      </w:pPr>
    </w:p>
    <w:p>
      <w:pPr>
        <w:ind w:left="8" w:hanging="8"/>
        <w:spacing w:after="0" w:line="182" w:lineRule="auto"/>
        <w:tabs>
          <w:tab w:leader="none" w:pos="197" w:val="left"/>
        </w:tabs>
        <w:numPr>
          <w:ilvl w:val="0"/>
          <w:numId w:val="69"/>
        </w:numPr>
        <w:rPr>
          <w:rFonts w:ascii="Arial" w:cs="Arial" w:eastAsia="Arial" w:hAnsi="Arial"/>
          <w:sz w:val="26"/>
          <w:szCs w:val="26"/>
          <w:color w:val="auto"/>
          <w:vertAlign w:val="superscript"/>
        </w:rPr>
      </w:pPr>
      <w:r>
        <w:rPr>
          <w:rFonts w:ascii="Arial" w:cs="Arial" w:eastAsia="Arial" w:hAnsi="Arial"/>
          <w:sz w:val="15"/>
          <w:szCs w:val="15"/>
          <w:color w:val="auto"/>
        </w:rPr>
        <w:t>Simple average of the results for the equal pay gap calculated for each of Credicorp’s salary bands</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Arial" w:cs="Arial" w:eastAsia="Arial" w:hAnsi="Arial"/>
          <w:sz w:val="15"/>
          <w:szCs w:val="15"/>
          <w:color w:val="auto"/>
        </w:rPr>
        <w:t>where there are more male than female experts. Second, the number of years that an individual has worked in the company and/or in a position affects compensation and in many leadership positions, male candidates have accumulated more years of experience.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2F5496"/>
        </w:rPr>
        <w:t>Workplace, family and personal/ Life-work balance</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Given that a good work-life balance is essential to ensuring the wellbeing of our employees, we decided to examine this concept in our 2022 Workplace Climate Survey by introducing the following statement: “My company provides the conditions necessary to generate a balance between job, family and personal life” (in 2021, the statement was: “My work schedule and rhythm allow me to enjoy a balance between my job and personal life”). The results are compiled by gender and differences are identified between responses. The table below indicates that we face significant challenges in closing the gender gap for work-life balance, particularly in the case of senior leaders. The gap is less significant at the mid-level management level.</w:t>
      </w:r>
    </w:p>
    <w:p>
      <w:pPr>
        <w:spacing w:after="0" w:line="145" w:lineRule="exact"/>
        <w:rPr>
          <w:sz w:val="20"/>
          <w:szCs w:val="20"/>
          <w:color w:val="auto"/>
        </w:rPr>
      </w:pPr>
    </w:p>
    <w:p>
      <w:pPr>
        <w:ind w:left="100" w:right="200"/>
        <w:spacing w:after="0" w:line="283" w:lineRule="auto"/>
        <w:rPr>
          <w:sz w:val="20"/>
          <w:szCs w:val="20"/>
          <w:color w:val="auto"/>
        </w:rPr>
      </w:pPr>
      <w:r>
        <w:rPr>
          <w:rFonts w:ascii="Arial" w:cs="Arial" w:eastAsia="Arial" w:hAnsi="Arial"/>
          <w:sz w:val="15"/>
          <w:szCs w:val="15"/>
          <w:b w:val="1"/>
          <w:bCs w:val="1"/>
          <w:color w:val="auto"/>
        </w:rPr>
        <w:t>Credicorp: "My company provides the necessary conditions to ensure a balance in my job, family and personal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3433445" cy="10979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33445" cy="109791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80" w:type="dxa"/>
            <w:vAlign w:val="bottom"/>
            <w:tcBorders>
              <w:top w:val="single" w:sz="8" w:color="auto"/>
            </w:tcBorders>
            <w:shd w:val="clear" w:color="auto" w:fill="FFC000"/>
          </w:tcPr>
          <w:p>
            <w:pPr>
              <w:spacing w:after="0"/>
              <w:rPr>
                <w:sz w:val="14"/>
                <w:szCs w:val="14"/>
                <w:color w:val="auto"/>
              </w:rPr>
            </w:pPr>
          </w:p>
        </w:tc>
        <w:tc>
          <w:tcPr>
            <w:tcW w:w="980" w:type="dxa"/>
            <w:vAlign w:val="bottom"/>
            <w:tcBorders>
              <w:top w:val="single" w:sz="8" w:color="auto"/>
            </w:tcBorders>
            <w:vMerge w:val="restart"/>
            <w:shd w:val="clear" w:color="auto" w:fill="FFC000"/>
          </w:tcPr>
          <w:p>
            <w:pPr>
              <w:jc w:val="center"/>
              <w:ind w:left="103"/>
              <w:spacing w:after="0"/>
              <w:rPr>
                <w:sz w:val="20"/>
                <w:szCs w:val="20"/>
                <w:color w:val="auto"/>
              </w:rPr>
            </w:pPr>
            <w:r>
              <w:rPr>
                <w:rFonts w:ascii="Arial" w:cs="Arial" w:eastAsia="Arial" w:hAnsi="Arial"/>
                <w:sz w:val="15"/>
                <w:szCs w:val="15"/>
                <w:b w:val="1"/>
                <w:bCs w:val="1"/>
                <w:color w:val="auto"/>
              </w:rPr>
              <w:t>Senior</w:t>
            </w:r>
          </w:p>
        </w:tc>
        <w:tc>
          <w:tcPr>
            <w:tcW w:w="1160" w:type="dxa"/>
            <w:vAlign w:val="bottom"/>
            <w:tcBorders>
              <w:top w:val="single" w:sz="8" w:color="auto"/>
            </w:tcBorders>
            <w:vMerge w:val="restart"/>
            <w:shd w:val="clear" w:color="auto" w:fill="FFC000"/>
          </w:tcPr>
          <w:p>
            <w:pPr>
              <w:jc w:val="center"/>
              <w:spacing w:after="0"/>
              <w:rPr>
                <w:sz w:val="20"/>
                <w:szCs w:val="20"/>
                <w:color w:val="auto"/>
              </w:rPr>
            </w:pPr>
            <w:r>
              <w:rPr>
                <w:rFonts w:ascii="Arial" w:cs="Arial" w:eastAsia="Arial" w:hAnsi="Arial"/>
                <w:sz w:val="15"/>
                <w:szCs w:val="15"/>
                <w:b w:val="1"/>
                <w:bCs w:val="1"/>
                <w:color w:val="auto"/>
              </w:rPr>
              <w:t>Middle</w:t>
            </w:r>
          </w:p>
        </w:tc>
        <w:tc>
          <w:tcPr>
            <w:tcW w:w="1160" w:type="dxa"/>
            <w:vAlign w:val="bottom"/>
            <w:tcBorders>
              <w:top w:val="single" w:sz="8" w:color="auto"/>
            </w:tcBorders>
            <w:shd w:val="clear" w:color="auto" w:fill="FFC000"/>
          </w:tcPr>
          <w:p>
            <w:pPr>
              <w:jc w:val="center"/>
              <w:spacing w:after="0" w:line="166" w:lineRule="exact"/>
              <w:rPr>
                <w:sz w:val="20"/>
                <w:szCs w:val="20"/>
                <w:color w:val="auto"/>
              </w:rPr>
            </w:pPr>
            <w:r>
              <w:rPr>
                <w:rFonts w:ascii="Arial" w:cs="Arial" w:eastAsia="Arial" w:hAnsi="Arial"/>
                <w:sz w:val="15"/>
                <w:szCs w:val="15"/>
                <w:b w:val="1"/>
                <w:bCs w:val="1"/>
                <w:color w:val="auto"/>
              </w:rPr>
              <w:t>Non-</w:t>
            </w:r>
          </w:p>
        </w:tc>
        <w:tc>
          <w:tcPr>
            <w:tcW w:w="620" w:type="dxa"/>
            <w:vAlign w:val="bottom"/>
            <w:tcBorders>
              <w:top w:val="single" w:sz="8" w:color="auto"/>
            </w:tcBorders>
            <w:shd w:val="clear" w:color="auto" w:fill="FFC000"/>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80" w:type="dxa"/>
            <w:vAlign w:val="bottom"/>
            <w:vMerge w:val="restart"/>
            <w:shd w:val="clear" w:color="auto" w:fill="FFC000"/>
          </w:tcPr>
          <w:p>
            <w:pPr>
              <w:ind w:left="100"/>
              <w:spacing w:after="0"/>
              <w:rPr>
                <w:sz w:val="20"/>
                <w:szCs w:val="20"/>
                <w:color w:val="auto"/>
              </w:rPr>
            </w:pPr>
            <w:r>
              <w:rPr>
                <w:rFonts w:ascii="Arial" w:cs="Arial" w:eastAsia="Arial" w:hAnsi="Arial"/>
                <w:sz w:val="15"/>
                <w:szCs w:val="15"/>
                <w:b w:val="1"/>
                <w:bCs w:val="1"/>
                <w:color w:val="auto"/>
              </w:rPr>
              <w:t>Answers</w:t>
            </w:r>
          </w:p>
        </w:tc>
        <w:tc>
          <w:tcPr>
            <w:tcW w:w="980" w:type="dxa"/>
            <w:vAlign w:val="bottom"/>
            <w:vMerge w:val="continue"/>
            <w:shd w:val="clear" w:color="auto" w:fill="FFC000"/>
          </w:tcPr>
          <w:p>
            <w:pPr>
              <w:spacing w:after="0"/>
              <w:rPr>
                <w:sz w:val="7"/>
                <w:szCs w:val="7"/>
                <w:color w:val="auto"/>
              </w:rPr>
            </w:pPr>
          </w:p>
        </w:tc>
        <w:tc>
          <w:tcPr>
            <w:tcW w:w="1160" w:type="dxa"/>
            <w:vAlign w:val="bottom"/>
            <w:vMerge w:val="continue"/>
            <w:shd w:val="clear" w:color="auto" w:fill="FFC000"/>
          </w:tcPr>
          <w:p>
            <w:pPr>
              <w:spacing w:after="0"/>
              <w:rPr>
                <w:sz w:val="7"/>
                <w:szCs w:val="7"/>
                <w:color w:val="auto"/>
              </w:rPr>
            </w:pPr>
          </w:p>
        </w:tc>
        <w:tc>
          <w:tcPr>
            <w:tcW w:w="1160" w:type="dxa"/>
            <w:vAlign w:val="bottom"/>
            <w:vMerge w:val="restart"/>
            <w:shd w:val="clear" w:color="auto" w:fill="FFC000"/>
          </w:tcPr>
          <w:p>
            <w:pPr>
              <w:jc w:val="center"/>
              <w:spacing w:after="0"/>
              <w:rPr>
                <w:sz w:val="20"/>
                <w:szCs w:val="20"/>
                <w:color w:val="auto"/>
              </w:rPr>
            </w:pPr>
            <w:r>
              <w:rPr>
                <w:rFonts w:ascii="Arial" w:cs="Arial" w:eastAsia="Arial" w:hAnsi="Arial"/>
                <w:sz w:val="15"/>
                <w:szCs w:val="15"/>
                <w:b w:val="1"/>
                <w:bCs w:val="1"/>
                <w:color w:val="auto"/>
              </w:rPr>
              <w:t>management</w:t>
            </w:r>
          </w:p>
        </w:tc>
        <w:tc>
          <w:tcPr>
            <w:tcW w:w="620" w:type="dxa"/>
            <w:vAlign w:val="bottom"/>
            <w:vMerge w:val="restart"/>
            <w:shd w:val="clear" w:color="auto" w:fill="FFC000"/>
          </w:tcPr>
          <w:p>
            <w:pPr>
              <w:ind w:left="120"/>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80" w:type="dxa"/>
            <w:vAlign w:val="bottom"/>
            <w:vMerge w:val="continue"/>
            <w:shd w:val="clear" w:color="auto" w:fill="FFC000"/>
          </w:tcPr>
          <w:p>
            <w:pPr>
              <w:spacing w:after="0"/>
              <w:rPr>
                <w:sz w:val="8"/>
                <w:szCs w:val="8"/>
                <w:color w:val="auto"/>
              </w:rPr>
            </w:pPr>
          </w:p>
        </w:tc>
        <w:tc>
          <w:tcPr>
            <w:tcW w:w="980" w:type="dxa"/>
            <w:vAlign w:val="bottom"/>
            <w:vMerge w:val="restart"/>
            <w:shd w:val="clear" w:color="auto" w:fill="FFC000"/>
          </w:tcPr>
          <w:p>
            <w:pPr>
              <w:jc w:val="center"/>
              <w:ind w:left="83"/>
              <w:spacing w:after="0"/>
              <w:rPr>
                <w:sz w:val="20"/>
                <w:szCs w:val="20"/>
                <w:color w:val="auto"/>
              </w:rPr>
            </w:pPr>
            <w:r>
              <w:rPr>
                <w:rFonts w:ascii="Arial" w:cs="Arial" w:eastAsia="Arial" w:hAnsi="Arial"/>
                <w:sz w:val="15"/>
                <w:szCs w:val="15"/>
                <w:b w:val="1"/>
                <w:bCs w:val="1"/>
                <w:color w:val="auto"/>
              </w:rPr>
              <w:t>leaders</w:t>
            </w:r>
          </w:p>
        </w:tc>
        <w:tc>
          <w:tcPr>
            <w:tcW w:w="1160" w:type="dxa"/>
            <w:vAlign w:val="bottom"/>
            <w:vMerge w:val="restart"/>
            <w:shd w:val="clear" w:color="auto" w:fill="FFC000"/>
          </w:tcPr>
          <w:p>
            <w:pPr>
              <w:jc w:val="center"/>
              <w:spacing w:after="0"/>
              <w:rPr>
                <w:sz w:val="20"/>
                <w:szCs w:val="20"/>
                <w:color w:val="auto"/>
              </w:rPr>
            </w:pPr>
            <w:r>
              <w:rPr>
                <w:rFonts w:ascii="Arial" w:cs="Arial" w:eastAsia="Arial" w:hAnsi="Arial"/>
                <w:sz w:val="15"/>
                <w:szCs w:val="15"/>
                <w:b w:val="1"/>
                <w:bCs w:val="1"/>
                <w:color w:val="auto"/>
              </w:rPr>
              <w:t>Management</w:t>
            </w:r>
          </w:p>
        </w:tc>
        <w:tc>
          <w:tcPr>
            <w:tcW w:w="1160" w:type="dxa"/>
            <w:vAlign w:val="bottom"/>
            <w:vMerge w:val="continue"/>
            <w:shd w:val="clear" w:color="auto" w:fill="FFC000"/>
          </w:tcPr>
          <w:p>
            <w:pPr>
              <w:spacing w:after="0"/>
              <w:rPr>
                <w:sz w:val="8"/>
                <w:szCs w:val="8"/>
                <w:color w:val="auto"/>
              </w:rPr>
            </w:pPr>
          </w:p>
        </w:tc>
        <w:tc>
          <w:tcPr>
            <w:tcW w:w="620" w:type="dxa"/>
            <w:vAlign w:val="bottom"/>
            <w:vMerge w:val="continue"/>
            <w:shd w:val="clear" w:color="auto" w:fill="FFC00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480" w:type="dxa"/>
            <w:vAlign w:val="bottom"/>
            <w:shd w:val="clear" w:color="auto" w:fill="FFC000"/>
          </w:tcPr>
          <w:p>
            <w:pPr>
              <w:spacing w:after="0"/>
              <w:rPr>
                <w:sz w:val="9"/>
                <w:szCs w:val="9"/>
                <w:color w:val="auto"/>
              </w:rPr>
            </w:pPr>
          </w:p>
        </w:tc>
        <w:tc>
          <w:tcPr>
            <w:tcW w:w="980" w:type="dxa"/>
            <w:vAlign w:val="bottom"/>
            <w:vMerge w:val="continue"/>
            <w:shd w:val="clear" w:color="auto" w:fill="FFC000"/>
          </w:tcPr>
          <w:p>
            <w:pPr>
              <w:spacing w:after="0"/>
              <w:rPr>
                <w:sz w:val="9"/>
                <w:szCs w:val="9"/>
                <w:color w:val="auto"/>
              </w:rPr>
            </w:pPr>
          </w:p>
        </w:tc>
        <w:tc>
          <w:tcPr>
            <w:tcW w:w="1160" w:type="dxa"/>
            <w:vAlign w:val="bottom"/>
            <w:vMerge w:val="continue"/>
            <w:shd w:val="clear" w:color="auto" w:fill="FFC000"/>
          </w:tcPr>
          <w:p>
            <w:pPr>
              <w:spacing w:after="0"/>
              <w:rPr>
                <w:sz w:val="9"/>
                <w:szCs w:val="9"/>
                <w:color w:val="auto"/>
              </w:rPr>
            </w:pPr>
          </w:p>
        </w:tc>
        <w:tc>
          <w:tcPr>
            <w:tcW w:w="1160" w:type="dxa"/>
            <w:vAlign w:val="bottom"/>
            <w:vMerge w:val="restart"/>
            <w:shd w:val="clear" w:color="auto" w:fill="FFC000"/>
          </w:tcPr>
          <w:p>
            <w:pPr>
              <w:jc w:val="center"/>
              <w:spacing w:after="0"/>
              <w:rPr>
                <w:sz w:val="20"/>
                <w:szCs w:val="20"/>
                <w:color w:val="auto"/>
              </w:rPr>
            </w:pPr>
            <w:r>
              <w:rPr>
                <w:rFonts w:ascii="Arial" w:cs="Arial" w:eastAsia="Arial" w:hAnsi="Arial"/>
                <w:sz w:val="15"/>
                <w:szCs w:val="15"/>
                <w:b w:val="1"/>
                <w:bCs w:val="1"/>
                <w:color w:val="auto"/>
              </w:rPr>
              <w:t>Employees</w:t>
            </w:r>
          </w:p>
        </w:tc>
        <w:tc>
          <w:tcPr>
            <w:tcW w:w="620" w:type="dxa"/>
            <w:vAlign w:val="bottom"/>
            <w:shd w:val="clear" w:color="auto" w:fill="FFC00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480" w:type="dxa"/>
            <w:vAlign w:val="bottom"/>
            <w:shd w:val="clear" w:color="auto" w:fill="FFC000"/>
          </w:tcPr>
          <w:p>
            <w:pPr>
              <w:spacing w:after="0"/>
              <w:rPr>
                <w:sz w:val="8"/>
                <w:szCs w:val="8"/>
                <w:color w:val="auto"/>
              </w:rPr>
            </w:pPr>
          </w:p>
        </w:tc>
        <w:tc>
          <w:tcPr>
            <w:tcW w:w="980" w:type="dxa"/>
            <w:vAlign w:val="bottom"/>
            <w:shd w:val="clear" w:color="auto" w:fill="FFC000"/>
          </w:tcPr>
          <w:p>
            <w:pPr>
              <w:spacing w:after="0"/>
              <w:rPr>
                <w:sz w:val="8"/>
                <w:szCs w:val="8"/>
                <w:color w:val="auto"/>
              </w:rPr>
            </w:pPr>
          </w:p>
        </w:tc>
        <w:tc>
          <w:tcPr>
            <w:tcW w:w="1160" w:type="dxa"/>
            <w:vAlign w:val="bottom"/>
            <w:shd w:val="clear" w:color="auto" w:fill="FFC000"/>
          </w:tcPr>
          <w:p>
            <w:pPr>
              <w:spacing w:after="0"/>
              <w:rPr>
                <w:sz w:val="8"/>
                <w:szCs w:val="8"/>
                <w:color w:val="auto"/>
              </w:rPr>
            </w:pPr>
          </w:p>
        </w:tc>
        <w:tc>
          <w:tcPr>
            <w:tcW w:w="1160" w:type="dxa"/>
            <w:vAlign w:val="bottom"/>
            <w:vMerge w:val="continue"/>
            <w:shd w:val="clear" w:color="auto" w:fill="FFC000"/>
          </w:tcPr>
          <w:p>
            <w:pPr>
              <w:spacing w:after="0"/>
              <w:rPr>
                <w:sz w:val="8"/>
                <w:szCs w:val="8"/>
                <w:color w:val="auto"/>
              </w:rPr>
            </w:pPr>
          </w:p>
        </w:tc>
        <w:tc>
          <w:tcPr>
            <w:tcW w:w="620" w:type="dxa"/>
            <w:vAlign w:val="bottom"/>
            <w:shd w:val="clear" w:color="auto" w:fill="FFC00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shd w:val="clear" w:color="auto" w:fill="FFC000"/>
          </w:tcPr>
          <w:p>
            <w:pPr>
              <w:spacing w:after="0"/>
              <w:rPr>
                <w:sz w:val="9"/>
                <w:szCs w:val="9"/>
                <w:color w:val="auto"/>
              </w:rPr>
            </w:pPr>
          </w:p>
        </w:tc>
        <w:tc>
          <w:tcPr>
            <w:tcW w:w="980" w:type="dxa"/>
            <w:vAlign w:val="bottom"/>
            <w:tcBorders>
              <w:bottom w:val="single" w:sz="8" w:color="auto"/>
            </w:tcBorders>
            <w:shd w:val="clear" w:color="auto" w:fill="FFC000"/>
          </w:tcPr>
          <w:p>
            <w:pPr>
              <w:spacing w:after="0"/>
              <w:rPr>
                <w:sz w:val="9"/>
                <w:szCs w:val="9"/>
                <w:color w:val="auto"/>
              </w:rPr>
            </w:pPr>
          </w:p>
        </w:tc>
        <w:tc>
          <w:tcPr>
            <w:tcW w:w="1160" w:type="dxa"/>
            <w:vAlign w:val="bottom"/>
            <w:tcBorders>
              <w:bottom w:val="single" w:sz="8" w:color="auto"/>
            </w:tcBorders>
            <w:shd w:val="clear" w:color="auto" w:fill="FFC000"/>
          </w:tcPr>
          <w:p>
            <w:pPr>
              <w:spacing w:after="0"/>
              <w:rPr>
                <w:sz w:val="9"/>
                <w:szCs w:val="9"/>
                <w:color w:val="auto"/>
              </w:rPr>
            </w:pPr>
          </w:p>
        </w:tc>
        <w:tc>
          <w:tcPr>
            <w:tcW w:w="1160" w:type="dxa"/>
            <w:vAlign w:val="bottom"/>
            <w:tcBorders>
              <w:bottom w:val="single" w:sz="8" w:color="auto"/>
            </w:tcBorders>
            <w:shd w:val="clear" w:color="auto" w:fill="FFC000"/>
          </w:tcPr>
          <w:p>
            <w:pPr>
              <w:spacing w:after="0"/>
              <w:rPr>
                <w:sz w:val="9"/>
                <w:szCs w:val="9"/>
                <w:color w:val="auto"/>
              </w:rPr>
            </w:pPr>
          </w:p>
        </w:tc>
        <w:tc>
          <w:tcPr>
            <w:tcW w:w="620" w:type="dxa"/>
            <w:vAlign w:val="bottom"/>
            <w:tcBorders>
              <w:bottom w:val="single" w:sz="8" w:color="auto"/>
            </w:tcBorders>
            <w:shd w:val="clear" w:color="auto" w:fill="FFC000"/>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480" w:type="dxa"/>
            <w:vAlign w:val="bottom"/>
          </w:tcPr>
          <w:p>
            <w:pPr>
              <w:ind w:left="100"/>
              <w:spacing w:after="0"/>
              <w:rPr>
                <w:sz w:val="20"/>
                <w:szCs w:val="20"/>
                <w:color w:val="auto"/>
              </w:rPr>
            </w:pPr>
            <w:r>
              <w:rPr>
                <w:rFonts w:ascii="Arial" w:cs="Arial" w:eastAsia="Arial" w:hAnsi="Arial"/>
                <w:sz w:val="15"/>
                <w:szCs w:val="15"/>
                <w:color w:val="auto"/>
              </w:rPr>
              <w:t>Men</w:t>
            </w:r>
          </w:p>
        </w:tc>
        <w:tc>
          <w:tcPr>
            <w:tcW w:w="980" w:type="dxa"/>
            <w:vAlign w:val="bottom"/>
          </w:tcPr>
          <w:p>
            <w:pPr>
              <w:jc w:val="center"/>
              <w:ind w:left="83"/>
              <w:spacing w:after="0"/>
              <w:rPr>
                <w:sz w:val="20"/>
                <w:szCs w:val="20"/>
                <w:color w:val="auto"/>
              </w:rPr>
            </w:pPr>
            <w:r>
              <w:rPr>
                <w:rFonts w:ascii="Arial" w:cs="Arial" w:eastAsia="Arial" w:hAnsi="Arial"/>
                <w:sz w:val="15"/>
                <w:szCs w:val="15"/>
                <w:color w:val="auto"/>
                <w:w w:val="99"/>
              </w:rPr>
              <w:t>81%</w:t>
            </w:r>
          </w:p>
        </w:tc>
        <w:tc>
          <w:tcPr>
            <w:tcW w:w="1160" w:type="dxa"/>
            <w:vAlign w:val="bottom"/>
          </w:tcPr>
          <w:p>
            <w:pPr>
              <w:jc w:val="center"/>
              <w:spacing w:after="0"/>
              <w:rPr>
                <w:sz w:val="20"/>
                <w:szCs w:val="20"/>
                <w:color w:val="auto"/>
              </w:rPr>
            </w:pPr>
            <w:r>
              <w:rPr>
                <w:rFonts w:ascii="Arial" w:cs="Arial" w:eastAsia="Arial" w:hAnsi="Arial"/>
                <w:sz w:val="15"/>
                <w:szCs w:val="15"/>
                <w:color w:val="auto"/>
                <w:w w:val="99"/>
              </w:rPr>
              <w:t>83%</w:t>
            </w:r>
          </w:p>
        </w:tc>
        <w:tc>
          <w:tcPr>
            <w:tcW w:w="1160" w:type="dxa"/>
            <w:vAlign w:val="bottom"/>
          </w:tcPr>
          <w:p>
            <w:pPr>
              <w:jc w:val="center"/>
              <w:spacing w:after="0"/>
              <w:rPr>
                <w:sz w:val="20"/>
                <w:szCs w:val="20"/>
                <w:color w:val="auto"/>
              </w:rPr>
            </w:pPr>
            <w:r>
              <w:rPr>
                <w:rFonts w:ascii="Arial" w:cs="Arial" w:eastAsia="Arial" w:hAnsi="Arial"/>
                <w:sz w:val="15"/>
                <w:szCs w:val="15"/>
                <w:color w:val="auto"/>
              </w:rPr>
              <w:t>82%</w:t>
            </w:r>
          </w:p>
        </w:tc>
        <w:tc>
          <w:tcPr>
            <w:tcW w:w="620" w:type="dxa"/>
            <w:vAlign w:val="bottom"/>
          </w:tcPr>
          <w:p>
            <w:pPr>
              <w:jc w:val="center"/>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4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480" w:type="dxa"/>
            <w:vAlign w:val="bottom"/>
          </w:tcPr>
          <w:p>
            <w:pPr>
              <w:ind w:left="100"/>
              <w:spacing w:after="0"/>
              <w:rPr>
                <w:sz w:val="20"/>
                <w:szCs w:val="20"/>
                <w:color w:val="auto"/>
              </w:rPr>
            </w:pPr>
            <w:r>
              <w:rPr>
                <w:rFonts w:ascii="Arial" w:cs="Arial" w:eastAsia="Arial" w:hAnsi="Arial"/>
                <w:sz w:val="15"/>
                <w:szCs w:val="15"/>
                <w:color w:val="auto"/>
              </w:rPr>
              <w:t>Women</w:t>
            </w:r>
          </w:p>
        </w:tc>
        <w:tc>
          <w:tcPr>
            <w:tcW w:w="980" w:type="dxa"/>
            <w:vAlign w:val="bottom"/>
          </w:tcPr>
          <w:p>
            <w:pPr>
              <w:jc w:val="center"/>
              <w:ind w:left="83"/>
              <w:spacing w:after="0"/>
              <w:rPr>
                <w:sz w:val="20"/>
                <w:szCs w:val="20"/>
                <w:color w:val="auto"/>
              </w:rPr>
            </w:pPr>
            <w:r>
              <w:rPr>
                <w:rFonts w:ascii="Arial" w:cs="Arial" w:eastAsia="Arial" w:hAnsi="Arial"/>
                <w:sz w:val="15"/>
                <w:szCs w:val="15"/>
                <w:color w:val="auto"/>
                <w:w w:val="99"/>
              </w:rPr>
              <w:t>66%</w:t>
            </w:r>
          </w:p>
        </w:tc>
        <w:tc>
          <w:tcPr>
            <w:tcW w:w="1160" w:type="dxa"/>
            <w:vAlign w:val="bottom"/>
          </w:tcPr>
          <w:p>
            <w:pPr>
              <w:jc w:val="center"/>
              <w:spacing w:after="0"/>
              <w:rPr>
                <w:sz w:val="20"/>
                <w:szCs w:val="20"/>
                <w:color w:val="auto"/>
              </w:rPr>
            </w:pPr>
            <w:r>
              <w:rPr>
                <w:rFonts w:ascii="Arial" w:cs="Arial" w:eastAsia="Arial" w:hAnsi="Arial"/>
                <w:sz w:val="15"/>
                <w:szCs w:val="15"/>
                <w:color w:val="auto"/>
                <w:w w:val="99"/>
              </w:rPr>
              <w:t>78%</w:t>
            </w:r>
          </w:p>
        </w:tc>
        <w:tc>
          <w:tcPr>
            <w:tcW w:w="1160" w:type="dxa"/>
            <w:vAlign w:val="bottom"/>
          </w:tcPr>
          <w:p>
            <w:pPr>
              <w:jc w:val="center"/>
              <w:spacing w:after="0"/>
              <w:rPr>
                <w:sz w:val="20"/>
                <w:szCs w:val="20"/>
                <w:color w:val="auto"/>
              </w:rPr>
            </w:pPr>
            <w:r>
              <w:rPr>
                <w:rFonts w:ascii="Arial" w:cs="Arial" w:eastAsia="Arial" w:hAnsi="Arial"/>
                <w:sz w:val="15"/>
                <w:szCs w:val="15"/>
                <w:color w:val="auto"/>
              </w:rPr>
              <w:t>81%</w:t>
            </w:r>
          </w:p>
        </w:tc>
        <w:tc>
          <w:tcPr>
            <w:tcW w:w="620" w:type="dxa"/>
            <w:vAlign w:val="bottom"/>
          </w:tcPr>
          <w:p>
            <w:pPr>
              <w:jc w:val="center"/>
              <w:spacing w:after="0"/>
              <w:rPr>
                <w:sz w:val="20"/>
                <w:szCs w:val="20"/>
                <w:color w:val="auto"/>
              </w:rPr>
            </w:pPr>
            <w:r>
              <w:rPr>
                <w:rFonts w:ascii="Arial" w:cs="Arial" w:eastAsia="Arial" w:hAnsi="Arial"/>
                <w:sz w:val="15"/>
                <w:szCs w:val="15"/>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4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480" w:type="dxa"/>
            <w:vAlign w:val="bottom"/>
          </w:tcPr>
          <w:p>
            <w:pPr>
              <w:ind w:left="100"/>
              <w:spacing w:after="0" w:line="164" w:lineRule="exact"/>
              <w:rPr>
                <w:sz w:val="20"/>
                <w:szCs w:val="20"/>
                <w:color w:val="auto"/>
              </w:rPr>
            </w:pPr>
            <w:r>
              <w:rPr>
                <w:rFonts w:ascii="Arial" w:cs="Arial" w:eastAsia="Arial" w:hAnsi="Arial"/>
                <w:sz w:val="15"/>
                <w:szCs w:val="15"/>
                <w:color w:val="auto"/>
              </w:rPr>
              <w:t>Gender gap (%</w:t>
            </w:r>
          </w:p>
        </w:tc>
        <w:tc>
          <w:tcPr>
            <w:tcW w:w="980" w:type="dxa"/>
            <w:vAlign w:val="bottom"/>
            <w:vMerge w:val="restart"/>
          </w:tcPr>
          <w:p>
            <w:pPr>
              <w:jc w:val="center"/>
              <w:ind w:left="83"/>
              <w:spacing w:after="0"/>
              <w:rPr>
                <w:sz w:val="20"/>
                <w:szCs w:val="20"/>
                <w:color w:val="auto"/>
              </w:rPr>
            </w:pPr>
            <w:r>
              <w:rPr>
                <w:rFonts w:ascii="Arial" w:cs="Arial" w:eastAsia="Arial" w:hAnsi="Arial"/>
                <w:sz w:val="15"/>
                <w:szCs w:val="15"/>
                <w:color w:val="auto"/>
                <w:w w:val="99"/>
              </w:rPr>
              <w:t>16%</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rPr>
              <w:t>5%</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rPr>
              <w:t>1%</w:t>
            </w: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480" w:type="dxa"/>
            <w:vAlign w:val="bottom"/>
            <w:vMerge w:val="restart"/>
          </w:tcPr>
          <w:p>
            <w:pPr>
              <w:ind w:left="100"/>
              <w:spacing w:after="0"/>
              <w:rPr>
                <w:sz w:val="20"/>
                <w:szCs w:val="20"/>
                <w:color w:val="auto"/>
              </w:rPr>
            </w:pPr>
            <w:r>
              <w:rPr>
                <w:rFonts w:ascii="Arial" w:cs="Arial" w:eastAsia="Arial" w:hAnsi="Arial"/>
                <w:sz w:val="15"/>
                <w:szCs w:val="15"/>
                <w:color w:val="auto"/>
              </w:rPr>
              <w:t>men-% women)</w:t>
            </w:r>
          </w:p>
        </w:tc>
        <w:tc>
          <w:tcPr>
            <w:tcW w:w="9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Source: Data from workplace climate survey 2022. Development: In-house.</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are currently working to identify and analyze the benefits and initiatives at the corporate and subsidiary levels to promote greater conciliation between family, work and professional aspects. The goal is to reduce the existing gender gap, particularly in the leader segments.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2F5496"/>
        </w:rPr>
        <w:t>Workplace Sexual Harassment (WSH)</w:t>
      </w:r>
    </w:p>
    <w:p>
      <w:pPr>
        <w:spacing w:after="0" w:line="17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Our policy and culture of Zero Tolerace to WSH is at the core of our strategy to deal with this front, which includes creating awareness and educating about HSL and mechanisms for alert and motivating employees to report cases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312" w:right="319" w:bottom="1440" w:gutter="0" w:footer="0" w:header="0"/>
        </w:sectPr>
      </w:pPr>
    </w:p>
    <w:bookmarkStart w:id="119" w:name="page120"/>
    <w:bookmarkEnd w:id="119"/>
    <w:p>
      <w:pPr>
        <w:spacing w:after="0" w:line="1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of WSH, as either victims or witnesses. In our second year as a member of the International Initiative ELSA (Workplaces free of Sexual Harassment), created by Genderlab with the assistance of IDB, we registered progress year-over-year.</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There are two aspects that we would like to mention about this work front: understanding of the issue and knowledge of the system of prevention. On the understanding front, we have made progress given that more people responded correctly to survey questions regarding WSH this year than last. In this regard, we have exceeded the benchmark both in Peru and the region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3425825" cy="16986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5825" cy="169862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0" w:type="dxa"/>
            <w:vAlign w:val="bottom"/>
            <w:shd w:val="clear" w:color="auto" w:fill="F2F2F2"/>
          </w:tcPr>
          <w:p>
            <w:pPr>
              <w:spacing w:after="0"/>
              <w:rPr>
                <w:sz w:val="12"/>
                <w:szCs w:val="12"/>
                <w:color w:val="auto"/>
              </w:rPr>
            </w:pPr>
          </w:p>
        </w:tc>
        <w:tc>
          <w:tcPr>
            <w:tcW w:w="120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820" w:type="dxa"/>
            <w:vAlign w:val="bottom"/>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rPr>
              <w:t>Credicorp</w:t>
            </w:r>
          </w:p>
        </w:tc>
        <w:tc>
          <w:tcPr>
            <w:tcW w:w="84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Benchmark</w:t>
            </w:r>
          </w:p>
        </w:tc>
        <w:tc>
          <w:tcPr>
            <w:tcW w:w="90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Benchmark</w:t>
            </w:r>
          </w:p>
        </w:tc>
        <w:tc>
          <w:tcPr>
            <w:tcW w:w="0" w:type="dxa"/>
            <w:vAlign w:val="bottom"/>
          </w:tcPr>
          <w:p>
            <w:pPr>
              <w:spacing w:after="0"/>
              <w:rPr>
                <w:sz w:val="1"/>
                <w:szCs w:val="1"/>
                <w:color w:val="auto"/>
              </w:rPr>
            </w:pPr>
          </w:p>
        </w:tc>
      </w:tr>
      <w:tr>
        <w:trPr>
          <w:trHeight w:val="92"/>
        </w:trPr>
        <w:tc>
          <w:tcPr>
            <w:tcW w:w="1000" w:type="dxa"/>
            <w:vAlign w:val="bottom"/>
            <w:shd w:val="clear" w:color="auto" w:fill="F2F2F2"/>
          </w:tcPr>
          <w:p>
            <w:pPr>
              <w:spacing w:after="0"/>
              <w:rPr>
                <w:sz w:val="8"/>
                <w:szCs w:val="8"/>
                <w:color w:val="auto"/>
              </w:rPr>
            </w:pPr>
          </w:p>
        </w:tc>
        <w:tc>
          <w:tcPr>
            <w:tcW w:w="1200" w:type="dxa"/>
            <w:vAlign w:val="bottom"/>
            <w:shd w:val="clear" w:color="auto" w:fill="F2F2F2"/>
          </w:tcPr>
          <w:p>
            <w:pPr>
              <w:spacing w:after="0"/>
              <w:rPr>
                <w:sz w:val="8"/>
                <w:szCs w:val="8"/>
                <w:color w:val="auto"/>
              </w:rPr>
            </w:pPr>
          </w:p>
        </w:tc>
        <w:tc>
          <w:tcPr>
            <w:tcW w:w="620" w:type="dxa"/>
            <w:vAlign w:val="bottom"/>
            <w:shd w:val="clear" w:color="auto" w:fill="F2F2F2"/>
          </w:tcPr>
          <w:p>
            <w:pPr>
              <w:spacing w:after="0"/>
              <w:rPr>
                <w:sz w:val="8"/>
                <w:szCs w:val="8"/>
                <w:color w:val="auto"/>
              </w:rPr>
            </w:pPr>
          </w:p>
        </w:tc>
        <w:tc>
          <w:tcPr>
            <w:tcW w:w="820" w:type="dxa"/>
            <w:vAlign w:val="bottom"/>
            <w:vMerge w:val="continue"/>
            <w:shd w:val="clear" w:color="auto" w:fill="F2F2F2"/>
          </w:tcPr>
          <w:p>
            <w:pPr>
              <w:spacing w:after="0"/>
              <w:rPr>
                <w:sz w:val="8"/>
                <w:szCs w:val="8"/>
                <w:color w:val="auto"/>
              </w:rPr>
            </w:pPr>
          </w:p>
        </w:tc>
        <w:tc>
          <w:tcPr>
            <w:tcW w:w="840" w:type="dxa"/>
            <w:vAlign w:val="bottom"/>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rPr>
              <w:t>Peru</w:t>
            </w:r>
          </w:p>
        </w:tc>
        <w:tc>
          <w:tcPr>
            <w:tcW w:w="900" w:type="dxa"/>
            <w:vAlign w:val="bottom"/>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rPr>
              <w:t>Region</w:t>
            </w:r>
          </w:p>
        </w:tc>
        <w:tc>
          <w:tcPr>
            <w:tcW w:w="0" w:type="dxa"/>
            <w:vAlign w:val="bottom"/>
          </w:tcPr>
          <w:p>
            <w:pPr>
              <w:spacing w:after="0"/>
              <w:rPr>
                <w:sz w:val="1"/>
                <w:szCs w:val="1"/>
                <w:color w:val="auto"/>
              </w:rPr>
            </w:pPr>
          </w:p>
        </w:tc>
      </w:tr>
      <w:tr>
        <w:trPr>
          <w:trHeight w:val="69"/>
        </w:trPr>
        <w:tc>
          <w:tcPr>
            <w:tcW w:w="1000" w:type="dxa"/>
            <w:vAlign w:val="bottom"/>
            <w:shd w:val="clear" w:color="auto" w:fill="F2F2F2"/>
          </w:tcPr>
          <w:p>
            <w:pPr>
              <w:spacing w:after="0"/>
              <w:rPr>
                <w:sz w:val="6"/>
                <w:szCs w:val="6"/>
                <w:color w:val="auto"/>
              </w:rPr>
            </w:pPr>
          </w:p>
        </w:tc>
        <w:tc>
          <w:tcPr>
            <w:tcW w:w="1200" w:type="dxa"/>
            <w:vAlign w:val="bottom"/>
            <w:shd w:val="clear" w:color="auto" w:fill="F2F2F2"/>
          </w:tcPr>
          <w:p>
            <w:pPr>
              <w:spacing w:after="0"/>
              <w:rPr>
                <w:sz w:val="6"/>
                <w:szCs w:val="6"/>
                <w:color w:val="auto"/>
              </w:rPr>
            </w:pPr>
          </w:p>
        </w:tc>
        <w:tc>
          <w:tcPr>
            <w:tcW w:w="620" w:type="dxa"/>
            <w:vAlign w:val="bottom"/>
            <w:shd w:val="clear" w:color="auto" w:fill="F2F2F2"/>
          </w:tcPr>
          <w:p>
            <w:pPr>
              <w:spacing w:after="0"/>
              <w:rPr>
                <w:sz w:val="6"/>
                <w:szCs w:val="6"/>
                <w:color w:val="auto"/>
              </w:rPr>
            </w:pPr>
          </w:p>
        </w:tc>
        <w:tc>
          <w:tcPr>
            <w:tcW w:w="820" w:type="dxa"/>
            <w:vAlign w:val="bottom"/>
            <w:shd w:val="clear" w:color="auto" w:fill="F2F2F2"/>
          </w:tcPr>
          <w:p>
            <w:pPr>
              <w:spacing w:after="0"/>
              <w:rPr>
                <w:sz w:val="6"/>
                <w:szCs w:val="6"/>
                <w:color w:val="auto"/>
              </w:rPr>
            </w:pPr>
          </w:p>
        </w:tc>
        <w:tc>
          <w:tcPr>
            <w:tcW w:w="840" w:type="dxa"/>
            <w:vAlign w:val="bottom"/>
            <w:vMerge w:val="continue"/>
            <w:shd w:val="clear" w:color="auto" w:fill="F2F2F2"/>
          </w:tcPr>
          <w:p>
            <w:pPr>
              <w:spacing w:after="0"/>
              <w:rPr>
                <w:sz w:val="6"/>
                <w:szCs w:val="6"/>
                <w:color w:val="auto"/>
              </w:rPr>
            </w:pPr>
          </w:p>
        </w:tc>
        <w:tc>
          <w:tcPr>
            <w:tcW w:w="9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000" w:type="dxa"/>
            <w:vAlign w:val="bottom"/>
            <w:tcBorders>
              <w:bottom w:val="single" w:sz="8" w:color="auto"/>
            </w:tcBorders>
            <w:shd w:val="clear" w:color="auto" w:fill="F2F2F2"/>
          </w:tcPr>
          <w:p>
            <w:pPr>
              <w:spacing w:after="0"/>
              <w:rPr>
                <w:sz w:val="8"/>
                <w:szCs w:val="8"/>
                <w:color w:val="auto"/>
              </w:rPr>
            </w:pPr>
          </w:p>
        </w:tc>
        <w:tc>
          <w:tcPr>
            <w:tcW w:w="1200" w:type="dxa"/>
            <w:vAlign w:val="bottom"/>
            <w:tcBorders>
              <w:bottom w:val="single" w:sz="8" w:color="auto"/>
            </w:tcBorders>
            <w:shd w:val="clear" w:color="auto" w:fill="F2F2F2"/>
          </w:tcPr>
          <w:p>
            <w:pPr>
              <w:spacing w:after="0"/>
              <w:rPr>
                <w:sz w:val="8"/>
                <w:szCs w:val="8"/>
                <w:color w:val="auto"/>
              </w:rPr>
            </w:pPr>
          </w:p>
        </w:tc>
        <w:tc>
          <w:tcPr>
            <w:tcW w:w="620" w:type="dxa"/>
            <w:vAlign w:val="bottom"/>
            <w:tcBorders>
              <w:bottom w:val="single" w:sz="8" w:color="auto"/>
            </w:tcBorders>
            <w:shd w:val="clear" w:color="auto" w:fill="F2F2F2"/>
          </w:tcPr>
          <w:p>
            <w:pPr>
              <w:spacing w:after="0"/>
              <w:rPr>
                <w:sz w:val="8"/>
                <w:szCs w:val="8"/>
                <w:color w:val="auto"/>
              </w:rPr>
            </w:pPr>
          </w:p>
        </w:tc>
        <w:tc>
          <w:tcPr>
            <w:tcW w:w="820" w:type="dxa"/>
            <w:vAlign w:val="bottom"/>
            <w:tcBorders>
              <w:bottom w:val="single" w:sz="8" w:color="auto"/>
            </w:tcBorders>
            <w:shd w:val="clear" w:color="auto" w:fill="F2F2F2"/>
          </w:tcPr>
          <w:p>
            <w:pPr>
              <w:spacing w:after="0"/>
              <w:rPr>
                <w:sz w:val="8"/>
                <w:szCs w:val="8"/>
                <w:color w:val="auto"/>
              </w:rPr>
            </w:pPr>
          </w:p>
        </w:tc>
        <w:tc>
          <w:tcPr>
            <w:tcW w:w="840" w:type="dxa"/>
            <w:vAlign w:val="bottom"/>
            <w:tcBorders>
              <w:bottom w:val="single" w:sz="8" w:color="auto"/>
            </w:tcBorders>
            <w:shd w:val="clear" w:color="auto" w:fill="F2F2F2"/>
          </w:tcPr>
          <w:p>
            <w:pPr>
              <w:spacing w:after="0"/>
              <w:rPr>
                <w:sz w:val="8"/>
                <w:szCs w:val="8"/>
                <w:color w:val="auto"/>
              </w:rPr>
            </w:pPr>
          </w:p>
        </w:tc>
        <w:tc>
          <w:tcPr>
            <w:tcW w:w="900" w:type="dxa"/>
            <w:vAlign w:val="bottom"/>
            <w:tcBorders>
              <w:bottom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F2F2F2"/>
          </w:tcPr>
          <w:p>
            <w:pPr>
              <w:spacing w:after="0"/>
              <w:rPr>
                <w:sz w:val="11"/>
                <w:szCs w:val="11"/>
                <w:color w:val="auto"/>
              </w:rPr>
            </w:pPr>
          </w:p>
        </w:tc>
        <w:tc>
          <w:tcPr>
            <w:tcW w:w="1200" w:type="dxa"/>
            <w:vAlign w:val="bottom"/>
          </w:tcPr>
          <w:p>
            <w:pPr>
              <w:ind w:left="100"/>
              <w:spacing w:after="0" w:line="134" w:lineRule="exact"/>
              <w:rPr>
                <w:sz w:val="20"/>
                <w:szCs w:val="20"/>
                <w:color w:val="auto"/>
              </w:rPr>
            </w:pPr>
            <w:r>
              <w:rPr>
                <w:rFonts w:ascii="Arial" w:cs="Arial" w:eastAsia="Arial" w:hAnsi="Arial"/>
                <w:sz w:val="12"/>
                <w:szCs w:val="12"/>
                <w:color w:val="auto"/>
              </w:rPr>
              <w:t>The person must</w:t>
            </w:r>
          </w:p>
        </w:tc>
        <w:tc>
          <w:tcPr>
            <w:tcW w:w="620" w:type="dxa"/>
            <w:vAlign w:val="bottom"/>
          </w:tcPr>
          <w:p>
            <w:pPr>
              <w:ind w:left="180"/>
              <w:spacing w:after="0" w:line="134" w:lineRule="exact"/>
              <w:rPr>
                <w:sz w:val="20"/>
                <w:szCs w:val="20"/>
                <w:color w:val="auto"/>
              </w:rPr>
            </w:pPr>
            <w:r>
              <w:rPr>
                <w:rFonts w:ascii="Arial" w:cs="Arial" w:eastAsia="Arial" w:hAnsi="Arial"/>
                <w:sz w:val="12"/>
                <w:szCs w:val="12"/>
                <w:color w:val="auto"/>
              </w:rPr>
              <w:t>jul-21</w:t>
            </w:r>
          </w:p>
        </w:tc>
        <w:tc>
          <w:tcPr>
            <w:tcW w:w="820" w:type="dxa"/>
            <w:vAlign w:val="bottom"/>
          </w:tcPr>
          <w:p>
            <w:pPr>
              <w:jc w:val="center"/>
              <w:spacing w:after="0" w:line="134" w:lineRule="exact"/>
              <w:rPr>
                <w:sz w:val="20"/>
                <w:szCs w:val="20"/>
                <w:color w:val="auto"/>
              </w:rPr>
            </w:pPr>
            <w:r>
              <w:rPr>
                <w:rFonts w:ascii="Arial" w:cs="Arial" w:eastAsia="Arial" w:hAnsi="Arial"/>
                <w:sz w:val="12"/>
                <w:szCs w:val="12"/>
                <w:color w:val="auto"/>
              </w:rPr>
              <w:t>67%</w:t>
            </w:r>
          </w:p>
        </w:tc>
        <w:tc>
          <w:tcPr>
            <w:tcW w:w="840" w:type="dxa"/>
            <w:vAlign w:val="bottom"/>
          </w:tcPr>
          <w:p>
            <w:pPr>
              <w:jc w:val="center"/>
              <w:spacing w:after="0" w:line="134" w:lineRule="exact"/>
              <w:rPr>
                <w:sz w:val="20"/>
                <w:szCs w:val="20"/>
                <w:color w:val="auto"/>
              </w:rPr>
            </w:pPr>
            <w:r>
              <w:rPr>
                <w:rFonts w:ascii="Arial" w:cs="Arial" w:eastAsia="Arial" w:hAnsi="Arial"/>
                <w:sz w:val="12"/>
                <w:szCs w:val="12"/>
                <w:color w:val="auto"/>
                <w:w w:val="99"/>
              </w:rPr>
              <w:t>73%</w:t>
            </w:r>
          </w:p>
        </w:tc>
        <w:tc>
          <w:tcPr>
            <w:tcW w:w="900" w:type="dxa"/>
            <w:vAlign w:val="bottom"/>
          </w:tcPr>
          <w:p>
            <w:pPr>
              <w:jc w:val="center"/>
              <w:spacing w:after="0" w:line="134" w:lineRule="exact"/>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54"/>
        </w:trPr>
        <w:tc>
          <w:tcPr>
            <w:tcW w:w="1000" w:type="dxa"/>
            <w:vAlign w:val="bottom"/>
            <w:tcBorders>
              <w:bottom w:val="single" w:sz="8" w:color="F2F2F2"/>
            </w:tcBorders>
            <w:shd w:val="clear" w:color="auto" w:fill="F2F2F2"/>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2"/>
                <w:szCs w:val="12"/>
                <w:color w:val="auto"/>
              </w:rPr>
              <w:t>show rejection</w:t>
            </w:r>
          </w:p>
        </w:tc>
        <w:tc>
          <w:tcPr>
            <w:tcW w:w="6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000" w:type="dxa"/>
            <w:vAlign w:val="bottom"/>
            <w:shd w:val="clear" w:color="auto" w:fill="F2F2F2"/>
          </w:tcPr>
          <w:p>
            <w:pPr>
              <w:spacing w:after="0"/>
              <w:rPr>
                <w:sz w:val="5"/>
                <w:szCs w:val="5"/>
                <w:color w:val="auto"/>
              </w:rPr>
            </w:pPr>
          </w:p>
        </w:tc>
        <w:tc>
          <w:tcPr>
            <w:tcW w:w="120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jul-22</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57%</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9"/>
              </w:rPr>
              <w:t>65%</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34"/>
        </w:trPr>
        <w:tc>
          <w:tcPr>
            <w:tcW w:w="1000" w:type="dxa"/>
            <w:vAlign w:val="bottom"/>
            <w:tcBorders>
              <w:bottom w:val="single" w:sz="8" w:color="F2F2F2"/>
            </w:tcBorders>
            <w:shd w:val="clear" w:color="auto" w:fill="F2F2F2"/>
          </w:tcPr>
          <w:p>
            <w:pPr>
              <w:spacing w:after="0"/>
              <w:rPr>
                <w:sz w:val="11"/>
                <w:szCs w:val="11"/>
                <w:color w:val="auto"/>
              </w:rPr>
            </w:pPr>
          </w:p>
        </w:tc>
        <w:tc>
          <w:tcPr>
            <w:tcW w:w="1200" w:type="dxa"/>
            <w:vAlign w:val="bottom"/>
            <w:tcBorders>
              <w:bottom w:val="single" w:sz="8" w:color="auto"/>
            </w:tcBorders>
          </w:tcPr>
          <w:p>
            <w:pPr>
              <w:ind w:left="100"/>
              <w:spacing w:after="0" w:line="134" w:lineRule="exact"/>
              <w:rPr>
                <w:sz w:val="20"/>
                <w:szCs w:val="20"/>
                <w:color w:val="auto"/>
              </w:rPr>
            </w:pPr>
            <w:r>
              <w:rPr>
                <w:rFonts w:ascii="Arial" w:cs="Arial" w:eastAsia="Arial" w:hAnsi="Arial"/>
                <w:sz w:val="12"/>
                <w:szCs w:val="12"/>
                <w:color w:val="auto"/>
              </w:rPr>
              <w:t>(FALSE)</w:t>
            </w:r>
          </w:p>
        </w:tc>
        <w:tc>
          <w:tcPr>
            <w:tcW w:w="62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F2F2F2"/>
          </w:tcPr>
          <w:p>
            <w:pPr>
              <w:spacing w:after="0"/>
              <w:rPr>
                <w:sz w:val="11"/>
                <w:szCs w:val="11"/>
                <w:color w:val="auto"/>
              </w:rPr>
            </w:pPr>
          </w:p>
        </w:tc>
        <w:tc>
          <w:tcPr>
            <w:tcW w:w="1200" w:type="dxa"/>
            <w:vAlign w:val="bottom"/>
          </w:tcPr>
          <w:p>
            <w:pPr>
              <w:ind w:left="100"/>
              <w:spacing w:after="0" w:line="134" w:lineRule="exact"/>
              <w:rPr>
                <w:sz w:val="20"/>
                <w:szCs w:val="20"/>
                <w:color w:val="auto"/>
              </w:rPr>
            </w:pPr>
            <w:r>
              <w:rPr>
                <w:rFonts w:ascii="Arial" w:cs="Arial" w:eastAsia="Arial" w:hAnsi="Arial"/>
                <w:sz w:val="12"/>
                <w:szCs w:val="12"/>
                <w:color w:val="auto"/>
              </w:rPr>
              <w:t>There must be a</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jul-21</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58%</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9"/>
              </w:rPr>
              <w:t>62%</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67"/>
        </w:trPr>
        <w:tc>
          <w:tcPr>
            <w:tcW w:w="1000" w:type="dxa"/>
            <w:vAlign w:val="bottom"/>
            <w:shd w:val="clear" w:color="auto" w:fill="F2F2F2"/>
          </w:tcPr>
          <w:p>
            <w:pPr>
              <w:spacing w:after="0"/>
              <w:rPr>
                <w:sz w:val="5"/>
                <w:szCs w:val="5"/>
                <w:color w:val="auto"/>
              </w:rPr>
            </w:pPr>
          </w:p>
        </w:tc>
        <w:tc>
          <w:tcPr>
            <w:tcW w:w="1200" w:type="dxa"/>
            <w:vAlign w:val="bottom"/>
            <w:vMerge w:val="restart"/>
          </w:tcPr>
          <w:p>
            <w:pPr>
              <w:ind w:left="100"/>
              <w:spacing w:after="0" w:line="123" w:lineRule="exact"/>
              <w:rPr>
                <w:sz w:val="20"/>
                <w:szCs w:val="20"/>
                <w:color w:val="auto"/>
              </w:rPr>
            </w:pPr>
            <w:r>
              <w:rPr>
                <w:rFonts w:ascii="Arial" w:cs="Arial" w:eastAsia="Arial" w:hAnsi="Arial"/>
                <w:sz w:val="12"/>
                <w:szCs w:val="12"/>
                <w:color w:val="auto"/>
              </w:rPr>
              <w:t>clear intent to</w:t>
            </w:r>
          </w:p>
        </w:tc>
        <w:tc>
          <w:tcPr>
            <w:tcW w:w="6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000" w:type="dxa"/>
            <w:vAlign w:val="bottom"/>
            <w:tcBorders>
              <w:bottom w:val="single" w:sz="8" w:color="F2F2F2"/>
            </w:tcBorders>
            <w:shd w:val="clear" w:color="auto" w:fill="F2F2F2"/>
          </w:tcPr>
          <w:p>
            <w:pPr>
              <w:spacing w:after="0"/>
              <w:rPr>
                <w:sz w:val="4"/>
                <w:szCs w:val="4"/>
                <w:color w:val="auto"/>
              </w:rPr>
            </w:pPr>
          </w:p>
        </w:tc>
        <w:tc>
          <w:tcPr>
            <w:tcW w:w="1200" w:type="dxa"/>
            <w:vAlign w:val="bottom"/>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000" w:type="dxa"/>
            <w:vAlign w:val="bottom"/>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rPr>
              <w:t>Perception of</w:t>
            </w:r>
          </w:p>
        </w:tc>
        <w:tc>
          <w:tcPr>
            <w:tcW w:w="1200" w:type="dxa"/>
            <w:vAlign w:val="bottom"/>
          </w:tcPr>
          <w:p>
            <w:pPr>
              <w:ind w:left="100"/>
              <w:spacing w:after="0" w:line="134" w:lineRule="exact"/>
              <w:rPr>
                <w:sz w:val="20"/>
                <w:szCs w:val="20"/>
                <w:color w:val="auto"/>
              </w:rPr>
            </w:pPr>
            <w:r>
              <w:rPr>
                <w:rFonts w:ascii="Arial" w:cs="Arial" w:eastAsia="Arial" w:hAnsi="Arial"/>
                <w:sz w:val="12"/>
                <w:szCs w:val="12"/>
                <w:color w:val="auto"/>
              </w:rPr>
              <w:t>harass or sexually</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jul-22</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56%</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9"/>
              </w:rPr>
              <w:t>63%</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78"/>
        </w:trPr>
        <w:tc>
          <w:tcPr>
            <w:tcW w:w="1000" w:type="dxa"/>
            <w:vAlign w:val="bottom"/>
            <w:vMerge w:val="continue"/>
            <w:shd w:val="clear" w:color="auto" w:fill="F2F2F2"/>
          </w:tcPr>
          <w:p>
            <w:pPr>
              <w:spacing w:after="0"/>
              <w:rPr>
                <w:sz w:val="6"/>
                <w:szCs w:val="6"/>
                <w:color w:val="auto"/>
              </w:rPr>
            </w:pPr>
          </w:p>
        </w:tc>
        <w:tc>
          <w:tcPr>
            <w:tcW w:w="1200" w:type="dxa"/>
            <w:vAlign w:val="bottom"/>
            <w:vMerge w:val="restart"/>
          </w:tcPr>
          <w:p>
            <w:pPr>
              <w:ind w:left="100"/>
              <w:spacing w:after="0" w:line="134" w:lineRule="exact"/>
              <w:rPr>
                <w:sz w:val="20"/>
                <w:szCs w:val="20"/>
                <w:color w:val="auto"/>
              </w:rPr>
            </w:pPr>
            <w:r>
              <w:rPr>
                <w:rFonts w:ascii="Arial" w:cs="Arial" w:eastAsia="Arial" w:hAnsi="Arial"/>
                <w:sz w:val="12"/>
                <w:szCs w:val="12"/>
                <w:color w:val="auto"/>
              </w:rPr>
              <w:t>harass (FALSE)</w:t>
            </w:r>
          </w:p>
        </w:tc>
        <w:tc>
          <w:tcPr>
            <w:tcW w:w="6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000" w:type="dxa"/>
            <w:vAlign w:val="bottom"/>
            <w:tcBorders>
              <w:bottom w:val="single" w:sz="8" w:color="F2F2F2"/>
            </w:tcBorders>
            <w:vMerge w:val="continue"/>
            <w:shd w:val="clear" w:color="auto" w:fill="F2F2F2"/>
          </w:tcPr>
          <w:p>
            <w:pPr>
              <w:spacing w:after="0"/>
              <w:rPr>
                <w:sz w:val="4"/>
                <w:szCs w:val="4"/>
                <w:color w:val="auto"/>
              </w:rPr>
            </w:pPr>
          </w:p>
        </w:tc>
        <w:tc>
          <w:tcPr>
            <w:tcW w:w="1200" w:type="dxa"/>
            <w:vAlign w:val="bottom"/>
            <w:tcBorders>
              <w:bottom w:val="single" w:sz="8" w:color="auto"/>
            </w:tcBorders>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00" w:type="dxa"/>
            <w:vAlign w:val="bottom"/>
            <w:shd w:val="clear" w:color="auto" w:fill="F2F2F2"/>
          </w:tcPr>
          <w:p>
            <w:pPr>
              <w:jc w:val="center"/>
              <w:spacing w:after="0" w:line="109" w:lineRule="exact"/>
              <w:rPr>
                <w:sz w:val="20"/>
                <w:szCs w:val="20"/>
                <w:color w:val="auto"/>
              </w:rPr>
            </w:pPr>
            <w:r>
              <w:rPr>
                <w:rFonts w:ascii="Arial" w:cs="Arial" w:eastAsia="Arial" w:hAnsi="Arial"/>
                <w:sz w:val="12"/>
                <w:szCs w:val="12"/>
                <w:b w:val="1"/>
                <w:bCs w:val="1"/>
                <w:color w:val="auto"/>
                <w:w w:val="99"/>
              </w:rPr>
              <w:t>the</w:t>
            </w:r>
          </w:p>
        </w:tc>
        <w:tc>
          <w:tcPr>
            <w:tcW w:w="1200" w:type="dxa"/>
            <w:vAlign w:val="bottom"/>
          </w:tcPr>
          <w:p>
            <w:pPr>
              <w:ind w:left="100"/>
              <w:spacing w:after="0" w:line="109" w:lineRule="exact"/>
              <w:rPr>
                <w:sz w:val="20"/>
                <w:szCs w:val="20"/>
                <w:color w:val="auto"/>
              </w:rPr>
            </w:pPr>
            <w:r>
              <w:rPr>
                <w:rFonts w:ascii="Arial" w:cs="Arial" w:eastAsia="Arial" w:hAnsi="Arial"/>
                <w:sz w:val="12"/>
                <w:szCs w:val="12"/>
                <w:color w:val="auto"/>
              </w:rPr>
              <w:t>It cannot be an</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jul-21</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27%</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9"/>
              </w:rPr>
              <w:t>34%</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38"/>
        </w:trPr>
        <w:tc>
          <w:tcPr>
            <w:tcW w:w="100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organization's</w:t>
            </w:r>
          </w:p>
        </w:tc>
        <w:tc>
          <w:tcPr>
            <w:tcW w:w="1200" w:type="dxa"/>
            <w:vAlign w:val="bottom"/>
          </w:tcPr>
          <w:p>
            <w:pPr>
              <w:ind w:left="100"/>
              <w:spacing w:after="0"/>
              <w:rPr>
                <w:sz w:val="20"/>
                <w:szCs w:val="20"/>
                <w:color w:val="auto"/>
              </w:rPr>
            </w:pPr>
            <w:r>
              <w:rPr>
                <w:rFonts w:ascii="Arial" w:cs="Arial" w:eastAsia="Arial" w:hAnsi="Arial"/>
                <w:sz w:val="12"/>
                <w:szCs w:val="12"/>
                <w:color w:val="auto"/>
              </w:rPr>
              <w:t>isolated event, it</w:t>
            </w:r>
          </w:p>
        </w:tc>
        <w:tc>
          <w:tcPr>
            <w:tcW w:w="6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000" w:type="dxa"/>
            <w:vAlign w:val="bottom"/>
            <w:tcBorders>
              <w:bottom w:val="single" w:sz="8" w:color="F2F2F2"/>
            </w:tcBorders>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w w:val="99"/>
              </w:rPr>
              <w:t>actions</w:t>
            </w:r>
          </w:p>
        </w:tc>
        <w:tc>
          <w:tcPr>
            <w:tcW w:w="1200" w:type="dxa"/>
            <w:vAlign w:val="bottom"/>
            <w:vMerge w:val="restart"/>
          </w:tcPr>
          <w:p>
            <w:pPr>
              <w:ind w:left="100"/>
              <w:spacing w:after="0"/>
              <w:rPr>
                <w:sz w:val="20"/>
                <w:szCs w:val="20"/>
                <w:color w:val="auto"/>
              </w:rPr>
            </w:pPr>
            <w:r>
              <w:rPr>
                <w:rFonts w:ascii="Arial" w:cs="Arial" w:eastAsia="Arial" w:hAnsi="Arial"/>
                <w:sz w:val="12"/>
                <w:szCs w:val="12"/>
                <w:color w:val="auto"/>
              </w:rPr>
              <w:t>must happen</w:t>
            </w:r>
          </w:p>
        </w:tc>
        <w:tc>
          <w:tcPr>
            <w:tcW w:w="6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00" w:type="dxa"/>
            <w:vAlign w:val="bottom"/>
            <w:vMerge w:val="continue"/>
            <w:shd w:val="clear" w:color="auto" w:fill="F2F2F2"/>
          </w:tcPr>
          <w:p>
            <w:pPr>
              <w:spacing w:after="0"/>
              <w:rPr>
                <w:sz w:val="5"/>
                <w:szCs w:val="5"/>
                <w:color w:val="auto"/>
              </w:rPr>
            </w:pPr>
          </w:p>
        </w:tc>
        <w:tc>
          <w:tcPr>
            <w:tcW w:w="12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000" w:type="dxa"/>
            <w:vAlign w:val="bottom"/>
            <w:shd w:val="clear" w:color="auto" w:fill="F2F2F2"/>
          </w:tcPr>
          <w:p>
            <w:pPr>
              <w:spacing w:after="0"/>
              <w:rPr>
                <w:sz w:val="12"/>
                <w:szCs w:val="12"/>
                <w:color w:val="auto"/>
              </w:rPr>
            </w:pPr>
          </w:p>
        </w:tc>
        <w:tc>
          <w:tcPr>
            <w:tcW w:w="1200" w:type="dxa"/>
            <w:vAlign w:val="bottom"/>
          </w:tcPr>
          <w:p>
            <w:pPr>
              <w:ind w:left="100"/>
              <w:spacing w:after="0"/>
              <w:rPr>
                <w:sz w:val="20"/>
                <w:szCs w:val="20"/>
                <w:color w:val="auto"/>
              </w:rPr>
            </w:pPr>
            <w:r>
              <w:rPr>
                <w:rFonts w:ascii="Arial" w:cs="Arial" w:eastAsia="Arial" w:hAnsi="Arial"/>
                <w:sz w:val="12"/>
                <w:szCs w:val="12"/>
                <w:color w:val="auto"/>
              </w:rPr>
              <w:t>more than once</w:t>
            </w:r>
          </w:p>
        </w:tc>
        <w:tc>
          <w:tcPr>
            <w:tcW w:w="620" w:type="dxa"/>
            <w:vAlign w:val="bottom"/>
          </w:tcPr>
          <w:p>
            <w:pPr>
              <w:ind w:left="180"/>
              <w:spacing w:after="0"/>
              <w:rPr>
                <w:sz w:val="20"/>
                <w:szCs w:val="20"/>
                <w:color w:val="auto"/>
              </w:rPr>
            </w:pPr>
            <w:r>
              <w:rPr>
                <w:rFonts w:ascii="Arial" w:cs="Arial" w:eastAsia="Arial" w:hAnsi="Arial"/>
                <w:sz w:val="12"/>
                <w:szCs w:val="12"/>
                <w:color w:val="auto"/>
              </w:rPr>
              <w:t>jul-22</w:t>
            </w:r>
          </w:p>
        </w:tc>
        <w:tc>
          <w:tcPr>
            <w:tcW w:w="820" w:type="dxa"/>
            <w:vAlign w:val="bottom"/>
          </w:tcPr>
          <w:p>
            <w:pPr>
              <w:jc w:val="center"/>
              <w:spacing w:after="0"/>
              <w:rPr>
                <w:sz w:val="20"/>
                <w:szCs w:val="20"/>
                <w:color w:val="auto"/>
              </w:rPr>
            </w:pPr>
            <w:r>
              <w:rPr>
                <w:rFonts w:ascii="Arial" w:cs="Arial" w:eastAsia="Arial" w:hAnsi="Arial"/>
                <w:sz w:val="12"/>
                <w:szCs w:val="12"/>
                <w:color w:val="auto"/>
              </w:rPr>
              <w:t>22%</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30%</w:t>
            </w:r>
          </w:p>
        </w:tc>
        <w:tc>
          <w:tcPr>
            <w:tcW w:w="900" w:type="dxa"/>
            <w:vAlign w:val="bottom"/>
          </w:tcPr>
          <w:p>
            <w:pPr>
              <w:jc w:val="center"/>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7"/>
        </w:trPr>
        <w:tc>
          <w:tcPr>
            <w:tcW w:w="1000" w:type="dxa"/>
            <w:vAlign w:val="bottom"/>
            <w:tcBorders>
              <w:bottom w:val="single" w:sz="8" w:color="F2F2F2"/>
            </w:tcBorders>
            <w:shd w:val="clear" w:color="auto" w:fill="F2F2F2"/>
          </w:tcPr>
          <w:p>
            <w:pPr>
              <w:spacing w:after="0"/>
              <w:rPr>
                <w:sz w:val="11"/>
                <w:szCs w:val="11"/>
                <w:color w:val="auto"/>
              </w:rPr>
            </w:pPr>
          </w:p>
        </w:tc>
        <w:tc>
          <w:tcPr>
            <w:tcW w:w="1200" w:type="dxa"/>
            <w:vAlign w:val="bottom"/>
            <w:tcBorders>
              <w:bottom w:val="single" w:sz="8" w:color="auto"/>
            </w:tcBorders>
          </w:tcPr>
          <w:p>
            <w:pPr>
              <w:ind w:left="100"/>
              <w:spacing w:after="0" w:line="127" w:lineRule="exact"/>
              <w:rPr>
                <w:sz w:val="20"/>
                <w:szCs w:val="20"/>
                <w:color w:val="auto"/>
              </w:rPr>
            </w:pPr>
            <w:r>
              <w:rPr>
                <w:rFonts w:ascii="Arial" w:cs="Arial" w:eastAsia="Arial" w:hAnsi="Arial"/>
                <w:sz w:val="12"/>
                <w:szCs w:val="12"/>
                <w:color w:val="auto"/>
              </w:rPr>
              <w:t>(FALSE)</w:t>
            </w:r>
          </w:p>
        </w:tc>
        <w:tc>
          <w:tcPr>
            <w:tcW w:w="6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F2F2F2"/>
          </w:tcPr>
          <w:p>
            <w:pPr>
              <w:spacing w:after="0"/>
              <w:rPr>
                <w:sz w:val="11"/>
                <w:szCs w:val="11"/>
                <w:color w:val="auto"/>
              </w:rPr>
            </w:pPr>
          </w:p>
        </w:tc>
        <w:tc>
          <w:tcPr>
            <w:tcW w:w="1200" w:type="dxa"/>
            <w:vAlign w:val="bottom"/>
          </w:tcPr>
          <w:p>
            <w:pPr>
              <w:ind w:left="100"/>
              <w:spacing w:after="0" w:line="134" w:lineRule="exact"/>
              <w:rPr>
                <w:sz w:val="20"/>
                <w:szCs w:val="20"/>
                <w:color w:val="auto"/>
              </w:rPr>
            </w:pPr>
            <w:r>
              <w:rPr>
                <w:rFonts w:ascii="Arial" w:cs="Arial" w:eastAsia="Arial" w:hAnsi="Arial"/>
                <w:sz w:val="12"/>
                <w:szCs w:val="12"/>
                <w:color w:val="auto"/>
              </w:rPr>
              <w:t>There must be a</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jul-21</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16%</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9"/>
              </w:rPr>
              <w:t>20%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67"/>
        </w:trPr>
        <w:tc>
          <w:tcPr>
            <w:tcW w:w="1000" w:type="dxa"/>
            <w:vAlign w:val="bottom"/>
            <w:shd w:val="clear" w:color="auto" w:fill="F2F2F2"/>
          </w:tcPr>
          <w:p>
            <w:pPr>
              <w:spacing w:after="0"/>
              <w:rPr>
                <w:sz w:val="5"/>
                <w:szCs w:val="5"/>
                <w:color w:val="auto"/>
              </w:rPr>
            </w:pPr>
          </w:p>
        </w:tc>
        <w:tc>
          <w:tcPr>
            <w:tcW w:w="1200" w:type="dxa"/>
            <w:vAlign w:val="bottom"/>
            <w:vMerge w:val="restart"/>
          </w:tcPr>
          <w:p>
            <w:pPr>
              <w:ind w:left="100"/>
              <w:spacing w:after="0" w:line="123" w:lineRule="exact"/>
              <w:rPr>
                <w:sz w:val="20"/>
                <w:szCs w:val="20"/>
                <w:color w:val="auto"/>
              </w:rPr>
            </w:pPr>
            <w:r>
              <w:rPr>
                <w:rFonts w:ascii="Arial" w:cs="Arial" w:eastAsia="Arial" w:hAnsi="Arial"/>
                <w:sz w:val="12"/>
                <w:szCs w:val="12"/>
                <w:color w:val="auto"/>
              </w:rPr>
              <w:t>boss-subordinate</w:t>
            </w:r>
          </w:p>
        </w:tc>
        <w:tc>
          <w:tcPr>
            <w:tcW w:w="6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000" w:type="dxa"/>
            <w:vAlign w:val="bottom"/>
            <w:tcBorders>
              <w:bottom w:val="single" w:sz="8" w:color="F2F2F2"/>
            </w:tcBorders>
            <w:shd w:val="clear" w:color="auto" w:fill="F2F2F2"/>
          </w:tcPr>
          <w:p>
            <w:pPr>
              <w:spacing w:after="0"/>
              <w:rPr>
                <w:sz w:val="4"/>
                <w:szCs w:val="4"/>
                <w:color w:val="auto"/>
              </w:rPr>
            </w:pPr>
          </w:p>
        </w:tc>
        <w:tc>
          <w:tcPr>
            <w:tcW w:w="1200" w:type="dxa"/>
            <w:vAlign w:val="bottom"/>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F2F2F2"/>
          </w:tcPr>
          <w:p>
            <w:pPr>
              <w:spacing w:after="0"/>
              <w:rPr>
                <w:sz w:val="11"/>
                <w:szCs w:val="11"/>
                <w:color w:val="auto"/>
              </w:rPr>
            </w:pPr>
          </w:p>
        </w:tc>
        <w:tc>
          <w:tcPr>
            <w:tcW w:w="1200" w:type="dxa"/>
            <w:vAlign w:val="bottom"/>
          </w:tcPr>
          <w:p>
            <w:pPr>
              <w:ind w:left="100"/>
              <w:spacing w:after="0" w:line="134" w:lineRule="exact"/>
              <w:rPr>
                <w:sz w:val="20"/>
                <w:szCs w:val="20"/>
                <w:color w:val="auto"/>
              </w:rPr>
            </w:pPr>
            <w:r>
              <w:rPr>
                <w:rFonts w:ascii="Arial" w:cs="Arial" w:eastAsia="Arial" w:hAnsi="Arial"/>
                <w:sz w:val="12"/>
                <w:szCs w:val="12"/>
                <w:color w:val="auto"/>
              </w:rPr>
              <w:t>relationship</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jul-22</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16%</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9"/>
              </w:rPr>
              <w:t>23%</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78"/>
        </w:trPr>
        <w:tc>
          <w:tcPr>
            <w:tcW w:w="1000" w:type="dxa"/>
            <w:vAlign w:val="bottom"/>
            <w:shd w:val="clear" w:color="auto" w:fill="F2F2F2"/>
          </w:tcPr>
          <w:p>
            <w:pPr>
              <w:spacing w:after="0"/>
              <w:rPr>
                <w:sz w:val="6"/>
                <w:szCs w:val="6"/>
                <w:color w:val="auto"/>
              </w:rPr>
            </w:pPr>
          </w:p>
        </w:tc>
        <w:tc>
          <w:tcPr>
            <w:tcW w:w="1200" w:type="dxa"/>
            <w:vAlign w:val="bottom"/>
            <w:vMerge w:val="restart"/>
          </w:tcPr>
          <w:p>
            <w:pPr>
              <w:ind w:left="100"/>
              <w:spacing w:after="0" w:line="134" w:lineRule="exact"/>
              <w:rPr>
                <w:sz w:val="20"/>
                <w:szCs w:val="20"/>
                <w:color w:val="auto"/>
              </w:rPr>
            </w:pPr>
            <w:r>
              <w:rPr>
                <w:rFonts w:ascii="Arial" w:cs="Arial" w:eastAsia="Arial" w:hAnsi="Arial"/>
                <w:sz w:val="12"/>
                <w:szCs w:val="12"/>
                <w:color w:val="auto"/>
              </w:rPr>
              <w:t>(FALSE)</w:t>
            </w:r>
          </w:p>
        </w:tc>
        <w:tc>
          <w:tcPr>
            <w:tcW w:w="6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000" w:type="dxa"/>
            <w:vAlign w:val="bottom"/>
            <w:shd w:val="clear" w:color="auto" w:fill="F2F2F2"/>
          </w:tcPr>
          <w:p>
            <w:pPr>
              <w:spacing w:after="0"/>
              <w:rPr>
                <w:sz w:val="4"/>
                <w:szCs w:val="4"/>
                <w:color w:val="auto"/>
              </w:rPr>
            </w:pPr>
          </w:p>
        </w:tc>
        <w:tc>
          <w:tcPr>
            <w:tcW w:w="12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Note: the percentages indicate who marked the statements below as true, when, in fact, they are all false. In this sense, the lower the percentage, the better the level of understanding of the subject.</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On the knowledge of the system of prevention front, the survey’s results indicate that knowledge and training on aspects of prevention and treatment of WSH cases have increased significantly at Credicorp. Although this improvement is above the uptick registered by the regional benchmark, it falls below the progress reported by the Peruvian benchmark. In 2023, we will continue our work to improve knowledge and comprehension of this topic, within the framework of our Zero Tolerance to Sexual Harassment Policy.</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Workplace Sexual Harassment</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Prevention system ( Survey data ELSA</w:t>
      </w:r>
    </w:p>
    <w:p>
      <w:pPr>
        <w:ind w:left="80"/>
        <w:spacing w:after="0"/>
        <w:rPr>
          <w:sz w:val="20"/>
          <w:szCs w:val="20"/>
          <w:color w:val="auto"/>
        </w:rPr>
      </w:pPr>
      <w:r>
        <w:rPr>
          <w:rFonts w:ascii="Arial" w:cs="Arial" w:eastAsia="Arial" w:hAnsi="Arial"/>
          <w:sz w:val="15"/>
          <w:szCs w:val="15"/>
          <w:color w:val="auto"/>
        </w:rPr>
        <w:t>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0"/>
        </w:trPr>
        <w:tc>
          <w:tcPr>
            <w:tcW w:w="1600" w:type="dxa"/>
            <w:vAlign w:val="bottom"/>
            <w:tcBorders>
              <w:top w:val="single" w:sz="8" w:color="F2F2F2"/>
              <w:left w:val="single" w:sz="8" w:color="F2F2F2"/>
              <w:right w:val="single" w:sz="8" w:color="F2F2F2"/>
            </w:tcBorders>
            <w:shd w:val="clear" w:color="auto" w:fill="F2F2F2"/>
          </w:tcPr>
          <w:p>
            <w:pPr>
              <w:spacing w:after="0"/>
              <w:rPr>
                <w:sz w:val="12"/>
                <w:szCs w:val="12"/>
                <w:color w:val="auto"/>
              </w:rPr>
            </w:pPr>
          </w:p>
        </w:tc>
        <w:tc>
          <w:tcPr>
            <w:tcW w:w="880" w:type="dxa"/>
            <w:vAlign w:val="bottom"/>
            <w:tcBorders>
              <w:top w:val="single" w:sz="8" w:color="F2F2F2"/>
              <w:right w:val="single" w:sz="8" w:color="auto"/>
            </w:tcBorders>
            <w:shd w:val="clear" w:color="auto" w:fill="F2F2F2"/>
          </w:tcPr>
          <w:p>
            <w:pPr>
              <w:spacing w:after="0"/>
              <w:rPr>
                <w:sz w:val="12"/>
                <w:szCs w:val="12"/>
                <w:color w:val="auto"/>
              </w:rPr>
            </w:pPr>
          </w:p>
        </w:tc>
        <w:tc>
          <w:tcPr>
            <w:tcW w:w="8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rPr>
              <w:t>Credicorp</w:t>
            </w:r>
          </w:p>
        </w:tc>
        <w:tc>
          <w:tcPr>
            <w:tcW w:w="10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2"/>
                <w:szCs w:val="12"/>
                <w:b w:val="1"/>
                <w:bCs w:val="1"/>
                <w:color w:val="auto"/>
              </w:rPr>
              <w:t>Benchmark</w:t>
            </w:r>
          </w:p>
        </w:tc>
        <w:tc>
          <w:tcPr>
            <w:tcW w:w="1100" w:type="dxa"/>
            <w:vAlign w:val="bottom"/>
            <w:tcBorders>
              <w:top w:val="single" w:sz="8" w:color="auto"/>
              <w:right w:val="single" w:sz="8" w:color="auto"/>
            </w:tcBorders>
            <w:shd w:val="clear" w:color="auto" w:fill="F2F2F2"/>
          </w:tcPr>
          <w:p>
            <w:pPr>
              <w:jc w:val="center"/>
              <w:ind w:right="19"/>
              <w:spacing w:after="0"/>
              <w:rPr>
                <w:sz w:val="20"/>
                <w:szCs w:val="20"/>
                <w:color w:val="auto"/>
              </w:rPr>
            </w:pPr>
            <w:r>
              <w:rPr>
                <w:rFonts w:ascii="Arial" w:cs="Arial" w:eastAsia="Arial" w:hAnsi="Arial"/>
                <w:sz w:val="12"/>
                <w:szCs w:val="12"/>
                <w:b w:val="1"/>
                <w:bCs w:val="1"/>
                <w:color w:val="auto"/>
              </w:rPr>
              <w:t>Benchmark</w:t>
            </w:r>
          </w:p>
        </w:tc>
        <w:tc>
          <w:tcPr>
            <w:tcW w:w="0" w:type="dxa"/>
            <w:vAlign w:val="bottom"/>
          </w:tcPr>
          <w:p>
            <w:pPr>
              <w:spacing w:after="0"/>
              <w:rPr>
                <w:sz w:val="1"/>
                <w:szCs w:val="1"/>
                <w:color w:val="auto"/>
              </w:rPr>
            </w:pPr>
          </w:p>
        </w:tc>
      </w:tr>
      <w:tr>
        <w:trPr>
          <w:trHeight w:val="92"/>
        </w:trPr>
        <w:tc>
          <w:tcPr>
            <w:tcW w:w="1600" w:type="dxa"/>
            <w:vAlign w:val="bottom"/>
            <w:tcBorders>
              <w:left w:val="single" w:sz="8" w:color="F2F2F2"/>
              <w:right w:val="single" w:sz="8" w:color="F2F2F2"/>
            </w:tcBorders>
            <w:shd w:val="clear" w:color="auto" w:fill="F2F2F2"/>
          </w:tcPr>
          <w:p>
            <w:pPr>
              <w:spacing w:after="0"/>
              <w:rPr>
                <w:sz w:val="8"/>
                <w:szCs w:val="8"/>
                <w:color w:val="auto"/>
              </w:rPr>
            </w:pPr>
          </w:p>
        </w:tc>
        <w:tc>
          <w:tcPr>
            <w:tcW w:w="880" w:type="dxa"/>
            <w:vAlign w:val="bottom"/>
            <w:tcBorders>
              <w:right w:val="single" w:sz="8" w:color="auto"/>
            </w:tcBorders>
            <w:shd w:val="clear" w:color="auto" w:fill="F2F2F2"/>
          </w:tcPr>
          <w:p>
            <w:pPr>
              <w:spacing w:after="0"/>
              <w:rPr>
                <w:sz w:val="8"/>
                <w:szCs w:val="8"/>
                <w:color w:val="auto"/>
              </w:rPr>
            </w:pPr>
          </w:p>
        </w:tc>
        <w:tc>
          <w:tcPr>
            <w:tcW w:w="820" w:type="dxa"/>
            <w:vAlign w:val="bottom"/>
            <w:tcBorders>
              <w:right w:val="single" w:sz="8" w:color="auto"/>
            </w:tcBorders>
            <w:vMerge w:val="continue"/>
            <w:shd w:val="clear" w:color="auto" w:fill="F2F2F2"/>
          </w:tcPr>
          <w:p>
            <w:pPr>
              <w:spacing w:after="0"/>
              <w:rPr>
                <w:sz w:val="8"/>
                <w:szCs w:val="8"/>
                <w:color w:val="auto"/>
              </w:rPr>
            </w:pPr>
          </w:p>
        </w:tc>
        <w:tc>
          <w:tcPr>
            <w:tcW w:w="10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rPr>
              <w:t>Peru</w:t>
            </w:r>
          </w:p>
        </w:tc>
        <w:tc>
          <w:tcPr>
            <w:tcW w:w="11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2"/>
                <w:szCs w:val="12"/>
                <w:b w:val="1"/>
                <w:bCs w:val="1"/>
                <w:color w:val="auto"/>
              </w:rPr>
              <w:t>Region</w:t>
            </w:r>
          </w:p>
        </w:tc>
        <w:tc>
          <w:tcPr>
            <w:tcW w:w="0" w:type="dxa"/>
            <w:vAlign w:val="bottom"/>
          </w:tcPr>
          <w:p>
            <w:pPr>
              <w:spacing w:after="0"/>
              <w:rPr>
                <w:sz w:val="1"/>
                <w:szCs w:val="1"/>
                <w:color w:val="auto"/>
              </w:rPr>
            </w:pPr>
          </w:p>
        </w:tc>
      </w:tr>
      <w:tr>
        <w:trPr>
          <w:trHeight w:val="69"/>
        </w:trPr>
        <w:tc>
          <w:tcPr>
            <w:tcW w:w="1600" w:type="dxa"/>
            <w:vAlign w:val="bottom"/>
            <w:tcBorders>
              <w:left w:val="single" w:sz="8" w:color="F2F2F2"/>
              <w:right w:val="single" w:sz="8" w:color="F2F2F2"/>
            </w:tcBorders>
            <w:shd w:val="clear" w:color="auto" w:fill="F2F2F2"/>
          </w:tcPr>
          <w:p>
            <w:pPr>
              <w:spacing w:after="0"/>
              <w:rPr>
                <w:sz w:val="6"/>
                <w:szCs w:val="6"/>
                <w:color w:val="auto"/>
              </w:rPr>
            </w:pPr>
          </w:p>
        </w:tc>
        <w:tc>
          <w:tcPr>
            <w:tcW w:w="880" w:type="dxa"/>
            <w:vAlign w:val="bottom"/>
            <w:tcBorders>
              <w:right w:val="single" w:sz="8" w:color="auto"/>
            </w:tcBorders>
            <w:shd w:val="clear" w:color="auto" w:fill="F2F2F2"/>
          </w:tcPr>
          <w:p>
            <w:pPr>
              <w:spacing w:after="0"/>
              <w:rPr>
                <w:sz w:val="6"/>
                <w:szCs w:val="6"/>
                <w:color w:val="auto"/>
              </w:rPr>
            </w:pPr>
          </w:p>
        </w:tc>
        <w:tc>
          <w:tcPr>
            <w:tcW w:w="820" w:type="dxa"/>
            <w:vAlign w:val="bottom"/>
            <w:tcBorders>
              <w:right w:val="single" w:sz="8" w:color="auto"/>
            </w:tcBorders>
            <w:shd w:val="clear" w:color="auto" w:fill="F2F2F2"/>
          </w:tcPr>
          <w:p>
            <w:pPr>
              <w:spacing w:after="0"/>
              <w:rPr>
                <w:sz w:val="6"/>
                <w:szCs w:val="6"/>
                <w:color w:val="auto"/>
              </w:rPr>
            </w:pPr>
          </w:p>
        </w:tc>
        <w:tc>
          <w:tcPr>
            <w:tcW w:w="1020" w:type="dxa"/>
            <w:vAlign w:val="bottom"/>
            <w:tcBorders>
              <w:right w:val="single" w:sz="8" w:color="auto"/>
            </w:tcBorders>
            <w:vMerge w:val="continue"/>
            <w:shd w:val="clear" w:color="auto" w:fill="F2F2F2"/>
          </w:tcPr>
          <w:p>
            <w:pPr>
              <w:spacing w:after="0"/>
              <w:rPr>
                <w:sz w:val="6"/>
                <w:szCs w:val="6"/>
                <w:color w:val="auto"/>
              </w:rPr>
            </w:pPr>
          </w:p>
        </w:tc>
        <w:tc>
          <w:tcPr>
            <w:tcW w:w="1100" w:type="dxa"/>
            <w:vAlign w:val="bottom"/>
            <w:tcBorders>
              <w:right w:val="single" w:sz="8" w:color="auto"/>
            </w:tcBorders>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600" w:type="dxa"/>
            <w:vAlign w:val="bottom"/>
            <w:tcBorders>
              <w:left w:val="single" w:sz="8" w:color="F2F2F2"/>
              <w:bottom w:val="single" w:sz="8" w:color="auto"/>
              <w:right w:val="single" w:sz="8" w:color="F2F2F2"/>
            </w:tcBorders>
            <w:shd w:val="clear" w:color="auto" w:fill="F2F2F2"/>
          </w:tcPr>
          <w:p>
            <w:pPr>
              <w:spacing w:after="0"/>
              <w:rPr>
                <w:sz w:val="8"/>
                <w:szCs w:val="8"/>
                <w:color w:val="auto"/>
              </w:rPr>
            </w:pPr>
          </w:p>
        </w:tc>
        <w:tc>
          <w:tcPr>
            <w:tcW w:w="880" w:type="dxa"/>
            <w:vAlign w:val="bottom"/>
            <w:tcBorders>
              <w:bottom w:val="single" w:sz="8" w:color="auto"/>
              <w:right w:val="single" w:sz="8" w:color="auto"/>
            </w:tcBorders>
            <w:shd w:val="clear" w:color="auto" w:fill="F2F2F2"/>
          </w:tcPr>
          <w:p>
            <w:pPr>
              <w:spacing w:after="0"/>
              <w:rPr>
                <w:sz w:val="8"/>
                <w:szCs w:val="8"/>
                <w:color w:val="auto"/>
              </w:rPr>
            </w:pPr>
          </w:p>
        </w:tc>
        <w:tc>
          <w:tcPr>
            <w:tcW w:w="820" w:type="dxa"/>
            <w:vAlign w:val="bottom"/>
            <w:tcBorders>
              <w:bottom w:val="single" w:sz="8" w:color="auto"/>
              <w:right w:val="single" w:sz="8" w:color="auto"/>
            </w:tcBorders>
            <w:shd w:val="clear" w:color="auto" w:fill="F2F2F2"/>
          </w:tcPr>
          <w:p>
            <w:pPr>
              <w:spacing w:after="0"/>
              <w:rPr>
                <w:sz w:val="8"/>
                <w:szCs w:val="8"/>
                <w:color w:val="auto"/>
              </w:rPr>
            </w:pPr>
          </w:p>
        </w:tc>
        <w:tc>
          <w:tcPr>
            <w:tcW w:w="1020" w:type="dxa"/>
            <w:vAlign w:val="bottom"/>
            <w:tcBorders>
              <w:bottom w:val="single" w:sz="8" w:color="auto"/>
              <w:right w:val="single" w:sz="8" w:color="auto"/>
            </w:tcBorders>
            <w:shd w:val="clear" w:color="auto" w:fill="F2F2F2"/>
          </w:tcPr>
          <w:p>
            <w:pPr>
              <w:spacing w:after="0"/>
              <w:rPr>
                <w:sz w:val="8"/>
                <w:szCs w:val="8"/>
                <w:color w:val="auto"/>
              </w:rPr>
            </w:pPr>
          </w:p>
        </w:tc>
        <w:tc>
          <w:tcPr>
            <w:tcW w:w="1100" w:type="dxa"/>
            <w:vAlign w:val="bottom"/>
            <w:tcBorders>
              <w:bottom w:val="single" w:sz="8" w:color="auto"/>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600" w:type="dxa"/>
            <w:vAlign w:val="bottom"/>
            <w:tcBorders>
              <w:left w:val="single" w:sz="8" w:color="auto"/>
              <w:right w:val="single" w:sz="8" w:color="auto"/>
            </w:tcBorders>
          </w:tcPr>
          <w:p>
            <w:pPr>
              <w:ind w:left="100"/>
              <w:spacing w:after="0" w:line="134" w:lineRule="exact"/>
              <w:rPr>
                <w:sz w:val="20"/>
                <w:szCs w:val="20"/>
                <w:color w:val="auto"/>
              </w:rPr>
            </w:pPr>
            <w:r>
              <w:rPr>
                <w:rFonts w:ascii="Arial" w:cs="Arial" w:eastAsia="Arial" w:hAnsi="Arial"/>
                <w:sz w:val="12"/>
                <w:szCs w:val="12"/>
                <w:color w:val="auto"/>
              </w:rPr>
              <w:t>You know the prevention</w:t>
            </w:r>
          </w:p>
        </w:tc>
        <w:tc>
          <w:tcPr>
            <w:tcW w:w="880" w:type="dxa"/>
            <w:vAlign w:val="bottom"/>
            <w:tcBorders>
              <w:right w:val="single" w:sz="8" w:color="auto"/>
            </w:tcBorders>
          </w:tcPr>
          <w:p>
            <w:pPr>
              <w:ind w:left="280"/>
              <w:spacing w:after="0" w:line="134" w:lineRule="exact"/>
              <w:rPr>
                <w:sz w:val="20"/>
                <w:szCs w:val="20"/>
                <w:color w:val="auto"/>
              </w:rPr>
            </w:pPr>
            <w:r>
              <w:rPr>
                <w:rFonts w:ascii="Arial" w:cs="Arial" w:eastAsia="Arial" w:hAnsi="Arial"/>
                <w:sz w:val="12"/>
                <w:szCs w:val="12"/>
                <w:color w:val="auto"/>
              </w:rPr>
              <w:t>jul-21</w:t>
            </w:r>
          </w:p>
        </w:tc>
        <w:tc>
          <w:tcPr>
            <w:tcW w:w="8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99"/>
              </w:rPr>
              <w:t>57%</w:t>
            </w:r>
          </w:p>
        </w:tc>
        <w:tc>
          <w:tcPr>
            <w:tcW w:w="10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99"/>
              </w:rPr>
              <w:t>51%</w:t>
            </w:r>
          </w:p>
        </w:tc>
        <w:tc>
          <w:tcPr>
            <w:tcW w:w="110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2"/>
                <w:szCs w:val="12"/>
                <w:color w:val="auto"/>
              </w:rPr>
              <w:t>and sanction policy of the</w:t>
            </w:r>
          </w:p>
        </w:tc>
        <w:tc>
          <w:tcPr>
            <w:tcW w:w="8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60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tcPr>
          <w:p>
            <w:pPr>
              <w:ind w:left="280"/>
              <w:spacing w:after="0"/>
              <w:rPr>
                <w:sz w:val="20"/>
                <w:szCs w:val="20"/>
                <w:color w:val="auto"/>
              </w:rPr>
            </w:pPr>
            <w:r>
              <w:rPr>
                <w:rFonts w:ascii="Arial" w:cs="Arial" w:eastAsia="Arial" w:hAnsi="Arial"/>
                <w:sz w:val="12"/>
                <w:szCs w:val="12"/>
                <w:color w:val="auto"/>
              </w:rPr>
              <w:t>jul-22</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64%</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70%</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34"/>
        </w:trPr>
        <w:tc>
          <w:tcPr>
            <w:tcW w:w="1600" w:type="dxa"/>
            <w:vAlign w:val="bottom"/>
            <w:tcBorders>
              <w:left w:val="single" w:sz="8" w:color="auto"/>
              <w:bottom w:val="single" w:sz="8" w:color="auto"/>
              <w:right w:val="single" w:sz="8" w:color="auto"/>
            </w:tcBorders>
          </w:tcPr>
          <w:p>
            <w:pPr>
              <w:ind w:left="100"/>
              <w:spacing w:after="0" w:line="134" w:lineRule="exact"/>
              <w:rPr>
                <w:sz w:val="20"/>
                <w:szCs w:val="20"/>
                <w:color w:val="auto"/>
              </w:rPr>
            </w:pPr>
            <w:r>
              <w:rPr>
                <w:rFonts w:ascii="Arial" w:cs="Arial" w:eastAsia="Arial" w:hAnsi="Arial"/>
                <w:sz w:val="12"/>
                <w:szCs w:val="12"/>
                <w:color w:val="auto"/>
              </w:rPr>
              <w:t>WSH</w:t>
            </w:r>
          </w:p>
        </w:tc>
        <w:tc>
          <w:tcPr>
            <w:tcW w:w="880" w:type="dxa"/>
            <w:vAlign w:val="bottom"/>
            <w:tcBorders>
              <w:bottom w:val="single" w:sz="8" w:color="auto"/>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11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You know the reporting</w:t>
            </w:r>
          </w:p>
        </w:tc>
        <w:tc>
          <w:tcPr>
            <w:tcW w:w="880" w:type="dxa"/>
            <w:vAlign w:val="bottom"/>
            <w:tcBorders>
              <w:bottom w:val="single" w:sz="8" w:color="auto"/>
              <w:right w:val="single" w:sz="8" w:color="auto"/>
            </w:tcBorders>
          </w:tcPr>
          <w:p>
            <w:pPr>
              <w:ind w:left="280"/>
              <w:spacing w:after="0" w:line="130" w:lineRule="exact"/>
              <w:rPr>
                <w:sz w:val="20"/>
                <w:szCs w:val="20"/>
                <w:color w:val="auto"/>
              </w:rPr>
            </w:pPr>
            <w:r>
              <w:rPr>
                <w:rFonts w:ascii="Arial" w:cs="Arial" w:eastAsia="Arial" w:hAnsi="Arial"/>
                <w:sz w:val="12"/>
                <w:szCs w:val="12"/>
                <w:color w:val="auto"/>
              </w:rPr>
              <w:t>jul-21</w:t>
            </w:r>
          </w:p>
        </w:tc>
        <w:tc>
          <w:tcPr>
            <w:tcW w:w="8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64%</w:t>
            </w:r>
          </w:p>
        </w:tc>
        <w:tc>
          <w:tcPr>
            <w:tcW w:w="10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56%</w:t>
            </w:r>
          </w:p>
        </w:tc>
        <w:tc>
          <w:tcPr>
            <w:tcW w:w="110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30"/>
        </w:trPr>
        <w:tc>
          <w:tcPr>
            <w:tcW w:w="160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channel</w:t>
            </w:r>
          </w:p>
        </w:tc>
        <w:tc>
          <w:tcPr>
            <w:tcW w:w="880" w:type="dxa"/>
            <w:vAlign w:val="bottom"/>
            <w:tcBorders>
              <w:bottom w:val="single" w:sz="8" w:color="auto"/>
              <w:right w:val="single" w:sz="8" w:color="auto"/>
            </w:tcBorders>
          </w:tcPr>
          <w:p>
            <w:pPr>
              <w:ind w:left="280"/>
              <w:spacing w:after="0" w:line="130" w:lineRule="exact"/>
              <w:rPr>
                <w:sz w:val="20"/>
                <w:szCs w:val="20"/>
                <w:color w:val="auto"/>
              </w:rPr>
            </w:pPr>
            <w:r>
              <w:rPr>
                <w:rFonts w:ascii="Arial" w:cs="Arial" w:eastAsia="Arial" w:hAnsi="Arial"/>
                <w:sz w:val="12"/>
                <w:szCs w:val="12"/>
                <w:color w:val="auto"/>
              </w:rPr>
              <w:t>jul-22</w:t>
            </w:r>
          </w:p>
        </w:tc>
        <w:tc>
          <w:tcPr>
            <w:tcW w:w="8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62%</w:t>
            </w:r>
          </w:p>
        </w:tc>
        <w:tc>
          <w:tcPr>
            <w:tcW w:w="10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64%</w:t>
            </w:r>
          </w:p>
        </w:tc>
        <w:tc>
          <w:tcPr>
            <w:tcW w:w="110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30"/>
        </w:trPr>
        <w:tc>
          <w:tcPr>
            <w:tcW w:w="160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You have received</w:t>
            </w:r>
          </w:p>
        </w:tc>
        <w:tc>
          <w:tcPr>
            <w:tcW w:w="880" w:type="dxa"/>
            <w:vAlign w:val="bottom"/>
            <w:tcBorders>
              <w:bottom w:val="single" w:sz="8" w:color="auto"/>
              <w:right w:val="single" w:sz="8" w:color="auto"/>
            </w:tcBorders>
          </w:tcPr>
          <w:p>
            <w:pPr>
              <w:ind w:left="280"/>
              <w:spacing w:after="0" w:line="130" w:lineRule="exact"/>
              <w:rPr>
                <w:sz w:val="20"/>
                <w:szCs w:val="20"/>
                <w:color w:val="auto"/>
              </w:rPr>
            </w:pPr>
            <w:r>
              <w:rPr>
                <w:rFonts w:ascii="Arial" w:cs="Arial" w:eastAsia="Arial" w:hAnsi="Arial"/>
                <w:sz w:val="12"/>
                <w:szCs w:val="12"/>
                <w:color w:val="auto"/>
              </w:rPr>
              <w:t>jul-21</w:t>
            </w:r>
          </w:p>
        </w:tc>
        <w:tc>
          <w:tcPr>
            <w:tcW w:w="8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70%</w:t>
            </w:r>
          </w:p>
        </w:tc>
        <w:tc>
          <w:tcPr>
            <w:tcW w:w="10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59%</w:t>
            </w:r>
          </w:p>
        </w:tc>
        <w:tc>
          <w:tcPr>
            <w:tcW w:w="110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30"/>
        </w:trPr>
        <w:tc>
          <w:tcPr>
            <w:tcW w:w="1600" w:type="dxa"/>
            <w:vAlign w:val="bottom"/>
            <w:tcBorders>
              <w:left w:val="single" w:sz="8" w:color="auto"/>
              <w:bottom w:val="single" w:sz="8" w:color="auto"/>
              <w:right w:val="single" w:sz="8" w:color="auto"/>
            </w:tcBorders>
          </w:tcPr>
          <w:p>
            <w:pPr>
              <w:ind w:left="100"/>
              <w:spacing w:after="0" w:line="130" w:lineRule="exact"/>
              <w:rPr>
                <w:sz w:val="20"/>
                <w:szCs w:val="20"/>
                <w:color w:val="auto"/>
              </w:rPr>
            </w:pPr>
            <w:r>
              <w:rPr>
                <w:rFonts w:ascii="Arial" w:cs="Arial" w:eastAsia="Arial" w:hAnsi="Arial"/>
                <w:sz w:val="12"/>
                <w:szCs w:val="12"/>
                <w:color w:val="auto"/>
              </w:rPr>
              <w:t>training</w:t>
            </w:r>
          </w:p>
        </w:tc>
        <w:tc>
          <w:tcPr>
            <w:tcW w:w="880" w:type="dxa"/>
            <w:vAlign w:val="bottom"/>
            <w:tcBorders>
              <w:bottom w:val="single" w:sz="8" w:color="auto"/>
              <w:right w:val="single" w:sz="8" w:color="auto"/>
            </w:tcBorders>
          </w:tcPr>
          <w:p>
            <w:pPr>
              <w:ind w:left="280"/>
              <w:spacing w:after="0" w:line="130" w:lineRule="exact"/>
              <w:rPr>
                <w:sz w:val="20"/>
                <w:szCs w:val="20"/>
                <w:color w:val="auto"/>
              </w:rPr>
            </w:pPr>
            <w:r>
              <w:rPr>
                <w:rFonts w:ascii="Arial" w:cs="Arial" w:eastAsia="Arial" w:hAnsi="Arial"/>
                <w:sz w:val="12"/>
                <w:szCs w:val="12"/>
                <w:color w:val="auto"/>
              </w:rPr>
              <w:t>jul-22</w:t>
            </w:r>
          </w:p>
        </w:tc>
        <w:tc>
          <w:tcPr>
            <w:tcW w:w="8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81%</w:t>
            </w:r>
          </w:p>
        </w:tc>
        <w:tc>
          <w:tcPr>
            <w:tcW w:w="102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9"/>
              </w:rPr>
              <w:t>84%</w:t>
            </w:r>
          </w:p>
        </w:tc>
        <w:tc>
          <w:tcPr>
            <w:tcW w:w="1100" w:type="dxa"/>
            <w:vAlign w:val="bottom"/>
            <w:tcBorders>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-914400</wp:posOffset>
            </wp:positionV>
            <wp:extent cx="1559560" cy="2565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59560" cy="25654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2F5496"/>
        </w:rPr>
        <w:t>Focus on Inclusion of Diversity</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As mentioned earlier, diversity is an ample topic and at this point in time, we are emphasizing efforts on the gender front. Nonetheless, we are very aware that other aspects of diversity are waiting to be addressed. In response, we have hired an expect to conduct a full diagnostic of the state of Diversity of Credicorp and its subsidiaries. This study entailed an analysis of employee perceptions of diversity (with quantitative and qualitative information) and an assessment of enablers for inclusion, which focused on management indicators, policies and programs.</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 methodological approximation allows us to visualize the organization’s maturity level in terms of inclusion of diversity on 4 fronts: purpose, strategy, culture and talent. The study shed light on the work that will be required down the line: (i) generating awareness of the challenge of including diversity, (ii) driving inclusion, and (iii) strengthening diversity and its development; aspects that will have to be developed to integrate inclusion of diversity in our corporate strategy and organizational culture.</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For now, it has been decided, by 2023, to identify specific initiatives that are "quick wins" and promote the inclusion of other aspects of diversity in the organization, organically and aligned with the deployment of the sustainability strategy, which will be deployed and will be shared in the next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92" w:right="319" w:bottom="1440" w:gutter="0" w:footer="0" w:header="0"/>
        </w:sectPr>
      </w:pPr>
    </w:p>
    <w:bookmarkStart w:id="120" w:name="page121"/>
    <w:bookmarkEnd w:id="120"/>
    <w:p>
      <w:pPr>
        <w:spacing w:after="0"/>
        <w:rPr>
          <w:sz w:val="20"/>
          <w:szCs w:val="20"/>
          <w:color w:val="auto"/>
        </w:rPr>
      </w:pPr>
      <w:r>
        <w:rPr>
          <w:rFonts w:ascii="Arial" w:cs="Arial" w:eastAsia="Arial" w:hAnsi="Arial"/>
          <w:sz w:val="25"/>
          <w:szCs w:val="25"/>
          <w:b w:val="1"/>
          <w:bCs w:val="1"/>
          <w:color w:val="auto"/>
        </w:rPr>
        <w:t>Workplace Sustainability</w:t>
      </w:r>
    </w:p>
    <w:p>
      <w:pPr>
        <w:spacing w:after="0" w:line="206" w:lineRule="exact"/>
        <w:rPr>
          <w:sz w:val="20"/>
          <w:szCs w:val="20"/>
          <w:color w:val="auto"/>
        </w:rPr>
      </w:pPr>
    </w:p>
    <w:p>
      <w:pPr>
        <w:ind w:right="120"/>
        <w:spacing w:after="0" w:line="246" w:lineRule="auto"/>
        <w:rPr>
          <w:sz w:val="20"/>
          <w:szCs w:val="20"/>
          <w:color w:val="auto"/>
        </w:rPr>
      </w:pPr>
      <w:r>
        <w:rPr>
          <w:rFonts w:ascii="Arial" w:cs="Arial" w:eastAsia="Arial" w:hAnsi="Arial"/>
          <w:sz w:val="15"/>
          <w:szCs w:val="15"/>
          <w:color w:val="auto"/>
        </w:rPr>
        <w:t>On the workplace sustainability front, our strategy for human development recognizes that the way we run our businesses impacts people. With this in mind, we work to strike a balance between the interests of our employees and the needs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Freedom of association and Collective Bargaining</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At Credicorp, we respect national and international labor legislation. As such, all of our companies’ policies and guidelines respect employees’ rights to affiliate with a union and participate in collective bargaining. As of the end of 2022, we identified no risks that we may violate these rights. At year-end, 7 unions were operating in Credicorp’s subsidiaries. Over the years, we have successfully entered into agreements with these and other unions to effectively address their concerns and demands.</w:t>
      </w:r>
    </w:p>
    <w:p>
      <w:pPr>
        <w:spacing w:after="0" w:line="13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i w:val="1"/>
          <w:iCs w:val="1"/>
          <w:color w:val="3B72E1"/>
        </w:rPr>
        <w:t>WE RESPECT LABOR LEGISLATION AND OUR EMPLOYEES’ FREEDOM OF ASSOCIATION</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To manage freedom of association and collective bargaining at our operations, we apply a Corporate Policy (internal use), which has been approved by the Corporate Labor Relations Area. This policy sets, among other points, guidelines for managing unions at the corporate level. This document defines which teams are responsible for the negotiation strategy, information compilation, and establishing parameters of action. The latest update to this policy was made in June 2021.</w:t>
      </w:r>
    </w:p>
    <w:p>
      <w:pPr>
        <w:spacing w:after="0" w:line="142" w:lineRule="exact"/>
        <w:rPr>
          <w:sz w:val="20"/>
          <w:szCs w:val="20"/>
          <w:color w:val="auto"/>
        </w:rPr>
      </w:pPr>
    </w:p>
    <w:tbl>
      <w:tblPr>
        <w:tblLayout w:type="fixed"/>
        <w:tblInd w:w="270" w:type="dxa"/>
        <w:tblCellMar>
          <w:top w:w="0" w:type="dxa"/>
          <w:left w:w="0" w:type="dxa"/>
          <w:bottom w:w="0" w:type="dxa"/>
          <w:right w:w="0" w:type="dxa"/>
        </w:tblCellMar>
      </w:tblPr>
      <w:tr>
        <w:trPr>
          <w:trHeight w:val="188"/>
        </w:trPr>
        <w:tc>
          <w:tcPr>
            <w:tcW w:w="2200" w:type="dxa"/>
            <w:vAlign w:val="bottom"/>
            <w:tcBorders>
              <w:top w:val="single" w:sz="8" w:color="DBDBDB"/>
              <w:left w:val="single" w:sz="8" w:color="DBDBDB"/>
              <w:bottom w:val="single" w:sz="8" w:color="C9C9C9"/>
              <w:right w:val="single" w:sz="8" w:color="DBDBDB"/>
            </w:tcBorders>
            <w:shd w:val="clear" w:color="auto" w:fill="F2F2F2"/>
          </w:tcPr>
          <w:p>
            <w:pPr>
              <w:spacing w:after="0"/>
              <w:rPr>
                <w:sz w:val="16"/>
                <w:szCs w:val="16"/>
                <w:color w:val="auto"/>
              </w:rPr>
            </w:pPr>
          </w:p>
        </w:tc>
        <w:tc>
          <w:tcPr>
            <w:tcW w:w="1320" w:type="dxa"/>
            <w:vAlign w:val="bottom"/>
            <w:tcBorders>
              <w:top w:val="single" w:sz="8" w:color="DBDBDB"/>
              <w:bottom w:val="single" w:sz="8" w:color="C9C9C9"/>
              <w:right w:val="single" w:sz="8" w:color="DBDBDB"/>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2021</w:t>
            </w:r>
          </w:p>
        </w:tc>
        <w:tc>
          <w:tcPr>
            <w:tcW w:w="1360" w:type="dxa"/>
            <w:vAlign w:val="bottom"/>
            <w:tcBorders>
              <w:top w:val="single" w:sz="8" w:color="DBDBDB"/>
              <w:bottom w:val="single" w:sz="8" w:color="C9C9C9"/>
              <w:right w:val="single" w:sz="8" w:color="DBDBDB"/>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2022</w:t>
            </w:r>
          </w:p>
        </w:tc>
      </w:tr>
      <w:tr>
        <w:trPr>
          <w:trHeight w:val="173"/>
        </w:trPr>
        <w:tc>
          <w:tcPr>
            <w:tcW w:w="2200" w:type="dxa"/>
            <w:vAlign w:val="bottom"/>
            <w:tcBorders>
              <w:left w:val="single" w:sz="8" w:color="DBDBDB"/>
              <w:bottom w:val="single" w:sz="8" w:color="DBDBDB"/>
              <w:right w:val="single" w:sz="8" w:color="DBDBDB"/>
            </w:tcBorders>
          </w:tcPr>
          <w:p>
            <w:pPr>
              <w:ind w:left="100"/>
              <w:spacing w:after="0"/>
              <w:rPr>
                <w:sz w:val="20"/>
                <w:szCs w:val="20"/>
                <w:color w:val="auto"/>
              </w:rPr>
            </w:pPr>
            <w:r>
              <w:rPr>
                <w:rFonts w:ascii="Arial" w:cs="Arial" w:eastAsia="Arial" w:hAnsi="Arial"/>
                <w:sz w:val="15"/>
                <w:szCs w:val="15"/>
                <w:b w:val="1"/>
                <w:bCs w:val="1"/>
                <w:color w:val="auto"/>
              </w:rPr>
              <w:t>Unionized workers</w:t>
            </w:r>
          </w:p>
        </w:tc>
        <w:tc>
          <w:tcPr>
            <w:tcW w:w="1320" w:type="dxa"/>
            <w:vAlign w:val="bottom"/>
            <w:tcBorders>
              <w:bottom w:val="single" w:sz="8" w:color="DBDBDB"/>
              <w:right w:val="single" w:sz="8" w:color="DBDBDB"/>
            </w:tcBorders>
          </w:tcPr>
          <w:p>
            <w:pPr>
              <w:jc w:val="center"/>
              <w:spacing w:after="0"/>
              <w:rPr>
                <w:sz w:val="20"/>
                <w:szCs w:val="20"/>
                <w:color w:val="auto"/>
              </w:rPr>
            </w:pPr>
            <w:r>
              <w:rPr>
                <w:rFonts w:ascii="Arial" w:cs="Arial" w:eastAsia="Arial" w:hAnsi="Arial"/>
                <w:sz w:val="15"/>
                <w:szCs w:val="15"/>
                <w:color w:val="auto"/>
                <w:w w:val="95"/>
              </w:rPr>
              <w:t>925</w:t>
            </w:r>
          </w:p>
        </w:tc>
        <w:tc>
          <w:tcPr>
            <w:tcW w:w="1360" w:type="dxa"/>
            <w:vAlign w:val="bottom"/>
            <w:tcBorders>
              <w:bottom w:val="single" w:sz="8" w:color="DBDBDB"/>
              <w:right w:val="single" w:sz="8" w:color="DBDBDB"/>
            </w:tcBorders>
          </w:tcPr>
          <w:p>
            <w:pPr>
              <w:jc w:val="center"/>
              <w:spacing w:after="0"/>
              <w:rPr>
                <w:sz w:val="20"/>
                <w:szCs w:val="20"/>
                <w:color w:val="auto"/>
              </w:rPr>
            </w:pPr>
            <w:r>
              <w:rPr>
                <w:rFonts w:ascii="Arial" w:cs="Arial" w:eastAsia="Arial" w:hAnsi="Arial"/>
                <w:sz w:val="15"/>
                <w:szCs w:val="15"/>
                <w:color w:val="auto"/>
              </w:rPr>
              <w:t>853</w:t>
            </w:r>
          </w:p>
        </w:tc>
      </w:tr>
      <w:tr>
        <w:trPr>
          <w:trHeight w:val="164"/>
        </w:trPr>
        <w:tc>
          <w:tcPr>
            <w:tcW w:w="2200" w:type="dxa"/>
            <w:vAlign w:val="bottom"/>
            <w:tcBorders>
              <w:left w:val="single" w:sz="8" w:color="DBDBDB"/>
              <w:bottom w:val="single" w:sz="8" w:color="DBDBDB"/>
              <w:right w:val="single" w:sz="8" w:color="DBDBDB"/>
            </w:tcBorders>
          </w:tcPr>
          <w:p>
            <w:pPr>
              <w:ind w:left="100"/>
              <w:spacing w:after="0" w:line="164" w:lineRule="exact"/>
              <w:rPr>
                <w:sz w:val="20"/>
                <w:szCs w:val="20"/>
                <w:color w:val="auto"/>
              </w:rPr>
            </w:pPr>
            <w:r>
              <w:rPr>
                <w:rFonts w:ascii="Arial" w:cs="Arial" w:eastAsia="Arial" w:hAnsi="Arial"/>
                <w:sz w:val="15"/>
                <w:szCs w:val="15"/>
                <w:b w:val="1"/>
                <w:bCs w:val="1"/>
                <w:color w:val="auto"/>
              </w:rPr>
              <w:t>Union Organizations</w:t>
            </w:r>
          </w:p>
        </w:tc>
        <w:tc>
          <w:tcPr>
            <w:tcW w:w="1320" w:type="dxa"/>
            <w:vAlign w:val="bottom"/>
            <w:tcBorders>
              <w:bottom w:val="single" w:sz="8" w:color="DBDBDB"/>
              <w:right w:val="single" w:sz="8" w:color="DBDBDB"/>
            </w:tcBorders>
          </w:tcPr>
          <w:p>
            <w:pPr>
              <w:jc w:val="center"/>
              <w:spacing w:after="0" w:line="164" w:lineRule="exact"/>
              <w:rPr>
                <w:sz w:val="20"/>
                <w:szCs w:val="20"/>
                <w:color w:val="auto"/>
              </w:rPr>
            </w:pPr>
            <w:r>
              <w:rPr>
                <w:rFonts w:ascii="Arial" w:cs="Arial" w:eastAsia="Arial" w:hAnsi="Arial"/>
                <w:sz w:val="15"/>
                <w:szCs w:val="15"/>
                <w:color w:val="auto"/>
                <w:w w:val="95"/>
              </w:rPr>
              <w:t>7</w:t>
            </w:r>
          </w:p>
        </w:tc>
        <w:tc>
          <w:tcPr>
            <w:tcW w:w="1360" w:type="dxa"/>
            <w:vAlign w:val="bottom"/>
            <w:tcBorders>
              <w:bottom w:val="single" w:sz="8" w:color="DBDBDB"/>
              <w:right w:val="single" w:sz="8" w:color="DBDBDB"/>
            </w:tcBorders>
          </w:tcPr>
          <w:p>
            <w:pPr>
              <w:jc w:val="center"/>
              <w:spacing w:after="0" w:line="164" w:lineRule="exact"/>
              <w:rPr>
                <w:sz w:val="20"/>
                <w:szCs w:val="20"/>
                <w:color w:val="auto"/>
              </w:rPr>
            </w:pPr>
            <w:r>
              <w:rPr>
                <w:rFonts w:ascii="Arial" w:cs="Arial" w:eastAsia="Arial" w:hAnsi="Arial"/>
                <w:sz w:val="15"/>
                <w:szCs w:val="15"/>
                <w:color w:val="auto"/>
              </w:rPr>
              <w:t>7</w:t>
            </w:r>
          </w:p>
        </w:tc>
      </w:tr>
      <w:tr>
        <w:trPr>
          <w:trHeight w:val="164"/>
        </w:trPr>
        <w:tc>
          <w:tcPr>
            <w:tcW w:w="2200" w:type="dxa"/>
            <w:vAlign w:val="bottom"/>
            <w:tcBorders>
              <w:left w:val="single" w:sz="8" w:color="DBDBDB"/>
              <w:bottom w:val="single" w:sz="8" w:color="DBDBDB"/>
              <w:right w:val="single" w:sz="8" w:color="DBDBDB"/>
            </w:tcBorders>
          </w:tcPr>
          <w:p>
            <w:pPr>
              <w:ind w:left="100"/>
              <w:spacing w:after="0" w:line="164" w:lineRule="exact"/>
              <w:rPr>
                <w:sz w:val="20"/>
                <w:szCs w:val="20"/>
                <w:color w:val="auto"/>
              </w:rPr>
            </w:pPr>
            <w:r>
              <w:rPr>
                <w:rFonts w:ascii="Arial" w:cs="Arial" w:eastAsia="Arial" w:hAnsi="Arial"/>
                <w:sz w:val="15"/>
                <w:szCs w:val="15"/>
                <w:b w:val="1"/>
                <w:bCs w:val="1"/>
                <w:color w:val="auto"/>
              </w:rPr>
              <w:t>% of total employees</w:t>
            </w:r>
          </w:p>
        </w:tc>
        <w:tc>
          <w:tcPr>
            <w:tcW w:w="1320" w:type="dxa"/>
            <w:vAlign w:val="bottom"/>
            <w:tcBorders>
              <w:bottom w:val="single" w:sz="8" w:color="DBDBDB"/>
              <w:right w:val="single" w:sz="8" w:color="DBDBDB"/>
            </w:tcBorders>
          </w:tcPr>
          <w:p>
            <w:pPr>
              <w:jc w:val="center"/>
              <w:spacing w:after="0" w:line="164" w:lineRule="exact"/>
              <w:rPr>
                <w:sz w:val="20"/>
                <w:szCs w:val="20"/>
                <w:color w:val="auto"/>
              </w:rPr>
            </w:pPr>
            <w:r>
              <w:rPr>
                <w:rFonts w:ascii="Arial" w:cs="Arial" w:eastAsia="Arial" w:hAnsi="Arial"/>
                <w:sz w:val="15"/>
                <w:szCs w:val="15"/>
                <w:color w:val="auto"/>
              </w:rPr>
              <w:t>3.02%</w:t>
            </w:r>
          </w:p>
        </w:tc>
        <w:tc>
          <w:tcPr>
            <w:tcW w:w="1360" w:type="dxa"/>
            <w:vAlign w:val="bottom"/>
            <w:tcBorders>
              <w:bottom w:val="single" w:sz="8" w:color="DBDBDB"/>
              <w:right w:val="single" w:sz="8" w:color="DBDBDB"/>
            </w:tcBorders>
          </w:tcPr>
          <w:p>
            <w:pPr>
              <w:jc w:val="center"/>
              <w:spacing w:after="0" w:line="164" w:lineRule="exact"/>
              <w:rPr>
                <w:sz w:val="20"/>
                <w:szCs w:val="20"/>
                <w:color w:val="auto"/>
              </w:rPr>
            </w:pPr>
            <w:r>
              <w:rPr>
                <w:rFonts w:ascii="Arial" w:cs="Arial" w:eastAsia="Arial" w:hAnsi="Arial"/>
                <w:sz w:val="15"/>
                <w:szCs w:val="15"/>
                <w:color w:val="auto"/>
                <w:w w:val="98"/>
              </w:rPr>
              <w:t>2.74%</w:t>
            </w:r>
          </w:p>
        </w:tc>
      </w:tr>
    </w:tbl>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This year, no collective agreements have been signed at Credicorp. Currently, we are in collective bargaining processes.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Talent Management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43344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Employment and Talent Management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404-2</w:t>
      </w:r>
    </w:p>
    <w:p>
      <w:pPr>
        <w:spacing w:after="0"/>
        <w:rPr>
          <w:sz w:val="20"/>
          <w:szCs w:val="20"/>
          <w:color w:val="auto"/>
        </w:rPr>
      </w:pPr>
      <w:r>
        <w:rPr>
          <w:rFonts w:ascii="Arial" w:cs="Arial" w:eastAsia="Arial" w:hAnsi="Arial"/>
          <w:sz w:val="15"/>
          <w:szCs w:val="15"/>
          <w:b w:val="1"/>
          <w:bCs w:val="1"/>
          <w:color w:val="auto"/>
        </w:rPr>
        <w:t>Pillar 3</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2F5496"/>
        </w:rPr>
        <w:t>Our Talent Management Program at Credicorp</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have a Corporate Talent Management Area, whose objective is to attract, identify, develop and manage talent with a corporate vision and in accordance with the business’s strategic needs. This work ensures that processes are uniform across the organization and use the same concepts and a homogenous value proposition. We are aligned with Credicorp’s purpose and base our strategy on 4 pillars:</w:t>
      </w:r>
    </w:p>
    <w:p>
      <w:pPr>
        <w:spacing w:after="0" w:line="158" w:lineRule="exact"/>
        <w:rPr>
          <w:sz w:val="20"/>
          <w:szCs w:val="20"/>
          <w:color w:val="auto"/>
        </w:rPr>
      </w:pPr>
    </w:p>
    <w:p>
      <w:pPr>
        <w:ind w:left="560" w:right="20" w:hanging="274"/>
        <w:spacing w:after="0"/>
        <w:tabs>
          <w:tab w:leader="none" w:pos="5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Positioning Credicorp as one of the leaders in attracting talent in the region</w:t>
      </w:r>
    </w:p>
    <w:p>
      <w:pPr>
        <w:ind w:left="560" w:right="20" w:hanging="274"/>
        <w:spacing w:after="0"/>
        <w:tabs>
          <w:tab w:leader="none" w:pos="5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Ensuring that all of Credicorp’s companies employ the Top Talent in the region</w:t>
      </w:r>
    </w:p>
    <w:p>
      <w:pPr>
        <w:ind w:left="560" w:right="20" w:hanging="274"/>
        <w:spacing w:after="0"/>
        <w:tabs>
          <w:tab w:leader="none" w:pos="5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Leading Credicorp’s Learning Community to guarantee the development of leadership and tech-digital knowledge</w:t>
      </w:r>
    </w:p>
    <w:p>
      <w:pPr>
        <w:jc w:val="both"/>
        <w:ind w:left="560" w:right="20" w:hanging="274"/>
        <w:spacing w:after="0" w:line="249" w:lineRule="auto"/>
        <w:tabs>
          <w:tab w:leader="none" w:pos="5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Be a regional point of reference for Performance and Compensation Management by recognizing higher performance and ensuring the best Total Compensation is offered</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2022, we managed a team of 568 employees, which are part of the following groups of talent: High Potential, Core Team, Xperts and Tops. These individuals represent approximately 1.3% of total employees are Credicorp.</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Credicorp Talent’s search and analysis is conducted once a year at the corporate level. Rigorous standards are applied to identify and assess potential. The different groups of Talent are offered opportunities for professional and personal development; Compensation and Incentive Plans; and financial benefit plans.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The main indicators that Credicorp talent uses in its assessment process are:</w:t>
      </w:r>
    </w:p>
    <w:p>
      <w:pPr>
        <w:ind w:left="560" w:hanging="274"/>
        <w:spacing w:after="0"/>
        <w:tabs>
          <w:tab w:leader="none" w:pos="5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Management of Lines of Corporate Succession</w:t>
      </w:r>
    </w:p>
    <w:p>
      <w:pPr>
        <w:ind w:left="560" w:hanging="274"/>
        <w:spacing w:after="0"/>
        <w:tabs>
          <w:tab w:leader="none" w:pos="5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Development of Groups of Talent</w:t>
      </w:r>
    </w:p>
    <w:p>
      <w:pPr>
        <w:ind w:left="560" w:hanging="274"/>
        <w:spacing w:after="0"/>
        <w:tabs>
          <w:tab w:leader="none" w:pos="5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Equity and Gender: Balance and Salary Gap</w:t>
      </w:r>
    </w:p>
    <w:p>
      <w:pPr>
        <w:ind w:left="560" w:hanging="274"/>
        <w:spacing w:after="0"/>
        <w:tabs>
          <w:tab w:leader="none" w:pos="5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Rotation of Groups of Talent</w:t>
      </w:r>
    </w:p>
    <w:p>
      <w:pPr>
        <w:ind w:left="560" w:hanging="274"/>
        <w:spacing w:after="0"/>
        <w:tabs>
          <w:tab w:leader="none" w:pos="5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Recruiting process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Next, we provide details on the main initiatives rolled out in 2022 :</w:t>
      </w:r>
    </w:p>
    <w:p>
      <w:pPr>
        <w:ind w:left="560" w:hanging="274"/>
        <w:spacing w:after="0"/>
        <w:tabs>
          <w:tab w:leader="none" w:pos="5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Creation of Credicorp’s Employer Brand.</w:t>
      </w:r>
    </w:p>
    <w:p>
      <w:pPr>
        <w:ind w:left="560" w:hanging="274"/>
        <w:spacing w:after="0"/>
        <w:tabs>
          <w:tab w:leader="none" w:pos="5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Implementation and roll out of Credicorp’s Learning Community.</w:t>
      </w:r>
    </w:p>
    <w:p>
      <w:pPr>
        <w:ind w:left="560" w:right="20" w:hanging="274"/>
        <w:spacing w:after="0"/>
        <w:tabs>
          <w:tab w:leader="none" w:pos="5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Implementation and launch of the New Executive Compensation Model.</w:t>
      </w:r>
    </w:p>
    <w:p>
      <w:pPr>
        <w:spacing w:after="0" w:line="173" w:lineRule="exact"/>
        <w:rPr>
          <w:rFonts w:ascii="Arial" w:cs="Arial" w:eastAsia="Arial" w:hAnsi="Arial"/>
          <w:sz w:val="15"/>
          <w:szCs w:val="15"/>
          <w:color w:val="auto"/>
        </w:rPr>
      </w:pPr>
    </w:p>
    <w:p>
      <w:pPr>
        <w:ind w:left="560" w:right="20" w:hanging="274"/>
        <w:spacing w:after="0" w:line="258" w:lineRule="auto"/>
        <w:tabs>
          <w:tab w:leader="none" w:pos="5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Processes to Identify and Assess Talent and Tops, supported by a New Platform for Talent Management.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79" w:right="31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b w:val="1"/>
          <w:bCs w:val="1"/>
          <w:color w:val="FF66CC"/>
        </w:rPr>
        <w:t>Professional Development</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To drive growth and development of our Talent and Tops and to accelerate the transformation of our businesses, we launched </w:t>
      </w:r>
      <w:r>
        <w:rPr>
          <w:rFonts w:ascii="Arial" w:cs="Arial" w:eastAsia="Arial" w:hAnsi="Arial"/>
          <w:sz w:val="15"/>
          <w:szCs w:val="15"/>
          <w:b w:val="1"/>
          <w:bCs w:val="1"/>
          <w:color w:val="auto"/>
        </w:rPr>
        <w:t>Credicorp’s Learning</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Community, </w:t>
      </w:r>
      <w:r>
        <w:rPr>
          <w:rFonts w:ascii="Arial" w:cs="Arial" w:eastAsia="Arial" w:hAnsi="Arial"/>
          <w:sz w:val="15"/>
          <w:szCs w:val="15"/>
          <w:color w:val="auto"/>
        </w:rPr>
        <w:t>which is a space to share and generate knowledge</w:t>
      </w:r>
      <w:r>
        <w:rPr>
          <w:rFonts w:ascii="Arial" w:cs="Arial" w:eastAsia="Arial" w:hAnsi="Arial"/>
          <w:sz w:val="15"/>
          <w:szCs w:val="15"/>
          <w:b w:val="1"/>
          <w:bCs w:val="1"/>
          <w:color w:val="auto"/>
        </w:rPr>
        <w:t xml:space="preserve"> </w:t>
      </w:r>
      <w:r>
        <w:rPr>
          <w:rFonts w:ascii="Arial" w:cs="Arial" w:eastAsia="Arial" w:hAnsi="Arial"/>
          <w:sz w:val="15"/>
          <w:szCs w:val="15"/>
          <w:color w:val="auto"/>
        </w:rPr>
        <w:t>collaboratively. We have designed and rolled out more than 10 initiatives, which focus on three strategic fronts.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1840" w:type="dxa"/>
            <w:vAlign w:val="bottom"/>
            <w:tcBorders>
              <w:top w:val="single" w:sz="8" w:color="DBDBDB"/>
              <w:left w:val="single" w:sz="8" w:color="DBDBDB"/>
              <w:bottom w:val="single" w:sz="8" w:color="C9C9C9"/>
              <w:right w:val="single" w:sz="8" w:color="DBDBDB"/>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Leadership</w:t>
            </w:r>
          </w:p>
        </w:tc>
        <w:tc>
          <w:tcPr>
            <w:tcW w:w="1780" w:type="dxa"/>
            <w:vAlign w:val="bottom"/>
            <w:tcBorders>
              <w:top w:val="single" w:sz="8" w:color="DBDBDB"/>
              <w:bottom w:val="single" w:sz="8" w:color="C9C9C9"/>
              <w:right w:val="single" w:sz="8" w:color="DBDBDB"/>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Digital</w:t>
            </w:r>
          </w:p>
        </w:tc>
        <w:tc>
          <w:tcPr>
            <w:tcW w:w="1780" w:type="dxa"/>
            <w:vAlign w:val="bottom"/>
            <w:tcBorders>
              <w:top w:val="single" w:sz="8" w:color="DBDBDB"/>
              <w:bottom w:val="single" w:sz="8" w:color="C9C9C9"/>
              <w:right w:val="single" w:sz="8" w:color="DBDBDB"/>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Enablers</w:t>
            </w:r>
          </w:p>
        </w:tc>
        <w:tc>
          <w:tcPr>
            <w:tcW w:w="0" w:type="dxa"/>
            <w:vAlign w:val="bottom"/>
          </w:tcPr>
          <w:p>
            <w:pPr>
              <w:spacing w:after="0"/>
              <w:rPr>
                <w:sz w:val="1"/>
                <w:szCs w:val="1"/>
                <w:color w:val="auto"/>
              </w:rPr>
            </w:pPr>
          </w:p>
        </w:tc>
      </w:tr>
      <w:tr>
        <w:trPr>
          <w:trHeight w:val="154"/>
        </w:trPr>
        <w:tc>
          <w:tcPr>
            <w:tcW w:w="1840" w:type="dxa"/>
            <w:vAlign w:val="bottom"/>
            <w:tcBorders>
              <w:left w:val="single" w:sz="8" w:color="DBDBDB"/>
              <w:right w:val="single" w:sz="8" w:color="DBDBDB"/>
            </w:tcBorders>
          </w:tcPr>
          <w:p>
            <w:pPr>
              <w:jc w:val="center"/>
              <w:spacing w:after="0" w:line="154" w:lineRule="exact"/>
              <w:rPr>
                <w:sz w:val="20"/>
                <w:szCs w:val="20"/>
                <w:color w:val="auto"/>
              </w:rPr>
            </w:pPr>
            <w:r>
              <w:rPr>
                <w:rFonts w:ascii="Arial" w:cs="Arial" w:eastAsia="Arial" w:hAnsi="Arial"/>
                <w:sz w:val="15"/>
                <w:szCs w:val="15"/>
                <w:b w:val="1"/>
                <w:bCs w:val="1"/>
                <w:color w:val="auto"/>
              </w:rPr>
              <w:t>We design ad-hoc</w:t>
            </w: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We develop digital-tech</w:t>
            </w: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On-going learning,</w:t>
            </w:r>
          </w:p>
        </w:tc>
        <w:tc>
          <w:tcPr>
            <w:tcW w:w="0" w:type="dxa"/>
            <w:vAlign w:val="bottom"/>
          </w:tcPr>
          <w:p>
            <w:pPr>
              <w:spacing w:after="0"/>
              <w:rPr>
                <w:sz w:val="1"/>
                <w:szCs w:val="1"/>
                <w:color w:val="auto"/>
              </w:rPr>
            </w:pPr>
          </w:p>
        </w:tc>
      </w:tr>
      <w:tr>
        <w:trPr>
          <w:trHeight w:val="99"/>
        </w:trPr>
        <w:tc>
          <w:tcPr>
            <w:tcW w:w="1840" w:type="dxa"/>
            <w:vAlign w:val="bottom"/>
            <w:tcBorders>
              <w:left w:val="single" w:sz="8" w:color="DBDBDB"/>
              <w:right w:val="single" w:sz="8" w:color="DBDBDB"/>
            </w:tcBorders>
            <w:vMerge w:val="restart"/>
          </w:tcPr>
          <w:p>
            <w:pPr>
              <w:jc w:val="center"/>
              <w:spacing w:after="0"/>
              <w:rPr>
                <w:sz w:val="20"/>
                <w:szCs w:val="20"/>
                <w:color w:val="auto"/>
              </w:rPr>
            </w:pPr>
            <w:r>
              <w:rPr>
                <w:rFonts w:ascii="Arial" w:cs="Arial" w:eastAsia="Arial" w:hAnsi="Arial"/>
                <w:sz w:val="15"/>
                <w:szCs w:val="15"/>
                <w:b w:val="1"/>
                <w:bCs w:val="1"/>
                <w:color w:val="auto"/>
              </w:rPr>
              <w:t>development</w:t>
            </w:r>
          </w:p>
        </w:tc>
        <w:tc>
          <w:tcPr>
            <w:tcW w:w="1780" w:type="dxa"/>
            <w:vAlign w:val="bottom"/>
            <w:tcBorders>
              <w:right w:val="single" w:sz="8" w:color="DBDBDB"/>
            </w:tcBorders>
            <w:vMerge w:val="continue"/>
          </w:tcPr>
          <w:p>
            <w:pPr>
              <w:spacing w:after="0"/>
              <w:rPr>
                <w:sz w:val="8"/>
                <w:szCs w:val="8"/>
                <w:color w:val="auto"/>
              </w:rPr>
            </w:pPr>
          </w:p>
        </w:tc>
        <w:tc>
          <w:tcPr>
            <w:tcW w:w="1780" w:type="dxa"/>
            <w:vAlign w:val="bottom"/>
            <w:tcBorders>
              <w:right w:val="single" w:sz="8" w:color="DBDBD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DBDBDB"/>
              <w:right w:val="single" w:sz="8" w:color="DBDBDB"/>
            </w:tcBorders>
            <w:vMerge w:val="continue"/>
          </w:tcPr>
          <w:p>
            <w:pPr>
              <w:spacing w:after="0"/>
              <w:rPr>
                <w:sz w:val="6"/>
                <w:szCs w:val="6"/>
                <w:color w:val="auto"/>
              </w:rPr>
            </w:pP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abilities through</w:t>
            </w: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curiosity and self-</w:t>
            </w:r>
          </w:p>
        </w:tc>
        <w:tc>
          <w:tcPr>
            <w:tcW w:w="0" w:type="dxa"/>
            <w:vAlign w:val="bottom"/>
          </w:tcPr>
          <w:p>
            <w:pPr>
              <w:spacing w:after="0"/>
              <w:rPr>
                <w:sz w:val="1"/>
                <w:szCs w:val="1"/>
                <w:color w:val="auto"/>
              </w:rPr>
            </w:pPr>
          </w:p>
        </w:tc>
      </w:tr>
      <w:tr>
        <w:trPr>
          <w:trHeight w:val="99"/>
        </w:trPr>
        <w:tc>
          <w:tcPr>
            <w:tcW w:w="1840" w:type="dxa"/>
            <w:vAlign w:val="bottom"/>
            <w:tcBorders>
              <w:left w:val="single" w:sz="8" w:color="DBDBDB"/>
              <w:right w:val="single" w:sz="8" w:color="DBDBDB"/>
            </w:tcBorders>
            <w:vMerge w:val="restart"/>
          </w:tcPr>
          <w:p>
            <w:pPr>
              <w:jc w:val="center"/>
              <w:spacing w:after="0"/>
              <w:rPr>
                <w:sz w:val="20"/>
                <w:szCs w:val="20"/>
                <w:color w:val="auto"/>
              </w:rPr>
            </w:pPr>
            <w:r>
              <w:rPr>
                <w:rFonts w:ascii="Arial" w:cs="Arial" w:eastAsia="Arial" w:hAnsi="Arial"/>
                <w:sz w:val="15"/>
                <w:szCs w:val="15"/>
                <w:b w:val="1"/>
                <w:bCs w:val="1"/>
                <w:color w:val="auto"/>
              </w:rPr>
              <w:t>strategies and create</w:t>
            </w:r>
          </w:p>
        </w:tc>
        <w:tc>
          <w:tcPr>
            <w:tcW w:w="1780" w:type="dxa"/>
            <w:vAlign w:val="bottom"/>
            <w:tcBorders>
              <w:right w:val="single" w:sz="8" w:color="DBDBDB"/>
            </w:tcBorders>
            <w:vMerge w:val="continue"/>
          </w:tcPr>
          <w:p>
            <w:pPr>
              <w:spacing w:after="0"/>
              <w:rPr>
                <w:sz w:val="8"/>
                <w:szCs w:val="8"/>
                <w:color w:val="auto"/>
              </w:rPr>
            </w:pPr>
          </w:p>
        </w:tc>
        <w:tc>
          <w:tcPr>
            <w:tcW w:w="1780" w:type="dxa"/>
            <w:vAlign w:val="bottom"/>
            <w:tcBorders>
              <w:right w:val="single" w:sz="8" w:color="DBDBD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DBDBDB"/>
              <w:right w:val="single" w:sz="8" w:color="DBDBDB"/>
            </w:tcBorders>
            <w:vMerge w:val="continue"/>
          </w:tcPr>
          <w:p>
            <w:pPr>
              <w:spacing w:after="0"/>
              <w:rPr>
                <w:sz w:val="6"/>
                <w:szCs w:val="6"/>
                <w:color w:val="auto"/>
              </w:rPr>
            </w:pP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reskilling and upskilling</w:t>
            </w: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learning</w:t>
            </w:r>
          </w:p>
        </w:tc>
        <w:tc>
          <w:tcPr>
            <w:tcW w:w="0" w:type="dxa"/>
            <w:vAlign w:val="bottom"/>
          </w:tcPr>
          <w:p>
            <w:pPr>
              <w:spacing w:after="0"/>
              <w:rPr>
                <w:sz w:val="1"/>
                <w:szCs w:val="1"/>
                <w:color w:val="auto"/>
              </w:rPr>
            </w:pPr>
          </w:p>
        </w:tc>
      </w:tr>
      <w:tr>
        <w:trPr>
          <w:trHeight w:val="111"/>
        </w:trPr>
        <w:tc>
          <w:tcPr>
            <w:tcW w:w="1840" w:type="dxa"/>
            <w:vAlign w:val="bottom"/>
            <w:tcBorders>
              <w:left w:val="single" w:sz="8" w:color="DBDBDB"/>
              <w:right w:val="single" w:sz="8" w:color="DBDBDB"/>
            </w:tcBorders>
            <w:vMerge w:val="restart"/>
          </w:tcPr>
          <w:p>
            <w:pPr>
              <w:jc w:val="center"/>
              <w:spacing w:after="0"/>
              <w:rPr>
                <w:sz w:val="20"/>
                <w:szCs w:val="20"/>
                <w:color w:val="auto"/>
              </w:rPr>
            </w:pPr>
            <w:r>
              <w:rPr>
                <w:rFonts w:ascii="Arial" w:cs="Arial" w:eastAsia="Arial" w:hAnsi="Arial"/>
                <w:sz w:val="15"/>
                <w:szCs w:val="15"/>
                <w:b w:val="1"/>
                <w:bCs w:val="1"/>
                <w:color w:val="auto"/>
              </w:rPr>
              <w:t>paths of learning</w:t>
            </w:r>
          </w:p>
        </w:tc>
        <w:tc>
          <w:tcPr>
            <w:tcW w:w="1780" w:type="dxa"/>
            <w:vAlign w:val="bottom"/>
            <w:tcBorders>
              <w:right w:val="single" w:sz="8" w:color="DBDBDB"/>
            </w:tcBorders>
            <w:vMerge w:val="continue"/>
          </w:tcPr>
          <w:p>
            <w:pPr>
              <w:spacing w:after="0"/>
              <w:rPr>
                <w:sz w:val="9"/>
                <w:szCs w:val="9"/>
                <w:color w:val="auto"/>
              </w:rPr>
            </w:pPr>
          </w:p>
        </w:tc>
        <w:tc>
          <w:tcPr>
            <w:tcW w:w="1780" w:type="dxa"/>
            <w:vAlign w:val="bottom"/>
            <w:tcBorders>
              <w:right w:val="single" w:sz="8" w:color="DBDBD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40" w:type="dxa"/>
            <w:vAlign w:val="bottom"/>
            <w:tcBorders>
              <w:left w:val="single" w:sz="8" w:color="DBDBDB"/>
              <w:bottom w:val="single" w:sz="8" w:color="DBDBDB"/>
              <w:right w:val="single" w:sz="8" w:color="DBDBDB"/>
            </w:tcBorders>
            <w:vMerge w:val="continue"/>
          </w:tcPr>
          <w:p>
            <w:pPr>
              <w:spacing w:after="0"/>
              <w:rPr>
                <w:sz w:val="7"/>
                <w:szCs w:val="7"/>
                <w:color w:val="auto"/>
              </w:rPr>
            </w:pPr>
          </w:p>
        </w:tc>
        <w:tc>
          <w:tcPr>
            <w:tcW w:w="1780" w:type="dxa"/>
            <w:vAlign w:val="bottom"/>
            <w:tcBorders>
              <w:bottom w:val="single" w:sz="8" w:color="DBDBDB"/>
              <w:right w:val="single" w:sz="8" w:color="DBDBDB"/>
            </w:tcBorders>
          </w:tcPr>
          <w:p>
            <w:pPr>
              <w:spacing w:after="0"/>
              <w:rPr>
                <w:sz w:val="7"/>
                <w:szCs w:val="7"/>
                <w:color w:val="auto"/>
              </w:rPr>
            </w:pPr>
          </w:p>
        </w:tc>
        <w:tc>
          <w:tcPr>
            <w:tcW w:w="1780" w:type="dxa"/>
            <w:vAlign w:val="bottom"/>
            <w:tcBorders>
              <w:bottom w:val="single" w:sz="8" w:color="DBDBDB"/>
              <w:right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40" w:type="dxa"/>
            <w:vAlign w:val="bottom"/>
            <w:tcBorders>
              <w:left w:val="single" w:sz="8" w:color="DBDBDB"/>
              <w:right w:val="single" w:sz="8" w:color="DBDBDB"/>
            </w:tcBorders>
            <w:vMerge w:val="restart"/>
          </w:tcPr>
          <w:p>
            <w:pPr>
              <w:jc w:val="center"/>
              <w:spacing w:after="0"/>
              <w:rPr>
                <w:sz w:val="20"/>
                <w:szCs w:val="20"/>
                <w:color w:val="auto"/>
              </w:rPr>
            </w:pPr>
            <w:r>
              <w:rPr>
                <w:rFonts w:ascii="Arial" w:cs="Arial" w:eastAsia="Arial" w:hAnsi="Arial"/>
                <w:sz w:val="15"/>
                <w:szCs w:val="15"/>
                <w:b w:val="1"/>
                <w:bCs w:val="1"/>
                <w:color w:val="auto"/>
              </w:rPr>
              <w:t>6 programs</w:t>
            </w: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i w:val="1"/>
                <w:iCs w:val="1"/>
                <w:color w:val="auto"/>
              </w:rPr>
              <w:t>Data &amp; Analytics</w:t>
            </w:r>
          </w:p>
        </w:tc>
        <w:tc>
          <w:tcPr>
            <w:tcW w:w="1780" w:type="dxa"/>
            <w:vAlign w:val="bottom"/>
            <w:tcBorders>
              <w:right w:val="single" w:sz="8" w:color="DBDBDB"/>
            </w:tcBorders>
          </w:tcPr>
          <w:p>
            <w:pPr>
              <w:jc w:val="center"/>
              <w:spacing w:after="0" w:line="164" w:lineRule="exact"/>
              <w:rPr>
                <w:sz w:val="20"/>
                <w:szCs w:val="20"/>
                <w:color w:val="auto"/>
              </w:rPr>
            </w:pPr>
            <w:r>
              <w:rPr>
                <w:rFonts w:ascii="Arial" w:cs="Arial" w:eastAsia="Arial" w:hAnsi="Arial"/>
                <w:sz w:val="15"/>
                <w:szCs w:val="15"/>
                <w:color w:val="auto"/>
              </w:rPr>
              <w:t>9 Owner mindset</w:t>
            </w:r>
          </w:p>
        </w:tc>
        <w:tc>
          <w:tcPr>
            <w:tcW w:w="0" w:type="dxa"/>
            <w:vAlign w:val="bottom"/>
          </w:tcPr>
          <w:p>
            <w:pPr>
              <w:spacing w:after="0"/>
              <w:rPr>
                <w:sz w:val="1"/>
                <w:szCs w:val="1"/>
                <w:color w:val="auto"/>
              </w:rPr>
            </w:pPr>
          </w:p>
        </w:tc>
      </w:tr>
      <w:tr>
        <w:trPr>
          <w:trHeight w:val="63"/>
        </w:trPr>
        <w:tc>
          <w:tcPr>
            <w:tcW w:w="1840" w:type="dxa"/>
            <w:vAlign w:val="bottom"/>
            <w:tcBorders>
              <w:left w:val="single" w:sz="8" w:color="DBDBDB"/>
              <w:right w:val="single" w:sz="8" w:color="DBDBDB"/>
            </w:tcBorders>
            <w:vMerge w:val="continue"/>
          </w:tcPr>
          <w:p>
            <w:pPr>
              <w:spacing w:after="0"/>
              <w:rPr>
                <w:sz w:val="5"/>
                <w:szCs w:val="5"/>
                <w:color w:val="auto"/>
              </w:rPr>
            </w:pPr>
          </w:p>
        </w:tc>
        <w:tc>
          <w:tcPr>
            <w:tcW w:w="1780" w:type="dxa"/>
            <w:vAlign w:val="bottom"/>
            <w:tcBorders>
              <w:right w:val="single" w:sz="8" w:color="DBDBDB"/>
            </w:tcBorders>
            <w:vMerge w:val="continue"/>
          </w:tcPr>
          <w:p>
            <w:pPr>
              <w:spacing w:after="0"/>
              <w:rPr>
                <w:sz w:val="5"/>
                <w:szCs w:val="5"/>
                <w:color w:val="auto"/>
              </w:rPr>
            </w:pP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bootcamps</w:t>
            </w:r>
          </w:p>
        </w:tc>
        <w:tc>
          <w:tcPr>
            <w:tcW w:w="0" w:type="dxa"/>
            <w:vAlign w:val="bottom"/>
          </w:tcPr>
          <w:p>
            <w:pPr>
              <w:spacing w:after="0"/>
              <w:rPr>
                <w:sz w:val="1"/>
                <w:szCs w:val="1"/>
                <w:color w:val="auto"/>
              </w:rPr>
            </w:pPr>
          </w:p>
        </w:tc>
      </w:tr>
      <w:tr>
        <w:trPr>
          <w:trHeight w:val="110"/>
        </w:trPr>
        <w:tc>
          <w:tcPr>
            <w:tcW w:w="1840" w:type="dxa"/>
            <w:vAlign w:val="bottom"/>
            <w:tcBorders>
              <w:left w:val="single" w:sz="8" w:color="DBDBDB"/>
              <w:right w:val="single" w:sz="8" w:color="DBDBDB"/>
            </w:tcBorders>
            <w:vMerge w:val="restart"/>
          </w:tcPr>
          <w:p>
            <w:pPr>
              <w:jc w:val="center"/>
              <w:spacing w:after="0"/>
              <w:rPr>
                <w:sz w:val="20"/>
                <w:szCs w:val="20"/>
                <w:color w:val="auto"/>
              </w:rPr>
            </w:pPr>
            <w:r>
              <w:rPr>
                <w:rFonts w:ascii="Arial" w:cs="Arial" w:eastAsia="Arial" w:hAnsi="Arial"/>
                <w:sz w:val="15"/>
                <w:szCs w:val="15"/>
                <w:b w:val="1"/>
                <w:bCs w:val="1"/>
                <w:color w:val="auto"/>
              </w:rPr>
              <w:t>279 participants</w:t>
            </w: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267 participants</w:t>
            </w:r>
          </w:p>
        </w:tc>
        <w:tc>
          <w:tcPr>
            <w:tcW w:w="1780" w:type="dxa"/>
            <w:vAlign w:val="bottom"/>
            <w:tcBorders>
              <w:right w:val="single" w:sz="8" w:color="DBDBD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840" w:type="dxa"/>
            <w:vAlign w:val="bottom"/>
            <w:tcBorders>
              <w:left w:val="single" w:sz="8" w:color="DBDBDB"/>
              <w:right w:val="single" w:sz="8" w:color="DBDBDB"/>
            </w:tcBorders>
            <w:vMerge w:val="continue"/>
          </w:tcPr>
          <w:p>
            <w:pPr>
              <w:spacing w:after="0"/>
              <w:rPr>
                <w:sz w:val="8"/>
                <w:szCs w:val="8"/>
                <w:color w:val="auto"/>
              </w:rPr>
            </w:pPr>
          </w:p>
        </w:tc>
        <w:tc>
          <w:tcPr>
            <w:tcW w:w="1780" w:type="dxa"/>
            <w:vAlign w:val="bottom"/>
            <w:tcBorders>
              <w:right w:val="single" w:sz="8" w:color="DBDBDB"/>
            </w:tcBorders>
            <w:vMerge w:val="continue"/>
          </w:tcPr>
          <w:p>
            <w:pPr>
              <w:spacing w:after="0"/>
              <w:rPr>
                <w:sz w:val="8"/>
                <w:szCs w:val="8"/>
                <w:color w:val="auto"/>
              </w:rPr>
            </w:pPr>
          </w:p>
        </w:tc>
        <w:tc>
          <w:tcPr>
            <w:tcW w:w="17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5"/>
                <w:szCs w:val="15"/>
                <w:color w:val="auto"/>
              </w:rPr>
              <w:t>224 participants</w:t>
            </w:r>
          </w:p>
        </w:tc>
        <w:tc>
          <w:tcPr>
            <w:tcW w:w="0" w:type="dxa"/>
            <w:vAlign w:val="bottom"/>
          </w:tcPr>
          <w:p>
            <w:pPr>
              <w:spacing w:after="0"/>
              <w:rPr>
                <w:sz w:val="1"/>
                <w:szCs w:val="1"/>
                <w:color w:val="auto"/>
              </w:rPr>
            </w:pPr>
          </w:p>
        </w:tc>
      </w:tr>
      <w:tr>
        <w:trPr>
          <w:trHeight w:val="81"/>
        </w:trPr>
        <w:tc>
          <w:tcPr>
            <w:tcW w:w="1840" w:type="dxa"/>
            <w:vAlign w:val="bottom"/>
            <w:tcBorders>
              <w:left w:val="single" w:sz="8" w:color="DBDBDB"/>
              <w:bottom w:val="single" w:sz="8" w:color="DBDBDB"/>
              <w:right w:val="single" w:sz="8" w:color="DBDBDB"/>
            </w:tcBorders>
          </w:tcPr>
          <w:p>
            <w:pPr>
              <w:spacing w:after="0"/>
              <w:rPr>
                <w:sz w:val="7"/>
                <w:szCs w:val="7"/>
                <w:color w:val="auto"/>
              </w:rPr>
            </w:pPr>
          </w:p>
        </w:tc>
        <w:tc>
          <w:tcPr>
            <w:tcW w:w="1780" w:type="dxa"/>
            <w:vAlign w:val="bottom"/>
            <w:tcBorders>
              <w:bottom w:val="single" w:sz="8" w:color="DBDBDB"/>
              <w:right w:val="single" w:sz="8" w:color="DBDBDB"/>
            </w:tcBorders>
          </w:tcPr>
          <w:p>
            <w:pPr>
              <w:spacing w:after="0"/>
              <w:rPr>
                <w:sz w:val="7"/>
                <w:szCs w:val="7"/>
                <w:color w:val="auto"/>
              </w:rPr>
            </w:pPr>
          </w:p>
        </w:tc>
        <w:tc>
          <w:tcPr>
            <w:tcW w:w="1780" w:type="dxa"/>
            <w:vAlign w:val="bottom"/>
            <w:tcBorders>
              <w:bottom w:val="single" w:sz="8" w:color="DBDBDB"/>
              <w:right w:val="single" w:sz="8" w:color="DBDBD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9"/>
        </w:trPr>
        <w:tc>
          <w:tcPr>
            <w:tcW w:w="1840" w:type="dxa"/>
            <w:vAlign w:val="bottom"/>
          </w:tcPr>
          <w:p>
            <w:pPr>
              <w:spacing w:after="0"/>
              <w:rPr>
                <w:sz w:val="20"/>
                <w:szCs w:val="20"/>
                <w:color w:val="auto"/>
              </w:rPr>
            </w:pPr>
            <w:r>
              <w:rPr>
                <w:rFonts w:ascii="Arial" w:cs="Arial" w:eastAsia="Arial" w:hAnsi="Arial"/>
                <w:sz w:val="15"/>
                <w:szCs w:val="15"/>
                <w:b w:val="1"/>
                <w:bCs w:val="1"/>
                <w:color w:val="FF66CC"/>
              </w:rPr>
              <w:t>Incentives for training</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00" w:right="20" w:hanging="204"/>
        <w:spacing w:after="0"/>
        <w:tabs>
          <w:tab w:leader="none" w:pos="3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FAE: is the Fund for High Specialization for Credicorp employees who wish to study at top universities with financing at preferential rates.</w:t>
      </w:r>
    </w:p>
    <w:p>
      <w:pPr>
        <w:jc w:val="both"/>
        <w:ind w:left="300" w:right="20" w:hanging="204"/>
        <w:spacing w:after="0" w:line="249" w:lineRule="auto"/>
        <w:tabs>
          <w:tab w:leader="none" w:pos="3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the case of talent groups, economic accompaniment is available. The objective is to cover part of the expenses associated with preparation pre-MBA or pre-master.</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Business agility is an organization’s capacity to quickly adapt to constant change and to market demands. It strengthens the balance between strategic alignment and autonomy at the team level to deliver on-going value with quality in a world that is increasingly digital, disruptive and highly competitive.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3B72E1"/>
        </w:rPr>
        <w:t>AGILITY IS FUNDAMENTAL TO OUR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3B72E1"/>
        </w:rPr>
        <w:t>STRATEGIES</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At Credicorp, business agility is fundamental and sits at the core of our companies’ strategies. In 2015, we rolled out efforts at a number of subsidiaries to create an understanding of agility and its application in technological projects. In 2018, we began our transformation to business agility. Roll out at a group level was gradual and began successfully with BCP and Pacífico Seguros. In 2021, agility became part of our corporate capacity set to accelerate the agile transformation process at Credicorp and capitalize on the experience and best practices acquired by our companies, making great progress at MiBanco, Prima AFP, BCP Bolivia and others.</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use benchmarks across Credicorp’s companies to measure value, performance and agility evolution, which provides a comprehensive vision of the progress on the transformation front and allows us to activate plans of action and cross-learning initiative between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473710</wp:posOffset>
            </wp:positionV>
            <wp:extent cx="7152640" cy="146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5"/>
          <w:szCs w:val="15"/>
          <w:color w:val="auto"/>
        </w:rPr>
        <w:t xml:space="preserve">At Credicorp, we have more than 170 </w:t>
      </w:r>
      <w:r>
        <w:rPr>
          <w:rFonts w:ascii="Arial" w:cs="Arial" w:eastAsia="Arial" w:hAnsi="Arial"/>
          <w:sz w:val="15"/>
          <w:szCs w:val="15"/>
          <w:i w:val="1"/>
          <w:iCs w:val="1"/>
          <w:color w:val="auto"/>
        </w:rPr>
        <w:t>agilistas</w:t>
      </w:r>
      <w:r>
        <w:rPr>
          <w:rFonts w:ascii="Arial" w:cs="Arial" w:eastAsia="Arial" w:hAnsi="Arial"/>
          <w:sz w:val="15"/>
          <w:szCs w:val="15"/>
          <w:color w:val="auto"/>
        </w:rPr>
        <w:t>, who share: best practices; advanced training programs; lines of development and growth; and a competitive as well as comprehensive value proposition that is market-facing. Our objective is to be a leading Center of Excellence for Agility.</w:t>
      </w:r>
    </w:p>
    <w:p>
      <w:pPr>
        <w:spacing w:after="0" w:line="137" w:lineRule="exact"/>
        <w:rPr>
          <w:sz w:val="20"/>
          <w:szCs w:val="20"/>
          <w:color w:val="auto"/>
        </w:rPr>
      </w:pPr>
    </w:p>
    <w:p>
      <w:pPr>
        <w:jc w:val="both"/>
        <w:ind w:right="20"/>
        <w:spacing w:after="0" w:line="250" w:lineRule="auto"/>
        <w:rPr>
          <w:sz w:val="20"/>
          <w:szCs w:val="20"/>
          <w:color w:val="auto"/>
        </w:rPr>
      </w:pPr>
      <w:r>
        <w:rPr>
          <w:rFonts w:ascii="Arial" w:cs="Arial" w:eastAsia="Arial" w:hAnsi="Arial"/>
          <w:sz w:val="15"/>
          <w:szCs w:val="15"/>
          <w:color w:val="auto"/>
        </w:rPr>
        <w:t xml:space="preserve">In 2022, we launched </w:t>
      </w:r>
      <w:r>
        <w:rPr>
          <w:rFonts w:ascii="Arial" w:cs="Arial" w:eastAsia="Arial" w:hAnsi="Arial"/>
          <w:sz w:val="15"/>
          <w:szCs w:val="15"/>
          <w:i w:val="1"/>
          <w:iCs w:val="1"/>
          <w:color w:val="auto"/>
        </w:rPr>
        <w:t>Agile Day Credicorp.</w:t>
      </w:r>
      <w:r>
        <w:rPr>
          <w:rFonts w:ascii="Arial" w:cs="Arial" w:eastAsia="Arial" w:hAnsi="Arial"/>
          <w:sz w:val="15"/>
          <w:szCs w:val="15"/>
          <w:color w:val="auto"/>
        </w:rPr>
        <w:t xml:space="preserve"> This event was held on line and for the first time, was open to the public. The objective of this two-day event is to attract talent that specializes in agility and the digital world. Additionally, we provide our clients with engaging content to initiate or advance their own transformation as we work to become a reference point for agility in the region.</w:t>
      </w:r>
    </w:p>
    <w:p>
      <w:pPr>
        <w:spacing w:after="0" w:line="155" w:lineRule="exact"/>
        <w:rPr>
          <w:sz w:val="20"/>
          <w:szCs w:val="20"/>
          <w:color w:val="auto"/>
        </w:rPr>
      </w:pPr>
    </w:p>
    <w:p>
      <w:pPr>
        <w:ind w:left="2760" w:hanging="307"/>
        <w:spacing w:after="0"/>
        <w:tabs>
          <w:tab w:leader="none" w:pos="27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54 speakers from 7 countries</w:t>
      </w:r>
    </w:p>
    <w:p>
      <w:pPr>
        <w:ind w:left="2760" w:hanging="307"/>
        <w:spacing w:after="0"/>
        <w:tabs>
          <w:tab w:leader="none" w:pos="27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24 participating companies</w:t>
      </w:r>
    </w:p>
    <w:p>
      <w:pPr>
        <w:ind w:left="2460" w:right="20" w:hanging="7"/>
        <w:spacing w:after="0"/>
        <w:tabs>
          <w:tab w:leader="none" w:pos="2951" w:val="left"/>
        </w:tabs>
        <w:numPr>
          <w:ilvl w:val="0"/>
          <w:numId w:val="74"/>
        </w:numPr>
        <w:rPr>
          <w:rFonts w:ascii="Arial" w:cs="Arial" w:eastAsia="Arial" w:hAnsi="Arial"/>
          <w:sz w:val="15"/>
          <w:szCs w:val="15"/>
          <w:color w:val="auto"/>
        </w:rPr>
      </w:pPr>
      <w:r>
        <w:rPr>
          <w:rFonts w:ascii="Arial" w:cs="Arial" w:eastAsia="Arial" w:hAnsi="Arial"/>
          <w:sz w:val="15"/>
          <w:szCs w:val="15"/>
          <w:color w:val="auto"/>
        </w:rPr>
        <w:t>New formats: Masterclass, Panels, Talent Attraction, Webinars, Networking</w:t>
      </w:r>
    </w:p>
    <w:p>
      <w:pPr>
        <w:jc w:val="both"/>
        <w:ind w:left="2460" w:right="20" w:hanging="7"/>
        <w:spacing w:after="0" w:line="246" w:lineRule="auto"/>
        <w:tabs>
          <w:tab w:leader="none" w:pos="2877" w:val="left"/>
        </w:tabs>
        <w:numPr>
          <w:ilvl w:val="0"/>
          <w:numId w:val="74"/>
        </w:numPr>
        <w:rPr>
          <w:rFonts w:ascii="Arial" w:cs="Arial" w:eastAsia="Arial" w:hAnsi="Arial"/>
          <w:sz w:val="15"/>
          <w:szCs w:val="15"/>
          <w:color w:val="auto"/>
        </w:rPr>
      </w:pPr>
      <w:r>
        <w:rPr>
          <w:rFonts w:ascii="Arial" w:cs="Arial" w:eastAsia="Arial" w:hAnsi="Arial"/>
          <w:sz w:val="15"/>
          <w:szCs w:val="15"/>
          <w:color w:val="auto"/>
        </w:rPr>
        <w:t>Different categories Agile and digital transformation, Agile Mindset, Agile People, Enterprise Agility, Trending Agile, Agile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-850900</wp:posOffset>
            </wp:positionV>
            <wp:extent cx="1464310" cy="14643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64310" cy="1464310"/>
                    </a:xfrm>
                    <a:prstGeom prst="rect">
                      <a:avLst/>
                    </a:prstGeom>
                    <a:noFill/>
                  </pic:spPr>
                </pic:pic>
              </a:graphicData>
            </a:graphic>
          </wp:anchor>
        </w:drawing>
      </w:r>
    </w:p>
    <w:p>
      <w:pPr>
        <w:spacing w:after="0" w:line="137" w:lineRule="exact"/>
        <w:rPr>
          <w:sz w:val="20"/>
          <w:szCs w:val="20"/>
          <w:color w:val="auto"/>
        </w:rPr>
      </w:pPr>
    </w:p>
    <w:p>
      <w:pPr>
        <w:jc w:val="both"/>
        <w:ind w:left="2460" w:right="20"/>
        <w:spacing w:after="0" w:line="245" w:lineRule="auto"/>
        <w:rPr>
          <w:sz w:val="20"/>
          <w:szCs w:val="20"/>
          <w:color w:val="auto"/>
        </w:rPr>
      </w:pPr>
      <w:r>
        <w:rPr>
          <w:rFonts w:ascii="Arial" w:cs="Arial" w:eastAsia="Arial" w:hAnsi="Arial"/>
          <w:sz w:val="15"/>
          <w:szCs w:val="15"/>
          <w:color w:val="auto"/>
        </w:rPr>
        <w:t>The event exceeded our objectives: More than 4,000 active participants; more than 120 applicants to Credicorp; 90% satisfaction level; and 85% believe Credicorp is a reference point in the region.</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Occupational Safety and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43344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403-2, 403-7</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As indicated in our sustainability policy, at Credicorp we promote preventing occupational health and safety risks in accordance with each country’s regulations and aligned with the highest international standards. The objective is to make on going improvements to conditions for safety, physical and mental health and the workplace environment to prevent negative effects on employees’ health. We accomplish this by identifying, evaluating and managing risks at our facilities or in our processes/activities. For more details on governance, see the section Other Corporate Compliance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119</w:t>
      </w:r>
    </w:p>
    <w:p>
      <w:pPr>
        <w:sectPr>
          <w:pgSz w:w="11900" w:h="16838" w:orient="portrait"/>
          <w:cols w:equalWidth="0" w:num="2">
            <w:col w:w="5400" w:space="440"/>
            <w:col w:w="5420"/>
          </w:cols>
          <w:pgMar w:left="320" w:top="294" w:right="319" w:bottom="1440" w:gutter="0" w:footer="0" w:header="0"/>
        </w:sectPr>
      </w:pPr>
    </w:p>
    <w:bookmarkStart w:id="122" w:name="page123"/>
    <w:bookmarkEnd w:id="122"/>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Covid Response</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Year-over-year, the number of employees diagnosed with COVID-19 rose 42% within the context of the third wave in early 2022. With a vaccination coverage rate of 90%, we were well situated to fend off more severe impacts on health of the fourth and fifth waves. This situation helped us to redefine our strategy, by focusing on prevention and promotion of health campaigns that promote self-care. Efforts included disseminating informative materials and videos as well as providing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102870</wp:posOffset>
            </wp:positionV>
            <wp:extent cx="3294380" cy="5416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94380"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Workplace accidents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The years 2020 and 2021 were atypical due to confinement measures during the pandemic, where the workplace shifted to the home front. In 2022, restrictions were loosened and employees returned to on-site through a hybrid work model. For this reason, the number of accidents over the period </w:t>
      </w:r>
      <w:r>
        <w:rPr>
          <w:rFonts w:ascii="Arial" w:cs="Arial" w:eastAsia="Arial" w:hAnsi="Arial"/>
          <w:sz w:val="25"/>
          <w:szCs w:val="25"/>
          <w:color w:val="auto"/>
          <w:vertAlign w:val="superscript"/>
        </w:rPr>
        <w:t>36</w:t>
      </w:r>
      <w:r>
        <w:rPr>
          <w:rFonts w:ascii="Arial" w:cs="Arial" w:eastAsia="Arial" w:hAnsi="Arial"/>
          <w:sz w:val="15"/>
          <w:szCs w:val="15"/>
          <w:color w:val="auto"/>
        </w:rPr>
        <w:t>rose to 40.</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reduce the number of undesired events, different prevention mechanisms have been implemented through the Annual Occupational Safety and Health (OSH) Program. We have increased the number of OSH inspections, which were both on-site and online, and identified and addressed unsafe conditions at Credicorp’s installations around the country.</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We reported no deaths from undesired events during the course of activities of our employees. The most frequent injuries were contusions.</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At Credicorp, we take action to ensure we are prepared to respond to emergency situations. We have a response plan for emergencies at all of our facilities, including our headquarters and branches. The objective is to ensure timely response to any type of event. Additionally, we disseminate information through internal communications campaigns to indicate what should be done before, during and after an emergency such as an earthquake and how to take preventive measures. It is important to note that our first aid, evacuation and firefighting brigades receive periodic training at the branches.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8834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175" w:lineRule="exact"/>
        <w:rPr>
          <w:sz w:val="20"/>
          <w:szCs w:val="20"/>
          <w:color w:val="auto"/>
        </w:rPr>
      </w:pPr>
    </w:p>
    <w:p>
      <w:pPr>
        <w:ind w:left="440" w:hanging="171"/>
        <w:spacing w:after="0"/>
        <w:tabs>
          <w:tab w:leader="none" w:pos="440" w:val="left"/>
        </w:tabs>
        <w:numPr>
          <w:ilvl w:val="0"/>
          <w:numId w:val="75"/>
        </w:numPr>
        <w:rPr>
          <w:rFonts w:ascii="Arial" w:cs="Arial" w:eastAsia="Arial" w:hAnsi="Arial"/>
          <w:sz w:val="23"/>
          <w:szCs w:val="23"/>
          <w:color w:val="auto"/>
          <w:vertAlign w:val="superscript"/>
        </w:rPr>
      </w:pPr>
      <w:r>
        <w:rPr>
          <w:rFonts w:ascii="Arial" w:cs="Arial" w:eastAsia="Arial" w:hAnsi="Arial"/>
          <w:sz w:val="14"/>
          <w:szCs w:val="14"/>
          <w:color w:val="auto"/>
        </w:rPr>
        <w:t>Cases that have required medical 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754380</wp:posOffset>
            </wp:positionV>
            <wp:extent cx="7152640" cy="146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Sustainable Supplier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43344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color w:val="auto"/>
        </w:rPr>
        <w:t>2-6, 204-1</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Sustainable management of the value change is a key aspect of how we do business. We have a Corporate Policy for Procurement and Supplier Management (and have developed internal processes for Procurement and Purchasing) and have centralized management of our key suppliers. We have also updated our Code of Conduct for Suppliers and Third Parties and incorporated ESG assessment in our supplier standardization process.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align this front with the Group’s sustainability strategy, in 2022 we hired an external ESG consultant to diagnose the current supplier situation at the corporate level; understand gaps with regard to best practices and expectations of our stakeholders; and set the bases to define a strategy and work plan to sustainably manage suppliers in 2023.</w:t>
      </w:r>
    </w:p>
    <w:p>
      <w:pPr>
        <w:spacing w:after="0" w:line="124" w:lineRule="exact"/>
        <w:rPr>
          <w:sz w:val="20"/>
          <w:szCs w:val="20"/>
          <w:color w:val="auto"/>
        </w:rPr>
      </w:pPr>
    </w:p>
    <w:p>
      <w:pPr>
        <w:ind w:right="580"/>
        <w:spacing w:after="0" w:line="273" w:lineRule="auto"/>
        <w:rPr>
          <w:sz w:val="20"/>
          <w:szCs w:val="20"/>
          <w:color w:val="auto"/>
        </w:rPr>
      </w:pPr>
      <w:r>
        <w:rPr>
          <w:rFonts w:ascii="Arial" w:cs="Arial" w:eastAsia="Arial" w:hAnsi="Arial"/>
          <w:sz w:val="25"/>
          <w:szCs w:val="25"/>
          <w:b w:val="1"/>
          <w:bCs w:val="1"/>
          <w:color w:val="auto"/>
        </w:rPr>
        <w:t>Our Corporate Procurement and Supplier Management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343344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All of the services that entail suppliers that bill in excess of USD 100,000, or represent high or very high criticality, and those that contemplate service periods that extend beyond one year are centralized for management by the Corporate Procurement and Supplier Management team. The remainder of services are managed in a decentralized manner by user areas that require services.</w:t>
      </w:r>
    </w:p>
    <w:p>
      <w:pPr>
        <w:spacing w:after="0" w:line="33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process is transparent, auditable and traceable. It contemplates a segregated functions and controls throughout the procurement process as follows:</w:t>
      </w:r>
    </w:p>
    <w:p>
      <w:pPr>
        <w:spacing w:after="0" w:line="155" w:lineRule="exact"/>
        <w:rPr>
          <w:sz w:val="20"/>
          <w:szCs w:val="20"/>
          <w:color w:val="auto"/>
        </w:rPr>
      </w:pPr>
    </w:p>
    <w:p>
      <w:pPr>
        <w:jc w:val="both"/>
        <w:ind w:left="560" w:right="20" w:hanging="274"/>
        <w:spacing w:after="0" w:line="245" w:lineRule="auto"/>
        <w:tabs>
          <w:tab w:leader="none" w:pos="560"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Supplier filters:</w:t>
      </w:r>
      <w:r>
        <w:rPr>
          <w:rFonts w:ascii="Arial" w:cs="Arial" w:eastAsia="Arial" w:hAnsi="Arial"/>
          <w:sz w:val="15"/>
          <w:szCs w:val="15"/>
          <w:color w:val="auto"/>
        </w:rPr>
        <w:t xml:space="preserve"> we require the supplier company to prove that its financial and legal situations and ethics are consistently up to standard. The supplier provides a sworn statement expressing that it complies with current labor laws and regulations and protects human rights.</w:t>
      </w:r>
    </w:p>
    <w:p>
      <w:pPr>
        <w:spacing w:after="0" w:line="333" w:lineRule="exact"/>
        <w:rPr>
          <w:rFonts w:ascii="Arial" w:cs="Arial" w:eastAsia="Arial" w:hAnsi="Arial"/>
          <w:sz w:val="15"/>
          <w:szCs w:val="15"/>
          <w:color w:val="auto"/>
        </w:rPr>
      </w:pPr>
    </w:p>
    <w:p>
      <w:pPr>
        <w:ind w:left="560" w:hanging="274"/>
        <w:spacing w:after="0"/>
        <w:tabs>
          <w:tab w:leader="none" w:pos="560"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Supplier  standardization:</w:t>
      </w:r>
      <w:r>
        <w:rPr>
          <w:rFonts w:ascii="Arial" w:cs="Arial" w:eastAsia="Arial" w:hAnsi="Arial"/>
          <w:sz w:val="15"/>
          <w:szCs w:val="15"/>
          <w:color w:val="auto"/>
        </w:rPr>
        <w:t xml:space="preserve">  we  conduct  and  ESG  assessment  that</w:t>
      </w:r>
    </w:p>
    <w:p>
      <w:pPr>
        <w:jc w:val="both"/>
        <w:ind w:left="560" w:right="20"/>
        <w:spacing w:after="0" w:line="243" w:lineRule="auto"/>
        <w:rPr>
          <w:rFonts w:ascii="Arial" w:cs="Arial" w:eastAsia="Arial" w:hAnsi="Arial"/>
          <w:sz w:val="15"/>
          <w:szCs w:val="15"/>
          <w:color w:val="auto"/>
        </w:rPr>
      </w:pPr>
      <w:r>
        <w:rPr>
          <w:rFonts w:ascii="Arial" w:cs="Arial" w:eastAsia="Arial" w:hAnsi="Arial"/>
          <w:sz w:val="15"/>
          <w:szCs w:val="15"/>
          <w:color w:val="auto"/>
        </w:rPr>
        <w:t>considers criteria such as: labor formality, occupational health and safety, and environmental factors. In terms of auditing suppliers prior to hiring/purchasing, we apply assessment filters to participants in tenders and those considered in the standardization process. This evaluation is conducted by a rater, who issues a report on the main findings (the issues assessed are included in the ESG Supplier Assessment section.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120</w:t>
      </w:r>
    </w:p>
    <w:p>
      <w:pPr>
        <w:sectPr>
          <w:pgSz w:w="11900" w:h="16838" w:orient="portrait"/>
          <w:cols w:equalWidth="0" w:num="2">
            <w:col w:w="5400" w:space="440"/>
            <w:col w:w="5420"/>
          </w:cols>
          <w:pgMar w:left="320" w:top="279" w:right="319" w:bottom="1440" w:gutter="0" w:footer="0" w:header="0"/>
        </w:sectPr>
      </w:pPr>
    </w:p>
    <w:bookmarkStart w:id="123" w:name="page124"/>
    <w:bookmarkEnd w:id="123"/>
    <w:p>
      <w:pPr>
        <w:spacing w:after="0" w:line="33"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In 2022, we made significant progress in consolidating the Corporate Procurement Governance by applying a centralized model for strategic acquisitions to optimize expenses and investments. Through this system:</w:t>
      </w:r>
    </w:p>
    <w:p>
      <w:pPr>
        <w:spacing w:after="0" w:line="155" w:lineRule="exact"/>
        <w:rPr>
          <w:sz w:val="20"/>
          <w:szCs w:val="20"/>
          <w:color w:val="auto"/>
        </w:rPr>
      </w:pPr>
    </w:p>
    <w:p>
      <w:pPr>
        <w:ind w:left="528" w:hanging="205"/>
        <w:spacing w:after="0"/>
        <w:tabs>
          <w:tab w:leader="none" w:pos="528" w:val="left"/>
        </w:tabs>
        <w:numPr>
          <w:ilvl w:val="0"/>
          <w:numId w:val="77"/>
        </w:numPr>
        <w:rPr>
          <w:rFonts w:ascii="Arial" w:cs="Arial" w:eastAsia="Arial" w:hAnsi="Arial"/>
          <w:sz w:val="15"/>
          <w:szCs w:val="15"/>
          <w:color w:val="auto"/>
        </w:rPr>
      </w:pPr>
      <w:r>
        <w:rPr>
          <w:rFonts w:ascii="Arial" w:cs="Arial" w:eastAsia="Arial" w:hAnsi="Arial"/>
          <w:sz w:val="15"/>
          <w:szCs w:val="15"/>
          <w:color w:val="auto"/>
        </w:rPr>
        <w:t>We centralized 60.9% of the amount agreed to under contract.</w:t>
      </w:r>
    </w:p>
    <w:p>
      <w:pPr>
        <w:ind w:left="528" w:hanging="205"/>
        <w:spacing w:after="0"/>
        <w:tabs>
          <w:tab w:leader="none" w:pos="528" w:val="left"/>
        </w:tabs>
        <w:numPr>
          <w:ilvl w:val="0"/>
          <w:numId w:val="77"/>
        </w:numPr>
        <w:rPr>
          <w:rFonts w:ascii="Arial" w:cs="Arial" w:eastAsia="Arial" w:hAnsi="Arial"/>
          <w:sz w:val="15"/>
          <w:szCs w:val="15"/>
          <w:color w:val="auto"/>
        </w:rPr>
      </w:pPr>
      <w:r>
        <w:rPr>
          <w:rFonts w:ascii="Arial" w:cs="Arial" w:eastAsia="Arial" w:hAnsi="Arial"/>
          <w:sz w:val="15"/>
          <w:szCs w:val="15"/>
          <w:color w:val="auto"/>
        </w:rPr>
        <w:t>We awarded S/ 2,297 million to 279 suppliers</w:t>
      </w:r>
    </w:p>
    <w:p>
      <w:pPr>
        <w:ind w:left="528" w:right="20" w:hanging="205"/>
        <w:spacing w:after="0" w:line="180" w:lineRule="auto"/>
        <w:tabs>
          <w:tab w:leader="none" w:pos="528" w:val="left"/>
        </w:tabs>
        <w:numPr>
          <w:ilvl w:val="0"/>
          <w:numId w:val="77"/>
        </w:numPr>
        <w:rPr>
          <w:rFonts w:ascii="Arial" w:cs="Arial" w:eastAsia="Arial" w:hAnsi="Arial"/>
          <w:sz w:val="15"/>
          <w:szCs w:val="15"/>
          <w:color w:val="auto"/>
        </w:rPr>
      </w:pPr>
      <w:r>
        <w:rPr>
          <w:rFonts w:ascii="Arial" w:cs="Arial" w:eastAsia="Arial" w:hAnsi="Arial"/>
          <w:sz w:val="15"/>
          <w:szCs w:val="15"/>
          <w:color w:val="auto"/>
        </w:rPr>
        <w:t>84.9% of suppliers are local</w:t>
      </w:r>
      <w:r>
        <w:rPr>
          <w:rFonts w:ascii="Arial" w:cs="Arial" w:eastAsia="Arial" w:hAnsi="Arial"/>
          <w:sz w:val="25"/>
          <w:szCs w:val="25"/>
          <w:color w:val="auto"/>
          <w:vertAlign w:val="superscript"/>
        </w:rPr>
        <w:t>37</w:t>
      </w:r>
      <w:r>
        <w:rPr>
          <w:rFonts w:ascii="Arial" w:cs="Arial" w:eastAsia="Arial" w:hAnsi="Arial"/>
          <w:sz w:val="15"/>
          <w:szCs w:val="15"/>
          <w:color w:val="auto"/>
        </w:rPr>
        <w:t>, and 15.1% constitute purchases from foreign suppliers.</w:t>
      </w:r>
    </w:p>
    <w:p>
      <w:pPr>
        <w:ind w:left="528" w:hanging="205"/>
        <w:spacing w:after="0"/>
        <w:tabs>
          <w:tab w:leader="none" w:pos="528" w:val="left"/>
        </w:tabs>
        <w:numPr>
          <w:ilvl w:val="0"/>
          <w:numId w:val="77"/>
        </w:numPr>
        <w:rPr>
          <w:rFonts w:ascii="Arial" w:cs="Arial" w:eastAsia="Arial" w:hAnsi="Arial"/>
          <w:sz w:val="15"/>
          <w:szCs w:val="15"/>
          <w:color w:val="auto"/>
        </w:rPr>
      </w:pPr>
      <w:r>
        <w:rPr>
          <w:rFonts w:ascii="Arial" w:cs="Arial" w:eastAsia="Arial" w:hAnsi="Arial"/>
          <w:sz w:val="15"/>
          <w:szCs w:val="15"/>
          <w:color w:val="auto"/>
        </w:rPr>
        <w:t>Average time to pay suppliers is 10 working days.</w:t>
      </w:r>
    </w:p>
    <w:p>
      <w:pPr>
        <w:spacing w:after="0" w:line="173"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5"/>
          <w:szCs w:val="15"/>
          <w:color w:val="auto"/>
        </w:rPr>
        <w:t>The main categories of expense and investment at Credicorp are discussed in the Category Table for expenses and investment in the Annex section.</w:t>
      </w:r>
    </w:p>
    <w:p>
      <w:pPr>
        <w:spacing w:after="0" w:line="115" w:lineRule="exact"/>
        <w:rPr>
          <w:sz w:val="20"/>
          <w:szCs w:val="20"/>
          <w:color w:val="auto"/>
        </w:rPr>
      </w:pPr>
    </w:p>
    <w:p>
      <w:pPr>
        <w:ind w:left="8" w:right="980"/>
        <w:spacing w:after="0" w:line="273" w:lineRule="auto"/>
        <w:rPr>
          <w:sz w:val="20"/>
          <w:szCs w:val="20"/>
          <w:color w:val="auto"/>
        </w:rPr>
      </w:pPr>
      <w:r>
        <w:rPr>
          <w:rFonts w:ascii="Arial" w:cs="Arial" w:eastAsia="Arial" w:hAnsi="Arial"/>
          <w:sz w:val="25"/>
          <w:szCs w:val="25"/>
          <w:b w:val="1"/>
          <w:bCs w:val="1"/>
          <w:color w:val="auto"/>
        </w:rPr>
        <w:t>Suppliers Aligned with our Ethics and Concept of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343344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20" w:lineRule="exact"/>
        <w:rPr>
          <w:sz w:val="20"/>
          <w:szCs w:val="20"/>
          <w:color w:val="auto"/>
        </w:rPr>
      </w:pPr>
    </w:p>
    <w:p>
      <w:pPr>
        <w:jc w:val="both"/>
        <w:ind w:left="8"/>
        <w:spacing w:after="0" w:line="243" w:lineRule="auto"/>
        <w:rPr>
          <w:sz w:val="20"/>
          <w:szCs w:val="20"/>
          <w:color w:val="auto"/>
        </w:rPr>
      </w:pPr>
      <w:r>
        <w:rPr>
          <w:rFonts w:ascii="Arial" w:cs="Arial" w:eastAsia="Arial" w:hAnsi="Arial"/>
          <w:sz w:val="15"/>
          <w:szCs w:val="15"/>
          <w:color w:val="auto"/>
        </w:rPr>
        <w:t>In 2022, we updated our Code of Conduct for Suppliers and Third-parties, whom we recognize as allies in our quest to achieve our purpose. We seek to ensure that the third-parties with which we establish relations share our values: respect, equity, honesty and sustainability. In alignment with our focus on sustainability and our new Code of Ethics, we have strengthened our approach to issues such as Human Rights, Social Responsibility and Occupational Safety and Health.</w:t>
      </w:r>
    </w:p>
    <w:p>
      <w:pPr>
        <w:spacing w:after="0" w:line="324" w:lineRule="exact"/>
        <w:rPr>
          <w:sz w:val="20"/>
          <w:szCs w:val="20"/>
          <w:color w:val="auto"/>
        </w:rPr>
      </w:pPr>
    </w:p>
    <w:p>
      <w:pPr>
        <w:ind w:left="8" w:right="80"/>
        <w:spacing w:after="0" w:line="213" w:lineRule="auto"/>
        <w:rPr>
          <w:sz w:val="20"/>
          <w:szCs w:val="20"/>
          <w:color w:val="auto"/>
        </w:rPr>
      </w:pPr>
      <w:r>
        <w:rPr>
          <w:rFonts w:ascii="Arial" w:cs="Arial" w:eastAsia="Arial" w:hAnsi="Arial"/>
          <w:sz w:val="15"/>
          <w:szCs w:val="15"/>
          <w:color w:val="auto"/>
        </w:rPr>
        <w:t>This year, we conducted training with 227</w:t>
      </w:r>
      <w:r>
        <w:rPr>
          <w:rFonts w:ascii="Arial" w:cs="Arial" w:eastAsia="Arial" w:hAnsi="Arial"/>
          <w:sz w:val="25"/>
          <w:szCs w:val="25"/>
          <w:color w:val="auto"/>
          <w:vertAlign w:val="superscript"/>
        </w:rPr>
        <w:t>38</w:t>
      </w:r>
      <w:r>
        <w:rPr>
          <w:rFonts w:ascii="Arial" w:cs="Arial" w:eastAsia="Arial" w:hAnsi="Arial"/>
          <w:sz w:val="15"/>
          <w:szCs w:val="15"/>
          <w:color w:val="auto"/>
        </w:rPr>
        <w:t xml:space="preserve"> suppliers on relevant aspects of the Code of Conduct related to Anti-corruptions, Occupational Safety and Health, and the use of our ethics line. The level of satisfaction with this training was 93% T2B</w:t>
      </w:r>
      <w:r>
        <w:rPr>
          <w:rFonts w:ascii="Arial" w:cs="Arial" w:eastAsia="Arial" w:hAnsi="Arial"/>
          <w:sz w:val="15"/>
          <w:szCs w:val="15"/>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68834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166" w:lineRule="exact"/>
        <w:rPr>
          <w:sz w:val="20"/>
          <w:szCs w:val="20"/>
          <w:color w:val="auto"/>
        </w:rPr>
      </w:pPr>
    </w:p>
    <w:p>
      <w:pPr>
        <w:ind w:left="188" w:hanging="188"/>
        <w:spacing w:after="0"/>
        <w:tabs>
          <w:tab w:leader="none" w:pos="188" w:val="left"/>
        </w:tabs>
        <w:numPr>
          <w:ilvl w:val="0"/>
          <w:numId w:val="78"/>
        </w:numPr>
        <w:rPr>
          <w:rFonts w:ascii="Arial" w:cs="Arial" w:eastAsia="Arial" w:hAnsi="Arial"/>
          <w:sz w:val="25"/>
          <w:szCs w:val="25"/>
          <w:color w:val="auto"/>
          <w:vertAlign w:val="superscript"/>
        </w:rPr>
      </w:pPr>
      <w:r>
        <w:rPr>
          <w:rFonts w:ascii="Arial" w:cs="Arial" w:eastAsia="Arial" w:hAnsi="Arial"/>
          <w:sz w:val="15"/>
          <w:szCs w:val="15"/>
          <w:color w:val="auto"/>
        </w:rPr>
        <w:t>Local suppliers are those domiciled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1288415</wp:posOffset>
            </wp:positionV>
            <wp:extent cx="7152640" cy="146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Assessment of ESG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43344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 </w:t>
      </w:r>
      <w:r>
        <w:rPr>
          <w:rFonts w:ascii="Arial" w:cs="Arial" w:eastAsia="Arial" w:hAnsi="Arial"/>
          <w:sz w:val="15"/>
          <w:szCs w:val="15"/>
          <w:color w:val="auto"/>
        </w:rPr>
        <w:t>Human Rights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308-1, 408-1, 409-1, 414-1</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To sustainably manage our value chain, we have designed a process to assess ESG factors within our Standardization process. This questionnaire, which is handled by a rater, contains questions to ascertain compliance with the following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100330</wp:posOffset>
            </wp:positionV>
            <wp:extent cx="2927985" cy="29210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927985" cy="292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hanging="171"/>
        <w:spacing w:after="0"/>
        <w:tabs>
          <w:tab w:leader="none" w:pos="180"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Suppliers with greater exposure to bribery risks.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121</w:t>
      </w:r>
    </w:p>
    <w:p>
      <w:pPr>
        <w:sectPr>
          <w:pgSz w:w="11900" w:h="16838" w:orient="portrait"/>
          <w:cols w:equalWidth="0" w:num="2">
            <w:col w:w="5408" w:space="440"/>
            <w:col w:w="5420"/>
          </w:cols>
          <w:pgMar w:left="312" w:top="279" w:right="319" w:bottom="1440" w:gutter="0" w:footer="0" w:header="0"/>
        </w:sectPr>
      </w:pPr>
    </w:p>
    <w:bookmarkStart w:id="124" w:name="page125"/>
    <w:bookmarkEnd w:id="124"/>
    <w:p>
      <w:pPr>
        <w:spacing w:after="0" w:line="3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Suppliers participating in tenders sign a sworn statement to ensure that we comply with regulations relative to Prevention of Money Laundering and Financing of Terrorism, Anti-corruption and Conflicts of Interest. Additionally, we measure the satisfaction of tender participants with an NPS survey by attributes. The level of satisfaction is 59%.</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Due to the number of suppliers that participate in our tenders, this standardization is applied to suppliers that are assigned to the centralized corporate team and meet the criteria described in the previous section or which provide recurring services with personnel inside the bank. Foreign suppliers are exonerated from this process given that their contracts are signed outside of the jurisdiction of Peruvian law or entail hiring of individuals.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During the standardization process, if the supplier who is flagged for observations (minor, serious or very serious), the measures taken range from allowing time to resolve observations with the assistance of a specialized area to suspension of services.</w:t>
      </w:r>
    </w:p>
    <w:p>
      <w:pPr>
        <w:spacing w:after="0" w:line="157"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color w:val="auto"/>
        </w:rPr>
        <w:t>In 2022, through centralized procurement, we assessed 53% of suppliers subject to standardization processes. Additionally, we renewed 76 standardizations of suppliers that provide services whose horizons extend beyond one year. These assessments identified no instances of employers that present risks of child labor, forced labor or any violation of human rights.</w:t>
      </w:r>
    </w:p>
    <w:p>
      <w:pPr>
        <w:spacing w:after="0" w:line="20" w:lineRule="exact"/>
        <w:rPr>
          <w:sz w:val="20"/>
          <w:szCs w:val="20"/>
          <w:color w:val="auto"/>
        </w:rPr>
      </w:pPr>
      <w:r>
        <w:rPr>
          <w:sz w:val="20"/>
          <w:szCs w:val="20"/>
          <w:color w:val="auto"/>
        </w:rPr>
        <w:br w:type="column"/>
      </w:r>
    </w:p>
    <w:p>
      <w:pPr>
        <w:ind w:right="580"/>
        <w:spacing w:after="0" w:line="256" w:lineRule="auto"/>
        <w:rPr>
          <w:sz w:val="20"/>
          <w:szCs w:val="20"/>
          <w:color w:val="auto"/>
        </w:rPr>
      </w:pPr>
      <w:r>
        <w:rPr>
          <w:rFonts w:ascii="Arial" w:cs="Arial" w:eastAsia="Arial" w:hAnsi="Arial"/>
          <w:sz w:val="25"/>
          <w:szCs w:val="25"/>
          <w:b w:val="1"/>
          <w:bCs w:val="1"/>
          <w:color w:val="auto"/>
        </w:rPr>
        <w:t>Our impact through Social Responsibility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343344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Commitment to Society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413-1</w:t>
      </w:r>
    </w:p>
    <w:p>
      <w:pPr>
        <w:spacing w:after="0"/>
        <w:rPr>
          <w:sz w:val="20"/>
          <w:szCs w:val="20"/>
          <w:color w:val="auto"/>
        </w:rPr>
      </w:pPr>
      <w:r>
        <w:rPr>
          <w:rFonts w:ascii="Arial" w:cs="Arial" w:eastAsia="Arial" w:hAnsi="Arial"/>
          <w:sz w:val="15"/>
          <w:szCs w:val="15"/>
          <w:b w:val="1"/>
          <w:bCs w:val="1"/>
          <w:color w:val="auto"/>
        </w:rPr>
        <w:t>Pillar 3</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Volunteer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43344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10"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We have rolled out a number of initiatives that promote social responsibility, which are driven through our Sustainability Strategy. One of the main initiatives is our volunteer program, which is propelled through each of the Group’s companies (opportunities exist for cooperation between companies). Volunteering impacts three groups: volunteers, companies and society. These efforts allow employees to live and connect with the organization’s purpose as they develop soft skills, which positively effects their development and that of the organization. Last but not least, volunteering serves as a great mobilizer for social impact. At Credicorp, we generate impact through the following programs:</w:t>
      </w:r>
    </w:p>
    <w:p>
      <w:pPr>
        <w:spacing w:after="0" w:line="337" w:lineRule="exact"/>
        <w:rPr>
          <w:sz w:val="20"/>
          <w:szCs w:val="20"/>
          <w:color w:val="auto"/>
        </w:rPr>
      </w:pPr>
    </w:p>
    <w:p>
      <w:pPr>
        <w:ind w:left="840" w:hanging="554"/>
        <w:spacing w:after="0"/>
        <w:tabs>
          <w:tab w:leader="none" w:pos="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Training for business people</w:t>
      </w:r>
    </w:p>
    <w:p>
      <w:pPr>
        <w:ind w:left="840" w:hanging="554"/>
        <w:spacing w:after="0"/>
        <w:tabs>
          <w:tab w:leader="none" w:pos="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Improving the quality of life of vulnerable populations</w:t>
      </w:r>
    </w:p>
    <w:p>
      <w:pPr>
        <w:ind w:left="840" w:hanging="554"/>
        <w:spacing w:after="0"/>
        <w:tabs>
          <w:tab w:leader="none" w:pos="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Financial inclusion and education</w:t>
      </w:r>
    </w:p>
    <w:p>
      <w:pPr>
        <w:jc w:val="both"/>
        <w:spacing w:after="0" w:line="249" w:lineRule="auto"/>
        <w:rPr>
          <w:sz w:val="20"/>
          <w:szCs w:val="20"/>
          <w:color w:val="auto"/>
        </w:rPr>
      </w:pPr>
      <w:r>
        <w:rPr>
          <w:rFonts w:ascii="Arial" w:cs="Arial" w:eastAsia="Arial" w:hAnsi="Arial"/>
          <w:sz w:val="15"/>
          <w:szCs w:val="15"/>
          <w:color w:val="auto"/>
        </w:rPr>
        <w:t>To learn about our employees’ work and impact, we created the following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216535</wp:posOffset>
            </wp:positionV>
            <wp:extent cx="2379345" cy="9956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379345" cy="99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Our volunteers receive a number of benefits, including training to strengthen professional and personal skills. In 2022, we launched our second consecutive training program for Credicorp volunteers: “Cada día somos más". This initiative provided digital and storytelling tools and each company invited a group of volunteers to exchange knowledge. More than 170 volunteers in Peru, Chile, Panamá, Colombia and Bolivia connected in this space.</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79" w:right="319" w:bottom="1440" w:gutter="0" w:footer="0" w:header="0"/>
        </w:sectPr>
      </w:pPr>
    </w:p>
    <w:bookmarkStart w:id="125" w:name="page126"/>
    <w:bookmarkEnd w:id="125"/>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2022, we also rolled out the first edition of our competition for volunteers: “Pasantía con Impacto” at BCP Bolivia, where 25 teams of Credicorp volunteers participated with innovative proposals to strengthen the program “Operación Sonrisa.” Five vounteer teams from Mibanco Colombia, BCP Perú, Pacifico and Credicorp Capital had the opportunity to present their initiatives to a jury comprised of Luis Romero, CEO of Credicorp’s Board; Darice Gubbins, Head de Sustainability at Credicorp and Cecilia Vaca, director Fundación Operación Sonrisa. Mi</w:t>
      </w:r>
      <w:r>
        <w:rPr>
          <w:rFonts w:ascii="Arial" w:cs="Arial" w:eastAsia="Arial" w:hAnsi="Arial"/>
          <w:sz w:val="15"/>
          <w:szCs w:val="15"/>
          <w:u w:val="single" w:color="auto"/>
          <w:color w:val="6D5700"/>
        </w:rPr>
        <w:t>banco</w:t>
      </w:r>
      <w:r>
        <w:rPr>
          <w:rFonts w:ascii="Arial" w:cs="Arial" w:eastAsia="Arial" w:hAnsi="Arial"/>
          <w:sz w:val="15"/>
          <w:szCs w:val="15"/>
          <w:color w:val="auto"/>
        </w:rPr>
        <w:t xml:space="preserve"> </w:t>
      </w:r>
      <w:r>
        <w:rPr>
          <w:rFonts w:ascii="Arial" w:cs="Arial" w:eastAsia="Arial" w:hAnsi="Arial"/>
          <w:sz w:val="15"/>
          <w:szCs w:val="15"/>
          <w:color w:val="6D5700"/>
          <w:strike w:val="1"/>
        </w:rPr>
        <w:t>Banco</w:t>
      </w:r>
      <w:r>
        <w:rPr>
          <w:rFonts w:ascii="Arial" w:cs="Arial" w:eastAsia="Arial" w:hAnsi="Arial"/>
          <w:sz w:val="15"/>
          <w:szCs w:val="15"/>
          <w:color w:val="auto"/>
        </w:rPr>
        <w:t xml:space="preserve"> Colombia’s team was selected as the winner.</w:t>
      </w:r>
    </w:p>
    <w:p>
      <w:pPr>
        <w:spacing w:after="0" w:line="33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In addition to the corporate volunteer program, our subsidiaries work on their own initiatives: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14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5"/>
                <w:szCs w:val="15"/>
                <w:b w:val="1"/>
                <w:bCs w:val="1"/>
                <w:color w:val="auto"/>
              </w:rPr>
              <w:t>Programs</w:t>
            </w:r>
          </w:p>
        </w:tc>
        <w:tc>
          <w:tcPr>
            <w:tcW w:w="10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b w:val="1"/>
                <w:bCs w:val="1"/>
                <w:color w:val="auto"/>
              </w:rPr>
              <w:t>Company</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Impact</w:t>
            </w:r>
          </w:p>
        </w:tc>
        <w:tc>
          <w:tcPr>
            <w:tcW w:w="214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5"/>
                <w:szCs w:val="15"/>
                <w:b w:val="1"/>
                <w:bCs w:val="1"/>
                <w:color w:val="auto"/>
              </w:rPr>
              <w:t>Activity</w:t>
            </w:r>
          </w:p>
        </w:tc>
      </w:tr>
      <w:tr>
        <w:trPr>
          <w:trHeight w:val="164"/>
        </w:trPr>
        <w:tc>
          <w:tcPr>
            <w:tcW w:w="114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Volunteers for</w:t>
            </w:r>
          </w:p>
        </w:tc>
        <w:tc>
          <w:tcPr>
            <w:tcW w:w="10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BCP, Pac</w:t>
            </w:r>
            <w:r>
              <w:rPr>
                <w:rFonts w:ascii="Arial" w:cs="Arial" w:eastAsia="Arial" w:hAnsi="Arial"/>
                <w:sz w:val="15"/>
                <w:szCs w:val="15"/>
                <w:u w:val="single" w:color="auto"/>
                <w:color w:val="6D5700"/>
              </w:rPr>
              <w:t>í</w:t>
            </w:r>
            <w:r>
              <w:rPr>
                <w:rFonts w:ascii="Arial" w:cs="Arial" w:eastAsia="Arial" w:hAnsi="Arial"/>
                <w:sz w:val="15"/>
                <w:szCs w:val="15"/>
                <w:color w:val="6D5700"/>
                <w:strike w:val="1"/>
              </w:rPr>
              <w:t>ï</w:t>
            </w:r>
            <w:r>
              <w:rPr>
                <w:rFonts w:ascii="Arial" w:cs="Arial" w:eastAsia="Arial" w:hAnsi="Arial"/>
                <w:sz w:val="15"/>
                <w:szCs w:val="15"/>
                <w:color w:val="auto"/>
              </w:rPr>
              <w:t>fico</w:t>
            </w:r>
          </w:p>
        </w:tc>
        <w:tc>
          <w:tcPr>
            <w:tcW w:w="1080" w:type="dxa"/>
            <w:vAlign w:val="bottom"/>
            <w:tcBorders>
              <w:right w:val="single" w:sz="8" w:color="auto"/>
            </w:tcBorders>
          </w:tcPr>
          <w:p>
            <w:pPr>
              <w:ind w:left="180"/>
              <w:spacing w:after="0" w:line="164" w:lineRule="exact"/>
              <w:rPr>
                <w:sz w:val="20"/>
                <w:szCs w:val="20"/>
                <w:color w:val="auto"/>
              </w:rPr>
            </w:pPr>
            <w:r>
              <w:rPr>
                <w:rFonts w:ascii="Arial" w:cs="Arial" w:eastAsia="Arial" w:hAnsi="Arial"/>
                <w:sz w:val="15"/>
                <w:szCs w:val="15"/>
                <w:color w:val="auto"/>
              </w:rPr>
              <w:t>+148</w:t>
            </w:r>
          </w:p>
        </w:tc>
        <w:tc>
          <w:tcPr>
            <w:tcW w:w="21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Rehabilitated public schools in</w:t>
            </w:r>
          </w:p>
        </w:tc>
      </w:tr>
      <w:tr>
        <w:trPr>
          <w:trHeight w:val="173"/>
        </w:trPr>
        <w:tc>
          <w:tcPr>
            <w:tcW w:w="1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Seguros,</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volunteers</w:t>
            </w:r>
          </w:p>
        </w:tc>
        <w:tc>
          <w:tcPr>
            <w:tcW w:w="2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Arequipa, Piura and Lima to</w:t>
            </w: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Mibanco Perú</w:t>
            </w:r>
          </w:p>
        </w:tc>
        <w:tc>
          <w:tcPr>
            <w:tcW w:w="10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help   children   and   young</w:t>
            </w: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and Prima</w:t>
            </w:r>
          </w:p>
        </w:tc>
        <w:tc>
          <w:tcPr>
            <w:tcW w:w="10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people reinsert in school life</w:t>
            </w:r>
          </w:p>
        </w:tc>
      </w:tr>
      <w:tr>
        <w:trPr>
          <w:trHeight w:val="174"/>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AFP</w:t>
            </w:r>
          </w:p>
        </w:tc>
        <w:tc>
          <w:tcPr>
            <w:tcW w:w="108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after the pandemic.</w:t>
            </w:r>
          </w:p>
        </w:tc>
      </w:tr>
      <w:tr>
        <w:trPr>
          <w:trHeight w:val="152"/>
        </w:trPr>
        <w:tc>
          <w:tcPr>
            <w:tcW w:w="1140" w:type="dxa"/>
            <w:vAlign w:val="bottom"/>
            <w:tcBorders>
              <w:left w:val="single" w:sz="8" w:color="auto"/>
              <w:right w:val="single" w:sz="8" w:color="auto"/>
            </w:tcBorders>
          </w:tcPr>
          <w:p>
            <w:pPr>
              <w:spacing w:after="0" w:line="152" w:lineRule="exact"/>
              <w:rPr>
                <w:sz w:val="20"/>
                <w:szCs w:val="20"/>
                <w:color w:val="auto"/>
              </w:rPr>
            </w:pPr>
            <w:r>
              <w:rPr>
                <w:rFonts w:ascii="Arial" w:cs="Arial" w:eastAsia="Arial" w:hAnsi="Arial"/>
                <w:sz w:val="15"/>
                <w:szCs w:val="15"/>
                <w:color w:val="auto"/>
              </w:rPr>
              <w:t>Contigo</w:t>
            </w:r>
          </w:p>
        </w:tc>
        <w:tc>
          <w:tcPr>
            <w:tcW w:w="1040" w:type="dxa"/>
            <w:vAlign w:val="bottom"/>
            <w:tcBorders>
              <w:right w:val="single" w:sz="8" w:color="auto"/>
            </w:tcBorders>
          </w:tcPr>
          <w:p>
            <w:pPr>
              <w:spacing w:after="0" w:line="152" w:lineRule="exact"/>
              <w:rPr>
                <w:sz w:val="20"/>
                <w:szCs w:val="20"/>
                <w:color w:val="auto"/>
              </w:rPr>
            </w:pPr>
            <w:r>
              <w:rPr>
                <w:rFonts w:ascii="Arial" w:cs="Arial" w:eastAsia="Arial" w:hAnsi="Arial"/>
                <w:sz w:val="15"/>
                <w:szCs w:val="15"/>
                <w:color w:val="auto"/>
              </w:rPr>
              <w:t>BCP, Pacífico</w:t>
            </w:r>
          </w:p>
        </w:tc>
        <w:tc>
          <w:tcPr>
            <w:tcW w:w="108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+270</w:t>
            </w:r>
          </w:p>
        </w:tc>
        <w:tc>
          <w:tcPr>
            <w:tcW w:w="2140" w:type="dxa"/>
            <w:vAlign w:val="bottom"/>
            <w:tcBorders>
              <w:right w:val="single" w:sz="8" w:color="auto"/>
            </w:tcBorders>
          </w:tcPr>
          <w:p>
            <w:pPr>
              <w:spacing w:after="0" w:line="152" w:lineRule="exact"/>
              <w:rPr>
                <w:sz w:val="20"/>
                <w:szCs w:val="20"/>
                <w:color w:val="auto"/>
              </w:rPr>
            </w:pPr>
            <w:r>
              <w:rPr>
                <w:rFonts w:ascii="Arial" w:cs="Arial" w:eastAsia="Arial" w:hAnsi="Arial"/>
                <w:sz w:val="15"/>
                <w:szCs w:val="15"/>
                <w:color w:val="auto"/>
              </w:rPr>
              <w:t>On-line workshop</w:t>
            </w:r>
          </w:p>
        </w:tc>
      </w:tr>
      <w:tr>
        <w:trPr>
          <w:trHeight w:val="184"/>
        </w:trPr>
        <w:tc>
          <w:tcPr>
            <w:tcW w:w="1140" w:type="dxa"/>
            <w:vAlign w:val="bottom"/>
            <w:tcBorders>
              <w:left w:val="single" w:sz="8" w:color="auto"/>
              <w:right w:val="single" w:sz="8" w:color="auto"/>
            </w:tcBorders>
          </w:tcPr>
          <w:p>
            <w:pPr>
              <w:spacing w:after="0" w:line="185" w:lineRule="exact"/>
              <w:rPr>
                <w:sz w:val="20"/>
                <w:szCs w:val="20"/>
                <w:color w:val="auto"/>
              </w:rPr>
            </w:pPr>
            <w:r>
              <w:rPr>
                <w:rFonts w:ascii="Arial" w:cs="Arial" w:eastAsia="Arial" w:hAnsi="Arial"/>
                <w:sz w:val="13"/>
                <w:szCs w:val="13"/>
                <w:color w:val="auto"/>
              </w:rPr>
              <w:t>Emprendedor</w:t>
            </w:r>
            <w:r>
              <w:rPr>
                <w:rFonts w:ascii="Arial" w:cs="Arial" w:eastAsia="Arial" w:hAnsi="Arial"/>
                <w:sz w:val="21"/>
                <w:szCs w:val="21"/>
                <w:color w:val="auto"/>
                <w:vertAlign w:val="superscript"/>
              </w:rPr>
              <w:t>38</w:t>
            </w: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Seguros and</w:t>
            </w:r>
          </w:p>
        </w:tc>
        <w:tc>
          <w:tcPr>
            <w:tcW w:w="1080" w:type="dxa"/>
            <w:vAlign w:val="bottom"/>
            <w:tcBorders>
              <w:right w:val="single" w:sz="8" w:color="auto"/>
            </w:tcBorders>
          </w:tcPr>
          <w:p>
            <w:pPr>
              <w:jc w:val="center"/>
              <w:ind w:right="3"/>
              <w:spacing w:after="0"/>
              <w:rPr>
                <w:sz w:val="20"/>
                <w:szCs w:val="20"/>
                <w:color w:val="auto"/>
              </w:rPr>
            </w:pPr>
            <w:r>
              <w:rPr>
                <w:rFonts w:ascii="Arial" w:cs="Arial" w:eastAsia="Arial" w:hAnsi="Arial"/>
                <w:sz w:val="15"/>
                <w:szCs w:val="15"/>
                <w:color w:val="auto"/>
              </w:rPr>
              <w:t>volunteers</w:t>
            </w:r>
          </w:p>
        </w:tc>
        <w:tc>
          <w:tcPr>
            <w:tcW w:w="2140" w:type="dxa"/>
            <w:vAlign w:val="bottom"/>
            <w:tcBorders>
              <w:right w:val="single" w:sz="8" w:color="auto"/>
            </w:tcBorders>
          </w:tcPr>
          <w:p>
            <w:pPr>
              <w:spacing w:after="0"/>
              <w:rPr>
                <w:sz w:val="16"/>
                <w:szCs w:val="16"/>
                <w:color w:val="auto"/>
              </w:rPr>
            </w:pP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Prima AFP</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+7,600</w:t>
            </w:r>
          </w:p>
        </w:tc>
        <w:tc>
          <w:tcPr>
            <w:tcW w:w="2140" w:type="dxa"/>
            <w:vAlign w:val="bottom"/>
            <w:tcBorders>
              <w:right w:val="single" w:sz="8" w:color="auto"/>
            </w:tcBorders>
          </w:tcPr>
          <w:p>
            <w:pPr>
              <w:spacing w:after="0"/>
              <w:rPr>
                <w:sz w:val="15"/>
                <w:szCs w:val="15"/>
                <w:color w:val="auto"/>
              </w:rPr>
            </w:pPr>
          </w:p>
        </w:tc>
      </w:tr>
      <w:tr>
        <w:trPr>
          <w:trHeight w:val="174"/>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5"/>
                <w:szCs w:val="15"/>
                <w:color w:val="auto"/>
              </w:rPr>
              <w:t>participants</w:t>
            </w:r>
          </w:p>
        </w:tc>
        <w:tc>
          <w:tcPr>
            <w:tcW w:w="2140" w:type="dxa"/>
            <w:vAlign w:val="bottom"/>
            <w:tcBorders>
              <w:bottom w:val="single" w:sz="8" w:color="auto"/>
              <w:right w:val="single" w:sz="8" w:color="auto"/>
            </w:tcBorders>
          </w:tcPr>
          <w:p>
            <w:pPr>
              <w:spacing w:after="0"/>
              <w:rPr>
                <w:sz w:val="15"/>
                <w:szCs w:val="15"/>
                <w:color w:val="auto"/>
              </w:rPr>
            </w:pPr>
          </w:p>
        </w:tc>
      </w:tr>
      <w:tr>
        <w:trPr>
          <w:trHeight w:val="164"/>
        </w:trPr>
        <w:tc>
          <w:tcPr>
            <w:tcW w:w="1140" w:type="dxa"/>
            <w:vAlign w:val="bottom"/>
            <w:tcBorders>
              <w:left w:val="single" w:sz="8" w:color="auto"/>
              <w:right w:val="single" w:sz="8" w:color="auto"/>
            </w:tcBorders>
          </w:tcPr>
          <w:p>
            <w:pPr>
              <w:spacing w:after="0"/>
              <w:rPr>
                <w:sz w:val="14"/>
                <w:szCs w:val="14"/>
                <w:color w:val="auto"/>
              </w:rPr>
            </w:pPr>
          </w:p>
        </w:tc>
        <w:tc>
          <w:tcPr>
            <w:tcW w:w="10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BCP, Pacífico</w:t>
            </w:r>
          </w:p>
        </w:tc>
        <w:tc>
          <w:tcPr>
            <w:tcW w:w="10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+240</w:t>
            </w:r>
          </w:p>
        </w:tc>
        <w:tc>
          <w:tcPr>
            <w:tcW w:w="21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Online mentoring</w:t>
            </w: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Seguros, BCP</w:t>
            </w:r>
          </w:p>
        </w:tc>
        <w:tc>
          <w:tcPr>
            <w:tcW w:w="1080" w:type="dxa"/>
            <w:vAlign w:val="bottom"/>
            <w:tcBorders>
              <w:right w:val="single" w:sz="8" w:color="auto"/>
            </w:tcBorders>
          </w:tcPr>
          <w:p>
            <w:pPr>
              <w:jc w:val="center"/>
              <w:ind w:right="3"/>
              <w:spacing w:after="0"/>
              <w:rPr>
                <w:sz w:val="20"/>
                <w:szCs w:val="20"/>
                <w:color w:val="auto"/>
              </w:rPr>
            </w:pPr>
            <w:r>
              <w:rPr>
                <w:rFonts w:ascii="Arial" w:cs="Arial" w:eastAsia="Arial" w:hAnsi="Arial"/>
                <w:sz w:val="15"/>
                <w:szCs w:val="15"/>
                <w:color w:val="auto"/>
              </w:rPr>
              <w:t>volunteers</w:t>
            </w:r>
          </w:p>
        </w:tc>
        <w:tc>
          <w:tcPr>
            <w:tcW w:w="2140" w:type="dxa"/>
            <w:vAlign w:val="bottom"/>
            <w:tcBorders>
              <w:right w:val="single" w:sz="8" w:color="auto"/>
            </w:tcBorders>
          </w:tcPr>
          <w:p>
            <w:pPr>
              <w:spacing w:after="0"/>
              <w:rPr>
                <w:sz w:val="15"/>
                <w:szCs w:val="15"/>
                <w:color w:val="auto"/>
              </w:rPr>
            </w:pP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Bolivia,</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+500</w:t>
            </w:r>
          </w:p>
        </w:tc>
        <w:tc>
          <w:tcPr>
            <w:tcW w:w="2140" w:type="dxa"/>
            <w:vAlign w:val="bottom"/>
            <w:tcBorders>
              <w:right w:val="single" w:sz="8" w:color="auto"/>
            </w:tcBorders>
          </w:tcPr>
          <w:p>
            <w:pPr>
              <w:spacing w:after="0"/>
              <w:rPr>
                <w:sz w:val="15"/>
                <w:szCs w:val="15"/>
                <w:color w:val="auto"/>
              </w:rPr>
            </w:pP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Mibanco</w:t>
            </w:r>
          </w:p>
        </w:tc>
        <w:tc>
          <w:tcPr>
            <w:tcW w:w="1080" w:type="dxa"/>
            <w:vAlign w:val="bottom"/>
            <w:tcBorders>
              <w:right w:val="single" w:sz="8" w:color="auto"/>
            </w:tcBorders>
          </w:tcPr>
          <w:p>
            <w:pPr>
              <w:jc w:val="center"/>
              <w:ind w:right="3"/>
              <w:spacing w:after="0"/>
              <w:rPr>
                <w:sz w:val="20"/>
                <w:szCs w:val="20"/>
                <w:color w:val="auto"/>
              </w:rPr>
            </w:pPr>
            <w:r>
              <w:rPr>
                <w:rFonts w:ascii="Arial" w:cs="Arial" w:eastAsia="Arial" w:hAnsi="Arial"/>
                <w:sz w:val="15"/>
                <w:szCs w:val="15"/>
                <w:color w:val="auto"/>
              </w:rPr>
              <w:t>entrepreneurs</w:t>
            </w:r>
          </w:p>
        </w:tc>
        <w:tc>
          <w:tcPr>
            <w:tcW w:w="2140" w:type="dxa"/>
            <w:vAlign w:val="bottom"/>
            <w:tcBorders>
              <w:right w:val="single" w:sz="8" w:color="auto"/>
            </w:tcBorders>
          </w:tcPr>
          <w:p>
            <w:pPr>
              <w:spacing w:after="0"/>
              <w:rPr>
                <w:sz w:val="15"/>
                <w:szCs w:val="15"/>
                <w:color w:val="auto"/>
              </w:rPr>
            </w:pPr>
          </w:p>
        </w:tc>
      </w:tr>
      <w:tr>
        <w:trPr>
          <w:trHeight w:val="174"/>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Colombia</w:t>
            </w:r>
          </w:p>
        </w:tc>
        <w:tc>
          <w:tcPr>
            <w:tcW w:w="108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r>
      <w:tr>
        <w:trPr>
          <w:trHeight w:val="164"/>
        </w:trPr>
        <w:tc>
          <w:tcPr>
            <w:tcW w:w="114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Sonrisas</w:t>
            </w:r>
          </w:p>
        </w:tc>
        <w:tc>
          <w:tcPr>
            <w:tcW w:w="10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Prima AFP y</w:t>
            </w:r>
          </w:p>
        </w:tc>
        <w:tc>
          <w:tcPr>
            <w:tcW w:w="108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+38 volunteers</w:t>
            </w:r>
          </w:p>
        </w:tc>
        <w:tc>
          <w:tcPr>
            <w:tcW w:w="21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Accompaniment for senior</w:t>
            </w:r>
          </w:p>
        </w:tc>
      </w:tr>
      <w:tr>
        <w:trPr>
          <w:trHeight w:val="173"/>
        </w:trPr>
        <w:tc>
          <w:tcPr>
            <w:tcW w:w="1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Virtuales</w:t>
            </w: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BCP</w:t>
            </w:r>
          </w:p>
        </w:tc>
        <w:tc>
          <w:tcPr>
            <w:tcW w:w="10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citizens in nursing homes in</w:t>
            </w:r>
          </w:p>
        </w:tc>
      </w:tr>
      <w:tr>
        <w:trPr>
          <w:trHeight w:val="174"/>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Lima and Moquegua</w:t>
            </w:r>
          </w:p>
        </w:tc>
      </w:tr>
      <w:tr>
        <w:trPr>
          <w:trHeight w:val="164"/>
        </w:trPr>
        <w:tc>
          <w:tcPr>
            <w:tcW w:w="114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Cada día</w:t>
            </w:r>
          </w:p>
        </w:tc>
        <w:tc>
          <w:tcPr>
            <w:tcW w:w="10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Credicorp + 7</w:t>
            </w:r>
          </w:p>
        </w:tc>
        <w:tc>
          <w:tcPr>
            <w:tcW w:w="108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Training</w:t>
            </w:r>
          </w:p>
        </w:tc>
      </w:tr>
      <w:tr>
        <w:trPr>
          <w:trHeight w:val="174"/>
        </w:trPr>
        <w:tc>
          <w:tcPr>
            <w:tcW w:w="1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5"/>
                <w:szCs w:val="15"/>
                <w:color w:val="auto"/>
              </w:rPr>
              <w:t>somos más</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subsidiaries</w:t>
            </w:r>
          </w:p>
        </w:tc>
        <w:tc>
          <w:tcPr>
            <w:tcW w:w="108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r>
      <w:tr>
        <w:trPr>
          <w:trHeight w:val="164"/>
        </w:trPr>
        <w:tc>
          <w:tcPr>
            <w:tcW w:w="114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Comunidad</w:t>
            </w:r>
          </w:p>
        </w:tc>
        <w:tc>
          <w:tcPr>
            <w:tcW w:w="10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Pacífico</w:t>
            </w:r>
          </w:p>
        </w:tc>
        <w:tc>
          <w:tcPr>
            <w:tcW w:w="108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+100</w:t>
            </w:r>
          </w:p>
        </w:tc>
        <w:tc>
          <w:tcPr>
            <w:tcW w:w="214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Educating families and</w:t>
            </w:r>
          </w:p>
        </w:tc>
      </w:tr>
      <w:tr>
        <w:trPr>
          <w:trHeight w:val="173"/>
        </w:trPr>
        <w:tc>
          <w:tcPr>
            <w:tcW w:w="1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Segura</w:t>
            </w:r>
          </w:p>
        </w:tc>
        <w:tc>
          <w:tcPr>
            <w:tcW w:w="10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Seguros</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volunteers</w:t>
            </w:r>
          </w:p>
        </w:tc>
        <w:tc>
          <w:tcPr>
            <w:tcW w:w="2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entrepreneurs about risk</w:t>
            </w: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prevention for the household</w:t>
            </w: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+1080 hours</w:t>
            </w:r>
          </w:p>
        </w:tc>
        <w:tc>
          <w:tcPr>
            <w:tcW w:w="2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and businesses</w:t>
            </w:r>
          </w:p>
        </w:tc>
      </w:tr>
      <w:tr>
        <w:trPr>
          <w:trHeight w:val="173"/>
        </w:trPr>
        <w:tc>
          <w:tcPr>
            <w:tcW w:w="114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volunteer</w:t>
            </w:r>
          </w:p>
        </w:tc>
        <w:tc>
          <w:tcPr>
            <w:tcW w:w="2140" w:type="dxa"/>
            <w:vAlign w:val="bottom"/>
            <w:tcBorders>
              <w:right w:val="single" w:sz="8" w:color="auto"/>
            </w:tcBorders>
          </w:tcPr>
          <w:p>
            <w:pPr>
              <w:spacing w:after="0"/>
              <w:rPr>
                <w:sz w:val="15"/>
                <w:szCs w:val="15"/>
                <w:color w:val="auto"/>
              </w:rPr>
            </w:pPr>
          </w:p>
        </w:tc>
      </w:tr>
      <w:tr>
        <w:trPr>
          <w:trHeight w:val="174"/>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hours</w:t>
            </w:r>
          </w:p>
        </w:tc>
        <w:tc>
          <w:tcPr>
            <w:tcW w:w="214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VOCES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43344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We are convinced that when young people are empowered, their creativity and strength are converted into energy to create high-impact ideas that generate change in societies. For this reason, we launched the VOCES program, an initiative designed to identify and promote the development of efforts created by young people in the region. Our objective is to ensure that VOCES become a platform to seek out, debate and expand the scope collective solutions to the region’s challenges while generating viable alternatives to build more quotative countries.</w:t>
      </w:r>
    </w:p>
    <w:p>
      <w:pPr>
        <w:spacing w:after="0" w:line="15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For its first edition in 2022, VOCES became “VOCES for inclusion.” This effort brought together young people from the region, who voiced ideas to drive employment, education and financial inclusion through digitalization. People between the ages of 18 and 32 from Bolivia, Chile, Colombia, Panama and Peru were invited to participate.</w:t>
      </w:r>
    </w:p>
    <w:p>
      <w:pPr>
        <w:spacing w:after="0" w:line="138" w:lineRule="exact"/>
        <w:rPr>
          <w:sz w:val="20"/>
          <w:szCs w:val="20"/>
          <w:color w:val="auto"/>
        </w:rPr>
      </w:pPr>
    </w:p>
    <w:tbl>
      <w:tblPr>
        <w:tblLayout w:type="fixed"/>
        <w:tblInd w:w="290" w:type="dxa"/>
        <w:tblCellMar>
          <w:top w:w="0" w:type="dxa"/>
          <w:left w:w="0" w:type="dxa"/>
          <w:bottom w:w="0" w:type="dxa"/>
          <w:right w:w="0" w:type="dxa"/>
        </w:tblCellMar>
      </w:tblPr>
      <w:tr>
        <w:trPr>
          <w:trHeight w:val="184"/>
        </w:trPr>
        <w:tc>
          <w:tcPr>
            <w:tcW w:w="1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955</w:t>
            </w:r>
          </w:p>
        </w:tc>
        <w:tc>
          <w:tcPr>
            <w:tcW w:w="270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initiatives</w:t>
            </w:r>
          </w:p>
        </w:tc>
        <w:tc>
          <w:tcPr>
            <w:tcW w:w="2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 xml:space="preserve">VOCES was presented in </w:t>
            </w:r>
            <w:r>
              <w:rPr>
                <w:rFonts w:ascii="Arial" w:cs="Arial" w:eastAsia="Arial" w:hAnsi="Arial"/>
                <w:sz w:val="15"/>
                <w:szCs w:val="15"/>
                <w:b w:val="1"/>
                <w:bCs w:val="1"/>
                <w:color w:val="auto"/>
              </w:rPr>
              <w:t>+48</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 xml:space="preserve">10 </w:t>
            </w:r>
            <w:r>
              <w:rPr>
                <w:rFonts w:ascii="Arial" w:cs="Arial" w:eastAsia="Arial" w:hAnsi="Arial"/>
                <w:sz w:val="15"/>
                <w:szCs w:val="15"/>
                <w:color w:val="auto"/>
              </w:rPr>
              <w:t>finalist</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were</w:t>
            </w:r>
          </w:p>
        </w:tc>
        <w:tc>
          <w:tcPr>
            <w:tcW w:w="27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0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rPr>
              <w:t>ideas</w:t>
            </w:r>
          </w:p>
        </w:tc>
        <w:tc>
          <w:tcPr>
            <w:tcW w:w="0" w:type="dxa"/>
            <w:vAlign w:val="bottom"/>
          </w:tcPr>
          <w:p>
            <w:pPr>
              <w:spacing w:after="0"/>
              <w:rPr>
                <w:sz w:val="1"/>
                <w:szCs w:val="1"/>
                <w:color w:val="auto"/>
              </w:rPr>
            </w:pPr>
          </w:p>
        </w:tc>
      </w:tr>
      <w:tr>
        <w:trPr>
          <w:trHeight w:val="63"/>
        </w:trPr>
        <w:tc>
          <w:tcPr>
            <w:tcW w:w="1100" w:type="dxa"/>
            <w:vAlign w:val="bottom"/>
            <w:tcBorders>
              <w:left w:val="single" w:sz="8" w:color="auto"/>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rPr>
              <w:t>presented</w:t>
            </w:r>
          </w:p>
        </w:tc>
        <w:tc>
          <w:tcPr>
            <w:tcW w:w="27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rPr>
              <w:t>prestigious Latin American academic</w:t>
            </w:r>
          </w:p>
        </w:tc>
        <w:tc>
          <w:tcPr>
            <w:tcW w:w="10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110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15"/>
                <w:szCs w:val="15"/>
                <w:color w:val="auto"/>
              </w:rPr>
              <w:t>winning</w:t>
            </w:r>
          </w:p>
        </w:tc>
        <w:tc>
          <w:tcPr>
            <w:tcW w:w="0" w:type="dxa"/>
            <w:vAlign w:val="bottom"/>
          </w:tcPr>
          <w:p>
            <w:pPr>
              <w:spacing w:after="0"/>
              <w:rPr>
                <w:sz w:val="1"/>
                <w:szCs w:val="1"/>
                <w:color w:val="auto"/>
              </w:rPr>
            </w:pPr>
          </w:p>
        </w:tc>
      </w:tr>
      <w:tr>
        <w:trPr>
          <w:trHeight w:val="99"/>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 xml:space="preserve">from </w:t>
            </w:r>
            <w:r>
              <w:rPr>
                <w:rFonts w:ascii="Arial" w:cs="Arial" w:eastAsia="Arial" w:hAnsi="Arial"/>
                <w:sz w:val="15"/>
                <w:szCs w:val="15"/>
                <w:b w:val="1"/>
                <w:bCs w:val="1"/>
                <w:color w:val="auto"/>
              </w:rPr>
              <w:t>+1,400</w:t>
            </w:r>
          </w:p>
        </w:tc>
        <w:tc>
          <w:tcPr>
            <w:tcW w:w="2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organizations</w:t>
            </w:r>
          </w:p>
        </w:tc>
        <w:tc>
          <w:tcPr>
            <w:tcW w:w="1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0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ideas</w:t>
            </w:r>
          </w:p>
        </w:tc>
        <w:tc>
          <w:tcPr>
            <w:tcW w:w="0" w:type="dxa"/>
            <w:vAlign w:val="bottom"/>
          </w:tcPr>
          <w:p>
            <w:pPr>
              <w:spacing w:after="0"/>
              <w:rPr>
                <w:sz w:val="1"/>
                <w:szCs w:val="1"/>
                <w:color w:val="auto"/>
              </w:rPr>
            </w:pPr>
          </w:p>
        </w:tc>
      </w:tr>
      <w:tr>
        <w:trPr>
          <w:trHeight w:val="93"/>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young</w:t>
            </w:r>
          </w:p>
        </w:tc>
        <w:tc>
          <w:tcPr>
            <w:tcW w:w="27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right w:val="single" w:sz="8" w:color="auto"/>
            </w:tcBorders>
            <w:vMerge w:val="continue"/>
          </w:tcPr>
          <w:p>
            <w:pPr>
              <w:spacing w:after="0"/>
              <w:rPr>
                <w:sz w:val="6"/>
                <w:szCs w:val="6"/>
                <w:color w:val="auto"/>
              </w:rPr>
            </w:pPr>
          </w:p>
        </w:tc>
        <w:tc>
          <w:tcPr>
            <w:tcW w:w="270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people</w:t>
            </w:r>
          </w:p>
        </w:tc>
        <w:tc>
          <w:tcPr>
            <w:tcW w:w="270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ten finalist ideas will receive assistance from Credicorp to execute proposals in 2023. The 3 winning ideas received US$ 15,000 to drive the initiative’s development and the creators were awarded with an all-expense-paid trip to the One Young World Summit 2023 in Belfast . This Summit represents the world’s largest network for social change.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For more information </w:t>
      </w:r>
      <w:r>
        <w:rPr>
          <w:rFonts w:ascii="Arial" w:cs="Arial" w:eastAsia="Arial" w:hAnsi="Arial"/>
          <w:sz w:val="15"/>
          <w:szCs w:val="15"/>
          <w:b w:val="1"/>
          <w:bCs w:val="1"/>
          <w:u w:val="single" w:color="auto"/>
          <w:color w:val="auto"/>
        </w:rPr>
        <w:t>https://vocescredicorp.com/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79" w:right="319" w:bottom="1440" w:gutter="0" w:footer="0" w:header="0"/>
        </w:sectPr>
      </w:pPr>
    </w:p>
    <w:bookmarkStart w:id="126" w:name="page127"/>
    <w:bookmarkEnd w:id="126"/>
    <w:p>
      <w:pPr>
        <w:spacing w:after="0"/>
        <w:rPr>
          <w:sz w:val="20"/>
          <w:szCs w:val="20"/>
          <w:color w:val="auto"/>
        </w:rPr>
      </w:pPr>
      <w:r>
        <w:rPr>
          <w:rFonts w:ascii="Arial" w:cs="Arial" w:eastAsia="Arial" w:hAnsi="Arial"/>
          <w:sz w:val="25"/>
          <w:szCs w:val="25"/>
          <w:b w:val="1"/>
          <w:bCs w:val="1"/>
          <w:color w:val="auto"/>
        </w:rPr>
        <w:t>Other Social Responsibility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Scholarships BCP</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To provide talented, low-income young people access to a quality education, BCP identifies high potential students and provides them with resources to study at the best universities and institutes at the country via:</w:t>
      </w:r>
    </w:p>
    <w:p>
      <w:pPr>
        <w:spacing w:after="0" w:line="1" w:lineRule="exact"/>
        <w:rPr>
          <w:sz w:val="20"/>
          <w:szCs w:val="20"/>
          <w:color w:val="auto"/>
        </w:rPr>
      </w:pPr>
    </w:p>
    <w:p>
      <w:pPr>
        <w:jc w:val="both"/>
        <w:ind w:left="540" w:right="20" w:hanging="271"/>
        <w:spacing w:after="0"/>
        <w:tabs>
          <w:tab w:leader="none" w:pos="54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Financing</w:t>
      </w:r>
      <w:r>
        <w:rPr>
          <w:rFonts w:ascii="Arial" w:cs="Arial" w:eastAsia="Arial" w:hAnsi="Arial"/>
          <w:sz w:val="15"/>
          <w:szCs w:val="15"/>
          <w:color w:val="auto"/>
        </w:rPr>
        <w:t>: covers 100% of academic costs, living costs and housing</w:t>
      </w:r>
      <w:r>
        <w:rPr>
          <w:rFonts w:ascii="Arial" w:cs="Arial" w:eastAsia="Arial" w:hAnsi="Arial"/>
          <w:sz w:val="15"/>
          <w:szCs w:val="15"/>
          <w:b w:val="1"/>
          <w:bCs w:val="1"/>
          <w:color w:val="auto"/>
        </w:rPr>
        <w:t xml:space="preserve"> </w:t>
      </w:r>
      <w:r>
        <w:rPr>
          <w:rFonts w:ascii="Arial" w:cs="Arial" w:eastAsia="Arial" w:hAnsi="Arial"/>
          <w:sz w:val="15"/>
          <w:szCs w:val="15"/>
          <w:color w:val="auto"/>
        </w:rPr>
        <w:t>as well as English classes (if applicable) and provides students with a laptop.</w:t>
      </w:r>
    </w:p>
    <w:p>
      <w:pPr>
        <w:spacing w:after="0" w:line="1" w:lineRule="exact"/>
        <w:rPr>
          <w:rFonts w:ascii="Arial" w:cs="Arial" w:eastAsia="Arial" w:hAnsi="Arial"/>
          <w:sz w:val="15"/>
          <w:szCs w:val="15"/>
          <w:color w:val="auto"/>
        </w:rPr>
      </w:pPr>
    </w:p>
    <w:p>
      <w:pPr>
        <w:jc w:val="both"/>
        <w:ind w:left="540" w:right="20" w:hanging="271"/>
        <w:spacing w:after="0"/>
        <w:tabs>
          <w:tab w:leader="none" w:pos="54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Accompaniment and Talent Development</w:t>
      </w:r>
      <w:r>
        <w:rPr>
          <w:rFonts w:ascii="Arial" w:cs="Arial" w:eastAsia="Arial" w:hAnsi="Arial"/>
          <w:sz w:val="15"/>
          <w:szCs w:val="15"/>
          <w:color w:val="auto"/>
        </w:rPr>
        <w:t>: so that students can</w:t>
      </w:r>
      <w:r>
        <w:rPr>
          <w:rFonts w:ascii="Arial" w:cs="Arial" w:eastAsia="Arial" w:hAnsi="Arial"/>
          <w:sz w:val="15"/>
          <w:szCs w:val="15"/>
          <w:b w:val="1"/>
          <w:bCs w:val="1"/>
          <w:color w:val="auto"/>
        </w:rPr>
        <w:t xml:space="preserve"> </w:t>
      </w:r>
      <w:r>
        <w:rPr>
          <w:rFonts w:ascii="Arial" w:cs="Arial" w:eastAsia="Arial" w:hAnsi="Arial"/>
          <w:sz w:val="15"/>
          <w:szCs w:val="15"/>
          <w:color w:val="auto"/>
        </w:rPr>
        <w:t>adapt well to academic life, develop their talent and become highly employable graduates</w:t>
      </w:r>
    </w:p>
    <w:p>
      <w:pPr>
        <w:spacing w:after="0" w:line="1" w:lineRule="exact"/>
        <w:rPr>
          <w:rFonts w:ascii="Arial" w:cs="Arial" w:eastAsia="Arial" w:hAnsi="Arial"/>
          <w:sz w:val="15"/>
          <w:szCs w:val="15"/>
          <w:color w:val="auto"/>
        </w:rPr>
      </w:pPr>
    </w:p>
    <w:p>
      <w:pPr>
        <w:ind w:left="540" w:hanging="271"/>
        <w:spacing w:after="0"/>
        <w:tabs>
          <w:tab w:leader="none" w:pos="54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Employability</w:t>
      </w:r>
      <w:r>
        <w:rPr>
          <w:rFonts w:ascii="Arial" w:cs="Arial" w:eastAsia="Arial" w:hAnsi="Arial"/>
          <w:sz w:val="15"/>
          <w:szCs w:val="15"/>
          <w:color w:val="auto"/>
        </w:rPr>
        <w:t>: to strengthen skills and generate job opportunities.</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 xml:space="preserve">By the end of 2022, there were </w:t>
      </w:r>
      <w:r>
        <w:rPr>
          <w:rFonts w:ascii="Arial" w:cs="Arial" w:eastAsia="Arial" w:hAnsi="Arial"/>
          <w:sz w:val="15"/>
          <w:szCs w:val="15"/>
          <w:b w:val="1"/>
          <w:bCs w:val="1"/>
          <w:color w:val="auto"/>
        </w:rPr>
        <w:t>113</w:t>
      </w:r>
      <w:r>
        <w:rPr>
          <w:rFonts w:ascii="Arial" w:cs="Arial" w:eastAsia="Arial" w:hAnsi="Arial"/>
          <w:sz w:val="15"/>
          <w:szCs w:val="15"/>
          <w:color w:val="auto"/>
        </w:rPr>
        <w:t xml:space="preserve"> scholarships and </w:t>
      </w:r>
      <w:r>
        <w:rPr>
          <w:rFonts w:ascii="Arial" w:cs="Arial" w:eastAsia="Arial" w:hAnsi="Arial"/>
          <w:sz w:val="15"/>
          <w:szCs w:val="15"/>
          <w:b w:val="1"/>
          <w:bCs w:val="1"/>
          <w:color w:val="auto"/>
        </w:rPr>
        <w:t>44</w:t>
      </w:r>
      <w:r>
        <w:rPr>
          <w:rFonts w:ascii="Arial" w:cs="Arial" w:eastAsia="Arial" w:hAnsi="Arial"/>
          <w:sz w:val="15"/>
          <w:szCs w:val="15"/>
          <w:color w:val="auto"/>
        </w:rPr>
        <w:t xml:space="preserve"> volunteers for mentorships.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Impulso BCP</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This program drives the efforts of </w:t>
      </w:r>
      <w:r>
        <w:rPr>
          <w:rFonts w:ascii="Arial" w:cs="Arial" w:eastAsia="Arial" w:hAnsi="Arial"/>
          <w:sz w:val="15"/>
          <w:szCs w:val="15"/>
          <w:b w:val="1"/>
          <w:bCs w:val="1"/>
          <w:color w:val="auto"/>
        </w:rPr>
        <w:t>12</w:t>
      </w:r>
      <w:r>
        <w:rPr>
          <w:rFonts w:ascii="Arial" w:cs="Arial" w:eastAsia="Arial" w:hAnsi="Arial"/>
          <w:sz w:val="15"/>
          <w:szCs w:val="15"/>
          <w:color w:val="auto"/>
        </w:rPr>
        <w:t xml:space="preserve"> social organizations that contribute to the country’s development through knowledge transfers from expert volunteers at BCP and economic incentives and support for collections campaigns.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Pro-Bono advice from Credicorp Capital</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Specialized advice is provided at no cost to non-profit foundations or organizations that drive projects that generate social impact in Colombia, Peru and Chile so that they can improve their management, impact and sustainability.</w:t>
      </w:r>
    </w:p>
    <w:p>
      <w:pPr>
        <w:spacing w:after="0" w:line="313" w:lineRule="exact"/>
        <w:rPr>
          <w:sz w:val="20"/>
          <w:szCs w:val="20"/>
          <w:color w:val="auto"/>
        </w:rPr>
      </w:pPr>
    </w:p>
    <w:tbl>
      <w:tblPr>
        <w:tblLayout w:type="fixed"/>
        <w:tblInd w:w="550" w:type="dxa"/>
        <w:tblCellMar>
          <w:top w:w="0" w:type="dxa"/>
          <w:left w:w="0" w:type="dxa"/>
          <w:bottom w:w="0" w:type="dxa"/>
          <w:right w:w="0" w:type="dxa"/>
        </w:tblCellMar>
      </w:tblPr>
      <w:tr>
        <w:trPr>
          <w:trHeight w:val="184"/>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 xml:space="preserve">12 </w:t>
            </w:r>
            <w:r>
              <w:rPr>
                <w:rFonts w:ascii="Arial" w:cs="Arial" w:eastAsia="Arial" w:hAnsi="Arial"/>
                <w:sz w:val="15"/>
                <w:szCs w:val="15"/>
                <w:color w:val="auto"/>
              </w:rPr>
              <w:t>Civil Society Foundations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 xml:space="preserve">61 </w:t>
            </w:r>
            <w:r>
              <w:rPr>
                <w:rFonts w:ascii="Arial" w:cs="Arial" w:eastAsia="Arial" w:hAnsi="Arial"/>
                <w:sz w:val="15"/>
                <w:szCs w:val="15"/>
                <w:color w:val="auto"/>
              </w:rPr>
              <w:t>volunteer advisors</w:t>
            </w:r>
          </w:p>
        </w:tc>
      </w:tr>
      <w:tr>
        <w:trPr>
          <w:trHeight w:val="174"/>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and Organizations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(Chile, Peru and Colombia)</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Invirtiendo Futuros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Financial mentorship with provided by volunteers from Credicorp Capital and specialists who provide knowledge through conferences and panels to develop the financial skills of social entrepreneurs in the countries in which we operate. These mentorships last 3 months.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120" w:type="dxa"/>
            <w:vAlign w:val="bottom"/>
            <w:tcBorders>
              <w:top w:val="single" w:sz="8" w:color="auto"/>
              <w:left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spacing w:after="0"/>
              <w:rPr>
                <w:sz w:val="15"/>
                <w:szCs w:val="15"/>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 xml:space="preserve">2 </w:t>
            </w:r>
            <w:r>
              <w:rPr>
                <w:rFonts w:ascii="Arial" w:cs="Arial" w:eastAsia="Arial" w:hAnsi="Arial"/>
                <w:sz w:val="15"/>
                <w:szCs w:val="15"/>
                <w:color w:val="auto"/>
              </w:rPr>
              <w:t>inspiring</w:t>
            </w:r>
          </w:p>
        </w:tc>
        <w:tc>
          <w:tcPr>
            <w:tcW w:w="9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 xml:space="preserve">14 </w:t>
            </w:r>
            <w:r>
              <w:rPr>
                <w:rFonts w:ascii="Arial" w:cs="Arial" w:eastAsia="Arial" w:hAnsi="Arial"/>
                <w:sz w:val="15"/>
                <w:szCs w:val="15"/>
                <w:color w:val="auto"/>
              </w:rPr>
              <w:t>high-impact</w:t>
            </w:r>
          </w:p>
        </w:tc>
        <w:tc>
          <w:tcPr>
            <w:tcW w:w="16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rPr>
              <w:t>encounters</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 xml:space="preserve">112 </w:t>
            </w:r>
            <w:r>
              <w:rPr>
                <w:rFonts w:ascii="Arial" w:cs="Arial" w:eastAsia="Arial" w:hAnsi="Arial"/>
                <w:sz w:val="15"/>
                <w:szCs w:val="15"/>
                <w:color w:val="auto"/>
              </w:rPr>
              <w:t>sessions</w:t>
            </w:r>
          </w:p>
        </w:tc>
        <w:tc>
          <w:tcPr>
            <w:tcW w:w="138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 xml:space="preserve">86 </w:t>
            </w:r>
            <w:r>
              <w:rPr>
                <w:rFonts w:ascii="Arial" w:cs="Arial" w:eastAsia="Arial" w:hAnsi="Arial"/>
                <w:sz w:val="15"/>
                <w:szCs w:val="15"/>
                <w:color w:val="auto"/>
              </w:rPr>
              <w:t>participants,</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53</w:t>
            </w:r>
          </w:p>
        </w:tc>
        <w:tc>
          <w:tcPr>
            <w:tcW w:w="0" w:type="dxa"/>
            <w:vAlign w:val="bottom"/>
          </w:tcPr>
          <w:p>
            <w:pPr>
              <w:spacing w:after="0"/>
              <w:rPr>
                <w:sz w:val="1"/>
                <w:szCs w:val="1"/>
                <w:color w:val="auto"/>
              </w:rPr>
            </w:pPr>
          </w:p>
        </w:tc>
      </w:tr>
      <w:tr>
        <w:trPr>
          <w:trHeight w:val="92"/>
        </w:trPr>
        <w:tc>
          <w:tcPr>
            <w:tcW w:w="11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enterprises in</w:t>
            </w:r>
          </w:p>
        </w:tc>
        <w:tc>
          <w:tcPr>
            <w:tcW w:w="16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of financial</w:t>
            </w:r>
          </w:p>
        </w:tc>
        <w:tc>
          <w:tcPr>
            <w:tcW w:w="13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leaders and</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volunteer</w:t>
            </w:r>
          </w:p>
        </w:tc>
        <w:tc>
          <w:tcPr>
            <w:tcW w:w="0" w:type="dxa"/>
            <w:vAlign w:val="bottom"/>
          </w:tcPr>
          <w:p>
            <w:pPr>
              <w:spacing w:after="0"/>
              <w:rPr>
                <w:sz w:val="1"/>
                <w:szCs w:val="1"/>
                <w:color w:val="auto"/>
              </w:rPr>
            </w:pPr>
          </w:p>
        </w:tc>
      </w:tr>
      <w:tr>
        <w:trPr>
          <w:trHeight w:val="92"/>
        </w:trPr>
        <w:tc>
          <w:tcPr>
            <w:tcW w:w="11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Chile, Colombia</w:t>
            </w:r>
          </w:p>
        </w:tc>
        <w:tc>
          <w:tcPr>
            <w:tcW w:w="16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mentorships</w:t>
            </w:r>
          </w:p>
        </w:tc>
        <w:tc>
          <w:tcPr>
            <w:tcW w:w="13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representatives of</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employees</w:t>
            </w:r>
          </w:p>
        </w:tc>
        <w:tc>
          <w:tcPr>
            <w:tcW w:w="0" w:type="dxa"/>
            <w:vAlign w:val="bottom"/>
          </w:tcPr>
          <w:p>
            <w:pPr>
              <w:spacing w:after="0"/>
              <w:rPr>
                <w:sz w:val="1"/>
                <w:szCs w:val="1"/>
                <w:color w:val="auto"/>
              </w:rPr>
            </w:pPr>
          </w:p>
        </w:tc>
      </w:tr>
      <w:tr>
        <w:trPr>
          <w:trHeight w:val="92"/>
        </w:trPr>
        <w:tc>
          <w:tcPr>
            <w:tcW w:w="11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and Peru</w:t>
            </w:r>
          </w:p>
        </w:tc>
        <w:tc>
          <w:tcPr>
            <w:tcW w:w="16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20" w:type="dxa"/>
            <w:vAlign w:val="bottom"/>
            <w:tcBorders>
              <w:left w:val="single" w:sz="8" w:color="auto"/>
              <w:right w:val="single" w:sz="8" w:color="auto"/>
            </w:tcBorders>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social enterprises in</w:t>
            </w:r>
          </w:p>
        </w:tc>
        <w:tc>
          <w:tcPr>
            <w:tcW w:w="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120" w:type="dxa"/>
            <w:vAlign w:val="bottom"/>
            <w:tcBorders>
              <w:left w:val="single" w:sz="8" w:color="auto"/>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Latin America</w:t>
            </w:r>
          </w:p>
        </w:tc>
        <w:tc>
          <w:tcPr>
            <w:tcW w:w="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2500" w:type="dxa"/>
            <w:vAlign w:val="bottom"/>
            <w:gridSpan w:val="2"/>
          </w:tcPr>
          <w:p>
            <w:pPr>
              <w:spacing w:after="0"/>
              <w:rPr>
                <w:sz w:val="20"/>
                <w:szCs w:val="20"/>
                <w:color w:val="auto"/>
              </w:rPr>
            </w:pPr>
            <w:r>
              <w:rPr>
                <w:rFonts w:ascii="Arial" w:cs="Arial" w:eastAsia="Arial" w:hAnsi="Arial"/>
                <w:sz w:val="15"/>
                <w:szCs w:val="15"/>
                <w:b w:val="1"/>
                <w:bCs w:val="1"/>
                <w:color w:val="auto"/>
              </w:rPr>
              <w:t>Voluntariado Munay</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5"/>
          <w:szCs w:val="15"/>
          <w:color w:val="auto"/>
        </w:rPr>
        <w:t>Mibanco’s volunteers have worked since April 2020 to provide advice and accompaniment to entrepreneurs in Peru by offering tools and knowledge to bolster financial and digital education and fuel the spiral of program. These activities aim to improve the quality of life of the most vulnerable.</w:t>
      </w:r>
    </w:p>
    <w:p>
      <w:pPr>
        <w:spacing w:after="0" w:line="138" w:lineRule="exact"/>
        <w:rPr>
          <w:sz w:val="20"/>
          <w:szCs w:val="20"/>
          <w:color w:val="auto"/>
        </w:rPr>
      </w:pPr>
    </w:p>
    <w:tbl>
      <w:tblPr>
        <w:tblLayout w:type="fixed"/>
        <w:tblInd w:w="1370" w:type="dxa"/>
        <w:tblCellMar>
          <w:top w:w="0" w:type="dxa"/>
          <w:left w:w="0" w:type="dxa"/>
          <w:bottom w:w="0" w:type="dxa"/>
          <w:right w:w="0" w:type="dxa"/>
        </w:tblCellMar>
      </w:tblPr>
      <w:tr>
        <w:trPr>
          <w:trHeight w:val="184"/>
        </w:trPr>
        <w:tc>
          <w:tcPr>
            <w:tcW w:w="1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 xml:space="preserve">742 </w:t>
            </w:r>
            <w:r>
              <w:rPr>
                <w:rFonts w:ascii="Arial" w:cs="Arial" w:eastAsia="Arial" w:hAnsi="Arial"/>
                <w:sz w:val="15"/>
                <w:szCs w:val="15"/>
                <w:color w:val="auto"/>
              </w:rPr>
              <w:t>volunteer</w:t>
            </w:r>
          </w:p>
        </w:tc>
        <w:tc>
          <w:tcPr>
            <w:tcW w:w="1420" w:type="dxa"/>
            <w:vAlign w:val="bottom"/>
            <w:tcBorders>
              <w:top w:val="single" w:sz="8" w:color="auto"/>
              <w:right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7,480</w:t>
            </w:r>
          </w:p>
        </w:tc>
      </w:tr>
      <w:tr>
        <w:trPr>
          <w:trHeight w:val="174"/>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employees</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beneficiaries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79" w:right="319" w:bottom="1440" w:gutter="0" w:footer="0" w:header="0"/>
        </w:sectPr>
      </w:pPr>
    </w:p>
    <w:bookmarkStart w:id="127" w:name="page128"/>
    <w:bookmarkEnd w:id="127"/>
    <w:p>
      <w:pPr>
        <w:spacing w:after="0"/>
        <w:rPr>
          <w:sz w:val="20"/>
          <w:szCs w:val="20"/>
          <w:color w:val="auto"/>
        </w:rPr>
      </w:pPr>
      <w:r>
        <w:rPr>
          <w:rFonts w:ascii="Arial" w:cs="Arial" w:eastAsia="Arial" w:hAnsi="Arial"/>
          <w:sz w:val="37"/>
          <w:szCs w:val="37"/>
          <w:b w:val="1"/>
          <w:bCs w:val="1"/>
          <w:color w:val="auto"/>
        </w:rPr>
        <w:t>Chapter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-240665</wp:posOffset>
            </wp:positionV>
            <wp:extent cx="2927985" cy="30162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927985" cy="30162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SDG </w:t>
      </w:r>
      <w:r>
        <w:rPr>
          <w:rFonts w:ascii="Arial" w:cs="Arial" w:eastAsia="Arial" w:hAnsi="Arial"/>
          <w:sz w:val="15"/>
          <w:szCs w:val="15"/>
          <w:i w:val="1"/>
          <w:iCs w:val="1"/>
          <w:color w:val="auto"/>
        </w:rPr>
        <w:t>6, 7, 12 and 13</w:t>
      </w:r>
    </w:p>
    <w:p>
      <w:pPr>
        <w:spacing w:after="0" w:line="192" w:lineRule="exact"/>
        <w:rPr>
          <w:sz w:val="20"/>
          <w:szCs w:val="20"/>
          <w:color w:val="auto"/>
        </w:rPr>
      </w:pPr>
    </w:p>
    <w:p>
      <w:pPr>
        <w:ind w:right="6060"/>
        <w:spacing w:after="0" w:line="244" w:lineRule="auto"/>
        <w:rPr>
          <w:sz w:val="20"/>
          <w:szCs w:val="20"/>
          <w:color w:val="auto"/>
        </w:rPr>
      </w:pPr>
      <w:r>
        <w:rPr>
          <w:rFonts w:ascii="Arial" w:cs="Arial" w:eastAsia="Arial" w:hAnsi="Arial"/>
          <w:sz w:val="50"/>
          <w:szCs w:val="50"/>
          <w:color w:val="F637BE"/>
        </w:rPr>
        <w:t>We support a transition to an environmentally sustainable economy, including the effects of climate change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to fulfill our strategic objective </w:t>
      </w:r>
      <w:r>
        <w:rPr>
          <w:rFonts w:ascii="Arial" w:cs="Arial" w:eastAsia="Arial" w:hAnsi="Arial"/>
          <w:sz w:val="30"/>
          <w:szCs w:val="30"/>
          <w:b w:val="1"/>
          <w:bCs w:val="1"/>
          <w:color w:val="auto"/>
        </w:rPr>
        <w:t>to create a</w:t>
      </w:r>
    </w:p>
    <w:p>
      <w:pPr>
        <w:spacing w:after="0" w:line="5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more sustainable and inclusive</w:t>
      </w:r>
    </w:p>
    <w:p>
      <w:pPr>
        <w:spacing w:after="0" w:line="1"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economy.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Credicorp’s stakeholders ranked </w:t>
      </w:r>
      <w:r>
        <w:rPr>
          <w:rFonts w:ascii="Arial" w:cs="Arial" w:eastAsia="Arial" w:hAnsi="Arial"/>
          <w:sz w:val="15"/>
          <w:szCs w:val="15"/>
          <w:color w:val="F637BE"/>
        </w:rPr>
        <w:t>Sustainable Finance and Investment</w:t>
      </w:r>
      <w:r>
        <w:rPr>
          <w:rFonts w:ascii="Arial" w:cs="Arial" w:eastAsia="Arial" w:hAnsi="Arial"/>
          <w:sz w:val="15"/>
          <w:szCs w:val="15"/>
          <w:color w:val="auto"/>
        </w:rPr>
        <w:t xml:space="preserve"> among</w:t>
      </w:r>
    </w:p>
    <w:p>
      <w:pPr>
        <w:spacing w:after="0"/>
        <w:rPr>
          <w:sz w:val="20"/>
          <w:szCs w:val="20"/>
          <w:color w:val="auto"/>
        </w:rPr>
      </w:pPr>
      <w:r>
        <w:rPr>
          <w:rFonts w:ascii="Arial" w:cs="Arial" w:eastAsia="Arial" w:hAnsi="Arial"/>
          <w:sz w:val="15"/>
          <w:szCs w:val="15"/>
          <w:color w:val="auto"/>
        </w:rPr>
        <w:t xml:space="preserve">the top 15 material issues with </w:t>
      </w:r>
      <w:r>
        <w:rPr>
          <w:rFonts w:ascii="Arial" w:cs="Arial" w:eastAsia="Arial" w:hAnsi="Arial"/>
          <w:sz w:val="15"/>
          <w:szCs w:val="15"/>
          <w:color w:val="F637BE"/>
        </w:rPr>
        <w:t>the greatest impact in the Material Analysis of</w:t>
      </w:r>
    </w:p>
    <w:p>
      <w:pPr>
        <w:spacing w:after="0"/>
        <w:rPr>
          <w:sz w:val="20"/>
          <w:szCs w:val="20"/>
          <w:color w:val="auto"/>
        </w:rPr>
      </w:pPr>
      <w:r>
        <w:rPr>
          <w:rFonts w:ascii="Arial" w:cs="Arial" w:eastAsia="Arial" w:hAnsi="Arial"/>
          <w:sz w:val="15"/>
          <w:szCs w:val="15"/>
          <w:color w:val="F637BE"/>
        </w:rPr>
        <w:t xml:space="preserve">2022. Investors </w:t>
      </w:r>
      <w:r>
        <w:rPr>
          <w:rFonts w:ascii="Arial" w:cs="Arial" w:eastAsia="Arial" w:hAnsi="Arial"/>
          <w:sz w:val="15"/>
          <w:szCs w:val="15"/>
          <w:color w:val="000000"/>
        </w:rPr>
        <w:t>ranked this issue higher on their list than any other stakeholder</w:t>
      </w:r>
    </w:p>
    <w:p>
      <w:pPr>
        <w:spacing w:after="0"/>
        <w:rPr>
          <w:sz w:val="20"/>
          <w:szCs w:val="20"/>
          <w:color w:val="auto"/>
        </w:rPr>
      </w:pPr>
      <w:r>
        <w:rPr>
          <w:rFonts w:ascii="Arial" w:cs="Arial" w:eastAsia="Arial" w:hAnsi="Arial"/>
          <w:sz w:val="15"/>
          <w:szCs w:val="15"/>
          <w:color w:val="auto"/>
        </w:rPr>
        <w:t xml:space="preserve">group and rated it </w:t>
      </w:r>
      <w:r>
        <w:rPr>
          <w:rFonts w:ascii="Arial" w:cs="Arial" w:eastAsia="Arial" w:hAnsi="Arial"/>
          <w:sz w:val="15"/>
          <w:szCs w:val="15"/>
          <w:color w:val="F637BE"/>
        </w:rPr>
        <w:t>2nd in terms of impact generation</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countries in our region are particularly vulnerable to climate change. This,</w:t>
      </w:r>
    </w:p>
    <w:p>
      <w:pPr>
        <w:spacing w:after="0"/>
        <w:rPr>
          <w:sz w:val="20"/>
          <w:szCs w:val="20"/>
          <w:color w:val="auto"/>
        </w:rPr>
      </w:pPr>
      <w:r>
        <w:rPr>
          <w:rFonts w:ascii="Arial" w:cs="Arial" w:eastAsia="Arial" w:hAnsi="Arial"/>
          <w:sz w:val="15"/>
          <w:szCs w:val="15"/>
          <w:color w:val="auto"/>
        </w:rPr>
        <w:t>coupled with growing global interest in environmental issues, spurred our</w:t>
      </w:r>
    </w:p>
    <w:p>
      <w:pPr>
        <w:spacing w:after="0"/>
        <w:rPr>
          <w:sz w:val="20"/>
          <w:szCs w:val="20"/>
          <w:color w:val="auto"/>
        </w:rPr>
      </w:pPr>
      <w:r>
        <w:rPr>
          <w:rFonts w:ascii="Arial" w:cs="Arial" w:eastAsia="Arial" w:hAnsi="Arial"/>
          <w:sz w:val="15"/>
          <w:szCs w:val="15"/>
          <w:color w:val="auto"/>
        </w:rPr>
        <w:t>decision to work with a prestigious global firm for strategic advisory services to</w:t>
      </w:r>
    </w:p>
    <w:p>
      <w:pPr>
        <w:spacing w:after="0"/>
        <w:rPr>
          <w:sz w:val="20"/>
          <w:szCs w:val="20"/>
          <w:color w:val="auto"/>
        </w:rPr>
      </w:pPr>
      <w:r>
        <w:rPr>
          <w:rFonts w:ascii="Arial" w:cs="Arial" w:eastAsia="Arial" w:hAnsi="Arial"/>
          <w:sz w:val="15"/>
          <w:szCs w:val="15"/>
          <w:color w:val="auto"/>
        </w:rPr>
        <w:t>develop  a  corporate  environmental  strategy  that  addresses  the  current</w:t>
      </w:r>
    </w:p>
    <w:p>
      <w:pPr>
        <w:spacing w:after="0"/>
        <w:rPr>
          <w:sz w:val="20"/>
          <w:szCs w:val="20"/>
          <w:color w:val="auto"/>
        </w:rPr>
      </w:pPr>
      <w:r>
        <w:rPr>
          <w:rFonts w:ascii="Arial" w:cs="Arial" w:eastAsia="Arial" w:hAnsi="Arial"/>
          <w:sz w:val="15"/>
          <w:szCs w:val="15"/>
          <w:color w:val="auto"/>
        </w:rPr>
        <w:t>problematic and incorporates the sustainability objectives and ambitions of both</w:t>
      </w:r>
    </w:p>
    <w:p>
      <w:pPr>
        <w:spacing w:after="0"/>
        <w:rPr>
          <w:sz w:val="20"/>
          <w:szCs w:val="20"/>
          <w:color w:val="auto"/>
        </w:rPr>
      </w:pPr>
      <w:r>
        <w:rPr>
          <w:rFonts w:ascii="Arial" w:cs="Arial" w:eastAsia="Arial" w:hAnsi="Arial"/>
          <w:sz w:val="15"/>
          <w:szCs w:val="15"/>
          <w:color w:val="auto"/>
        </w:rPr>
        <w:t>Credicorp and its business units. Additionally, we are working on a strategy to</w:t>
      </w:r>
    </w:p>
    <w:p>
      <w:pPr>
        <w:spacing w:after="0"/>
        <w:rPr>
          <w:sz w:val="20"/>
          <w:szCs w:val="20"/>
          <w:color w:val="auto"/>
        </w:rPr>
      </w:pPr>
      <w:r>
        <w:rPr>
          <w:rFonts w:ascii="Arial" w:cs="Arial" w:eastAsia="Arial" w:hAnsi="Arial"/>
          <w:sz w:val="15"/>
          <w:szCs w:val="15"/>
          <w:color w:val="auto"/>
        </w:rPr>
        <w:t>identify  and  capture  environmental  opportunities  through  our  wholesale</w:t>
      </w:r>
    </w:p>
    <w:p>
      <w:pPr>
        <w:spacing w:after="0"/>
        <w:rPr>
          <w:sz w:val="20"/>
          <w:szCs w:val="20"/>
          <w:color w:val="auto"/>
        </w:rPr>
      </w:pPr>
      <w:r>
        <w:rPr>
          <w:rFonts w:ascii="Arial" w:cs="Arial" w:eastAsia="Arial" w:hAnsi="Arial"/>
          <w:sz w:val="15"/>
          <w:szCs w:val="15"/>
          <w:color w:val="auto"/>
        </w:rPr>
        <w:t>banking business.</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94" w:right="319" w:bottom="1440" w:gutter="0" w:footer="0" w:header="0"/>
        </w:sectPr>
      </w:pPr>
    </w:p>
    <w:bookmarkStart w:id="128" w:name="page129"/>
    <w:bookmarkEnd w:id="128"/>
    <w:p>
      <w:pPr>
        <w:spacing w:after="0"/>
        <w:rPr>
          <w:sz w:val="20"/>
          <w:szCs w:val="20"/>
          <w:color w:val="auto"/>
        </w:rPr>
      </w:pPr>
      <w:r>
        <w:rPr>
          <w:rFonts w:ascii="Arial" w:cs="Arial" w:eastAsia="Arial" w:hAnsi="Arial"/>
          <w:sz w:val="25"/>
          <w:szCs w:val="25"/>
          <w:b w:val="1"/>
          <w:bCs w:val="1"/>
          <w:color w:val="auto"/>
        </w:rPr>
        <w:t>Sustainable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Responsible and Sustainable Finance and Investment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w:t>
      </w:r>
    </w:p>
    <w:p>
      <w:pPr>
        <w:spacing w:after="0"/>
        <w:rPr>
          <w:sz w:val="20"/>
          <w:szCs w:val="20"/>
          <w:color w:val="auto"/>
        </w:rPr>
      </w:pPr>
      <w:r>
        <w:rPr>
          <w:rFonts w:ascii="Arial" w:cs="Arial" w:eastAsia="Arial" w:hAnsi="Arial"/>
          <w:sz w:val="15"/>
          <w:szCs w:val="15"/>
          <w:b w:val="1"/>
          <w:bCs w:val="1"/>
          <w:color w:val="auto"/>
        </w:rPr>
        <w:t>Pillar 1</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At Credicorp, we aspire to be the ally that our clients need to transition to environmentally sustainable practices. Through our sustainable finance platform, we work to develop and offer financial solutions that support and encourage our clients in their efforts to reduce their environmental impact and include climate change effects in their businesses. At the corporate level, we articulate our subsidiaries’ initiatives to ensure alignment; generate synergies; and create corporate road maps. In 2023, the focus will be on designing and consolidating the environmental strategy at all the subsidiaries, which will include defining aspirations and work plans for commercial onboarding; alignment with best practices and standards; and the exploration of opportunities to develop green and sustainable products first in the wholesale banking and next in retail banking and microfinance businesses.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80" w:type="dxa"/>
            <w:vAlign w:val="bottom"/>
            <w:tcBorders>
              <w:top w:val="single" w:sz="8" w:color="auto"/>
              <w:left w:val="single" w:sz="8" w:color="auto"/>
              <w:right w:val="single" w:sz="8" w:color="auto"/>
            </w:tcBorders>
          </w:tcPr>
          <w:p>
            <w:pPr>
              <w:ind w:left="500"/>
              <w:spacing w:after="0" w:line="166" w:lineRule="exact"/>
              <w:rPr>
                <w:sz w:val="20"/>
                <w:szCs w:val="20"/>
                <w:color w:val="auto"/>
              </w:rPr>
            </w:pPr>
            <w:r>
              <w:rPr>
                <w:rFonts w:ascii="Arial" w:cs="Arial" w:eastAsia="Arial" w:hAnsi="Arial"/>
                <w:sz w:val="15"/>
                <w:szCs w:val="15"/>
                <w:b w:val="1"/>
                <w:bCs w:val="1"/>
                <w:color w:val="auto"/>
              </w:rPr>
              <w:t>Subsidiary</w:t>
            </w:r>
          </w:p>
        </w:tc>
        <w:tc>
          <w:tcPr>
            <w:tcW w:w="1420" w:type="dxa"/>
            <w:vAlign w:val="bottom"/>
            <w:tcBorders>
              <w:top w:val="single" w:sz="8" w:color="auto"/>
              <w:right w:val="single" w:sz="8" w:color="auto"/>
            </w:tcBorders>
          </w:tcPr>
          <w:p>
            <w:pPr>
              <w:ind w:left="260"/>
              <w:spacing w:after="0" w:line="166" w:lineRule="exact"/>
              <w:rPr>
                <w:sz w:val="20"/>
                <w:szCs w:val="20"/>
                <w:color w:val="auto"/>
              </w:rPr>
            </w:pPr>
            <w:r>
              <w:rPr>
                <w:rFonts w:ascii="Arial" w:cs="Arial" w:eastAsia="Arial" w:hAnsi="Arial"/>
                <w:sz w:val="15"/>
                <w:szCs w:val="15"/>
                <w:b w:val="1"/>
                <w:bCs w:val="1"/>
                <w:color w:val="auto"/>
              </w:rPr>
              <w:t>Sustainable</w:t>
            </w:r>
          </w:p>
        </w:tc>
        <w:tc>
          <w:tcPr>
            <w:tcW w:w="300" w:type="dxa"/>
            <w:vAlign w:val="bottom"/>
            <w:tcBorders>
              <w:top w:val="single" w:sz="8" w:color="auto"/>
            </w:tcBorders>
          </w:tcPr>
          <w:p>
            <w:pPr>
              <w:spacing w:after="0"/>
              <w:rPr>
                <w:sz w:val="14"/>
                <w:szCs w:val="14"/>
                <w:color w:val="auto"/>
              </w:rPr>
            </w:pPr>
          </w:p>
        </w:tc>
        <w:tc>
          <w:tcPr>
            <w:tcW w:w="1900" w:type="dxa"/>
            <w:vAlign w:val="bottom"/>
            <w:tcBorders>
              <w:top w:val="single" w:sz="8" w:color="auto"/>
              <w:right w:val="single" w:sz="8" w:color="auto"/>
            </w:tcBorders>
          </w:tcPr>
          <w:p>
            <w:pPr>
              <w:ind w:left="260"/>
              <w:spacing w:after="0" w:line="166" w:lineRule="exact"/>
              <w:rPr>
                <w:sz w:val="20"/>
                <w:szCs w:val="20"/>
                <w:color w:val="auto"/>
              </w:rPr>
            </w:pPr>
            <w:r>
              <w:rPr>
                <w:rFonts w:ascii="Arial" w:cs="Arial" w:eastAsia="Arial" w:hAnsi="Arial"/>
                <w:sz w:val="15"/>
                <w:szCs w:val="15"/>
                <w:b w:val="1"/>
                <w:bCs w:val="1"/>
                <w:color w:val="auto"/>
              </w:rPr>
              <w:t>Achievements</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400"/>
              <w:spacing w:after="0"/>
              <w:rPr>
                <w:sz w:val="20"/>
                <w:szCs w:val="20"/>
                <w:color w:val="auto"/>
              </w:rPr>
            </w:pPr>
            <w:r>
              <w:rPr>
                <w:rFonts w:ascii="Arial" w:cs="Arial" w:eastAsia="Arial" w:hAnsi="Arial"/>
                <w:sz w:val="15"/>
                <w:szCs w:val="15"/>
                <w:b w:val="1"/>
                <w:bCs w:val="1"/>
                <w:color w:val="auto"/>
              </w:rPr>
              <w:t>Finance</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620"/>
              <w:spacing w:after="0"/>
              <w:rPr>
                <w:sz w:val="20"/>
                <w:szCs w:val="20"/>
                <w:color w:val="auto"/>
              </w:rPr>
            </w:pPr>
            <w:r>
              <w:rPr>
                <w:rFonts w:ascii="Arial" w:cs="Arial" w:eastAsia="Arial" w:hAnsi="Arial"/>
                <w:sz w:val="15"/>
                <w:szCs w:val="15"/>
                <w:b w:val="1"/>
                <w:bCs w:val="1"/>
                <w:color w:val="auto"/>
              </w:rPr>
              <w:t>2022</w:t>
            </w:r>
          </w:p>
        </w:tc>
      </w:tr>
      <w:tr>
        <w:trPr>
          <w:trHeight w:val="195"/>
        </w:trPr>
        <w:tc>
          <w:tcPr>
            <w:tcW w:w="1780" w:type="dxa"/>
            <w:vAlign w:val="bottom"/>
            <w:tcBorders>
              <w:left w:val="single" w:sz="8" w:color="auto"/>
              <w:bottom w:val="single" w:sz="8" w:color="8EAADB"/>
              <w:right w:val="single" w:sz="8" w:color="auto"/>
            </w:tcBorders>
          </w:tcPr>
          <w:p>
            <w:pPr>
              <w:spacing w:after="0"/>
              <w:rPr>
                <w:sz w:val="16"/>
                <w:szCs w:val="16"/>
                <w:color w:val="auto"/>
              </w:rPr>
            </w:pPr>
          </w:p>
        </w:tc>
        <w:tc>
          <w:tcPr>
            <w:tcW w:w="1420" w:type="dxa"/>
            <w:vAlign w:val="bottom"/>
            <w:tcBorders>
              <w:bottom w:val="single" w:sz="8" w:color="8EAADB"/>
              <w:right w:val="single" w:sz="8" w:color="auto"/>
            </w:tcBorders>
          </w:tcPr>
          <w:p>
            <w:pPr>
              <w:ind w:left="340"/>
              <w:spacing w:after="0"/>
              <w:rPr>
                <w:sz w:val="20"/>
                <w:szCs w:val="20"/>
                <w:color w:val="auto"/>
              </w:rPr>
            </w:pPr>
            <w:r>
              <w:rPr>
                <w:rFonts w:ascii="Arial" w:cs="Arial" w:eastAsia="Arial" w:hAnsi="Arial"/>
                <w:sz w:val="15"/>
                <w:szCs w:val="15"/>
                <w:b w:val="1"/>
                <w:bCs w:val="1"/>
                <w:color w:val="auto"/>
              </w:rPr>
              <w:t>Initiatives</w:t>
            </w:r>
          </w:p>
        </w:tc>
        <w:tc>
          <w:tcPr>
            <w:tcW w:w="300" w:type="dxa"/>
            <w:vAlign w:val="bottom"/>
            <w:tcBorders>
              <w:bottom w:val="single" w:sz="8" w:color="8EAADB"/>
            </w:tcBorders>
          </w:tcPr>
          <w:p>
            <w:pPr>
              <w:spacing w:after="0"/>
              <w:rPr>
                <w:sz w:val="16"/>
                <w:szCs w:val="16"/>
                <w:color w:val="auto"/>
              </w:rPr>
            </w:pPr>
          </w:p>
        </w:tc>
        <w:tc>
          <w:tcPr>
            <w:tcW w:w="1900" w:type="dxa"/>
            <w:vAlign w:val="bottom"/>
            <w:tcBorders>
              <w:bottom w:val="single" w:sz="8" w:color="8EAADB"/>
              <w:right w:val="single" w:sz="8" w:color="auto"/>
            </w:tcBorders>
          </w:tcPr>
          <w:p>
            <w:pPr>
              <w:spacing w:after="0"/>
              <w:rPr>
                <w:sz w:val="16"/>
                <w:szCs w:val="16"/>
                <w:color w:val="auto"/>
              </w:rPr>
            </w:pPr>
          </w:p>
        </w:tc>
      </w:tr>
      <w:tr>
        <w:trPr>
          <w:trHeight w:val="172"/>
        </w:trPr>
        <w:tc>
          <w:tcPr>
            <w:tcW w:w="1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BCP</w:t>
            </w: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Sustainable</w:t>
            </w:r>
          </w:p>
        </w:tc>
        <w:tc>
          <w:tcPr>
            <w:tcW w:w="300" w:type="dxa"/>
            <w:vAlign w:val="bottom"/>
          </w:tcPr>
          <w:p>
            <w:pPr>
              <w:spacing w:after="0"/>
              <w:rPr>
                <w:sz w:val="20"/>
                <w:szCs w:val="20"/>
                <w:color w:val="auto"/>
              </w:rPr>
            </w:pPr>
            <w:r>
              <w:rPr>
                <w:rFonts w:ascii="Arial" w:cs="Arial" w:eastAsia="Arial" w:hAnsi="Arial"/>
                <w:sz w:val="15"/>
                <w:szCs w:val="15"/>
                <w:color w:val="auto"/>
              </w:rPr>
              <w:t>●</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Placed 7 green loans</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financial</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for US$ 163 million.</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products:</w:t>
            </w:r>
          </w:p>
        </w:tc>
        <w:tc>
          <w:tcPr>
            <w:tcW w:w="300" w:type="dxa"/>
            <w:vAlign w:val="bottom"/>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sustainable and</w:t>
            </w:r>
          </w:p>
        </w:tc>
        <w:tc>
          <w:tcPr>
            <w:tcW w:w="300" w:type="dxa"/>
            <w:vAlign w:val="bottom"/>
          </w:tcPr>
          <w:p>
            <w:pPr>
              <w:spacing w:after="0"/>
              <w:rPr>
                <w:sz w:val="20"/>
                <w:szCs w:val="20"/>
                <w:color w:val="auto"/>
              </w:rPr>
            </w:pPr>
            <w:r>
              <w:rPr>
                <w:rFonts w:ascii="Arial" w:cs="Arial" w:eastAsia="Arial" w:hAnsi="Arial"/>
                <w:sz w:val="15"/>
                <w:szCs w:val="15"/>
                <w:color w:val="auto"/>
              </w:rPr>
              <w:t>●</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Green Bond: first</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transition</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international issuance</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financing, Eco-</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in the Peruvian private</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factoring and</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banking system. This</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issuances of</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issuance, which was</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sustainable</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for a total of US$ 30</w:t>
            </w:r>
          </w:p>
        </w:tc>
      </w:tr>
      <w:tr>
        <w:trPr>
          <w:trHeight w:val="157"/>
        </w:trPr>
        <w:tc>
          <w:tcPr>
            <w:tcW w:w="1780" w:type="dxa"/>
            <w:vAlign w:val="bottom"/>
            <w:tcBorders>
              <w:left w:val="single" w:sz="8" w:color="auto"/>
              <w:right w:val="single" w:sz="8" w:color="auto"/>
            </w:tcBorders>
          </w:tcPr>
          <w:p>
            <w:pPr>
              <w:spacing w:after="0"/>
              <w:rPr>
                <w:sz w:val="13"/>
                <w:szCs w:val="13"/>
                <w:color w:val="auto"/>
              </w:rPr>
            </w:pPr>
          </w:p>
        </w:tc>
        <w:tc>
          <w:tcPr>
            <w:tcW w:w="142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rPr>
              <w:t>bonds</w:t>
            </w:r>
          </w:p>
        </w:tc>
        <w:tc>
          <w:tcPr>
            <w:tcW w:w="300" w:type="dxa"/>
            <w:vAlign w:val="bottom"/>
          </w:tcPr>
          <w:p>
            <w:pPr>
              <w:spacing w:after="0"/>
              <w:rPr>
                <w:sz w:val="13"/>
                <w:szCs w:val="13"/>
                <w:color w:val="auto"/>
              </w:rPr>
            </w:pPr>
          </w:p>
        </w:tc>
        <w:tc>
          <w:tcPr>
            <w:tcW w:w="1900" w:type="dxa"/>
            <w:vAlign w:val="bottom"/>
            <w:tcBorders>
              <w:right w:val="single" w:sz="8" w:color="auto"/>
            </w:tcBorders>
          </w:tcPr>
          <w:p>
            <w:pPr>
              <w:ind w:left="240"/>
              <w:spacing w:after="0" w:line="157" w:lineRule="exact"/>
              <w:rPr>
                <w:sz w:val="20"/>
                <w:szCs w:val="20"/>
                <w:color w:val="auto"/>
              </w:rPr>
            </w:pPr>
            <w:r>
              <w:rPr>
                <w:rFonts w:ascii="Arial" w:cs="Arial" w:eastAsia="Arial" w:hAnsi="Arial"/>
                <w:sz w:val="15"/>
                <w:szCs w:val="15"/>
                <w:color w:val="auto"/>
              </w:rPr>
              <w:t>million, was acquired</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 xml:space="preserve">by the </w:t>
            </w:r>
            <w:r>
              <w:rPr>
                <w:rFonts w:ascii="Arial" w:cs="Arial" w:eastAsia="Arial" w:hAnsi="Arial"/>
                <w:sz w:val="15"/>
                <w:szCs w:val="15"/>
                <w:i w:val="1"/>
                <w:iCs w:val="1"/>
                <w:color w:val="444444"/>
              </w:rPr>
              <w:t>Amundi -</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i w:val="1"/>
                <w:iCs w:val="1"/>
                <w:color w:val="444444"/>
              </w:rPr>
              <w:t>Emerging Green Fund</w:t>
            </w:r>
          </w:p>
        </w:tc>
      </w:tr>
      <w:tr>
        <w:trPr>
          <w:trHeight w:val="189"/>
        </w:trPr>
        <w:tc>
          <w:tcPr>
            <w:tcW w:w="178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i w:val="1"/>
                <w:iCs w:val="1"/>
                <w:color w:val="444444"/>
              </w:rPr>
              <w:t>One</w:t>
            </w:r>
            <w:r>
              <w:rPr>
                <w:rFonts w:ascii="Arial" w:cs="Arial" w:eastAsia="Arial" w:hAnsi="Arial"/>
                <w:sz w:val="15"/>
                <w:szCs w:val="15"/>
                <w:color w:val="444444"/>
              </w:rPr>
              <w:t>. Funds from this</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transaction are</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earmarked for</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financing of green</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buildings (based on</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loan previously issued</w:t>
            </w:r>
          </w:p>
        </w:tc>
      </w:tr>
      <w:tr>
        <w:trPr>
          <w:trHeight w:val="185"/>
        </w:trPr>
        <w:tc>
          <w:tcPr>
            <w:tcW w:w="178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by BCP).</w:t>
            </w:r>
          </w:p>
        </w:tc>
      </w:tr>
      <w:tr>
        <w:trPr>
          <w:trHeight w:val="162"/>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r>
      <w:tr>
        <w:trPr>
          <w:trHeight w:val="164"/>
        </w:trPr>
        <w:tc>
          <w:tcPr>
            <w:tcW w:w="17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Credicorp Capital</w:t>
            </w:r>
          </w:p>
        </w:tc>
        <w:tc>
          <w:tcPr>
            <w:tcW w:w="1420" w:type="dxa"/>
            <w:vAlign w:val="bottom"/>
            <w:tcBorders>
              <w:right w:val="single" w:sz="8" w:color="auto"/>
            </w:tcBorders>
          </w:tcPr>
          <w:p>
            <w:pPr>
              <w:ind w:left="280"/>
              <w:spacing w:after="0" w:line="164" w:lineRule="exact"/>
              <w:rPr>
                <w:sz w:val="20"/>
                <w:szCs w:val="20"/>
                <w:color w:val="auto"/>
              </w:rPr>
            </w:pPr>
            <w:r>
              <w:rPr>
                <w:rFonts w:ascii="Arial" w:cs="Arial" w:eastAsia="Arial" w:hAnsi="Arial"/>
                <w:sz w:val="15"/>
                <w:szCs w:val="15"/>
                <w:color w:val="auto"/>
              </w:rPr>
              <w:t>Sustainable</w:t>
            </w:r>
          </w:p>
        </w:tc>
        <w:tc>
          <w:tcPr>
            <w:tcW w:w="300" w:type="dxa"/>
            <w:vAlign w:val="bottom"/>
          </w:tcPr>
          <w:p>
            <w:pPr>
              <w:spacing w:after="0" w:line="164" w:lineRule="exact"/>
              <w:rPr>
                <w:sz w:val="20"/>
                <w:szCs w:val="20"/>
                <w:color w:val="auto"/>
              </w:rPr>
            </w:pPr>
            <w:r>
              <w:rPr>
                <w:rFonts w:ascii="Arial" w:cs="Arial" w:eastAsia="Arial" w:hAnsi="Arial"/>
                <w:sz w:val="15"/>
                <w:szCs w:val="15"/>
                <w:color w:val="444444"/>
              </w:rPr>
              <w:t>●</w:t>
            </w:r>
          </w:p>
        </w:tc>
        <w:tc>
          <w:tcPr>
            <w:tcW w:w="1900" w:type="dxa"/>
            <w:vAlign w:val="bottom"/>
            <w:tcBorders>
              <w:right w:val="single" w:sz="8" w:color="auto"/>
            </w:tcBorders>
          </w:tcPr>
          <w:p>
            <w:pPr>
              <w:ind w:left="200"/>
              <w:spacing w:after="0" w:line="164" w:lineRule="exact"/>
              <w:rPr>
                <w:sz w:val="20"/>
                <w:szCs w:val="20"/>
                <w:color w:val="auto"/>
              </w:rPr>
            </w:pPr>
            <w:r>
              <w:rPr>
                <w:rFonts w:ascii="Arial" w:cs="Arial" w:eastAsia="Arial" w:hAnsi="Arial"/>
                <w:sz w:val="15"/>
                <w:szCs w:val="15"/>
                <w:color w:val="444444"/>
              </w:rPr>
              <w:t>Structured the</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Finance</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issuance of</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Initiatives</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sustainable bonds and</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through</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commercial papers in</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issuances, bond</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Peru: Bosques</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structuring and</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Amazónicos, for US$</w:t>
            </w:r>
          </w:p>
        </w:tc>
      </w:tr>
      <w:tr>
        <w:trPr>
          <w:trHeight w:val="173"/>
        </w:trPr>
        <w:tc>
          <w:tcPr>
            <w:tcW w:w="178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advisory</w:t>
            </w:r>
          </w:p>
        </w:tc>
        <w:tc>
          <w:tcPr>
            <w:tcW w:w="300" w:type="dxa"/>
            <w:vAlign w:val="bottom"/>
          </w:tcPr>
          <w:p>
            <w:pPr>
              <w:spacing w:after="0"/>
              <w:rPr>
                <w:sz w:val="15"/>
                <w:szCs w:val="15"/>
                <w:color w:val="auto"/>
              </w:rPr>
            </w:pPr>
          </w:p>
        </w:tc>
        <w:tc>
          <w:tcPr>
            <w:tcW w:w="190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444444"/>
              </w:rPr>
              <w:t>14.8 million</w:t>
            </w:r>
          </w:p>
        </w:tc>
      </w:tr>
      <w:tr>
        <w:trPr>
          <w:trHeight w:val="174"/>
        </w:trPr>
        <w:tc>
          <w:tcPr>
            <w:tcW w:w="1780" w:type="dxa"/>
            <w:vAlign w:val="bottom"/>
            <w:tcBorders>
              <w:left w:val="single" w:sz="8" w:color="auto"/>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services</w:t>
            </w: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8834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00" w:lineRule="exact"/>
        <w:rPr>
          <w:sz w:val="20"/>
          <w:szCs w:val="20"/>
          <w:color w:val="auto"/>
        </w:rPr>
      </w:pPr>
    </w:p>
    <w:p>
      <w:pPr>
        <w:ind w:left="440" w:hanging="171"/>
        <w:spacing w:after="0"/>
        <w:tabs>
          <w:tab w:leader="none" w:pos="44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Second Opinion Report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1940" w:type="dxa"/>
            <w:vAlign w:val="bottom"/>
            <w:tcBorders>
              <w:top w:val="single" w:sz="8" w:color="auto"/>
              <w:left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t>
            </w:r>
          </w:p>
        </w:tc>
        <w:tc>
          <w:tcPr>
            <w:tcW w:w="18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Structured a social</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bond for Mibanco</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Colombia (see</w:t>
            </w:r>
          </w:p>
        </w:tc>
      </w:tr>
      <w:tr>
        <w:trPr>
          <w:trHeight w:val="174"/>
        </w:trPr>
        <w:tc>
          <w:tcPr>
            <w:tcW w:w="1940" w:type="dxa"/>
            <w:vAlign w:val="bottom"/>
            <w:tcBorders>
              <w:left w:val="single" w:sz="8" w:color="auto"/>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details below)</w:t>
            </w:r>
          </w:p>
        </w:tc>
      </w:tr>
      <w:tr>
        <w:trPr>
          <w:trHeight w:val="164"/>
        </w:trPr>
        <w:tc>
          <w:tcPr>
            <w:tcW w:w="194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b w:val="1"/>
                <w:bCs w:val="1"/>
                <w:color w:val="auto"/>
              </w:rPr>
              <w:t>Mibanco- Colombia</w:t>
            </w:r>
          </w:p>
        </w:tc>
        <w:tc>
          <w:tcPr>
            <w:tcW w:w="1380" w:type="dxa"/>
            <w:vAlign w:val="bottom"/>
            <w:tcBorders>
              <w:right w:val="single" w:sz="8" w:color="auto"/>
            </w:tcBorders>
          </w:tcPr>
          <w:p>
            <w:pPr>
              <w:ind w:left="260"/>
              <w:spacing w:after="0" w:line="164" w:lineRule="exact"/>
              <w:rPr>
                <w:sz w:val="20"/>
                <w:szCs w:val="20"/>
                <w:color w:val="auto"/>
              </w:rPr>
            </w:pPr>
            <w:r>
              <w:rPr>
                <w:rFonts w:ascii="Arial" w:cs="Arial" w:eastAsia="Arial" w:hAnsi="Arial"/>
                <w:sz w:val="15"/>
                <w:szCs w:val="15"/>
                <w:color w:val="auto"/>
              </w:rPr>
              <w:t>Social Bond</w:t>
            </w:r>
          </w:p>
        </w:tc>
        <w:tc>
          <w:tcPr>
            <w:tcW w:w="300" w:type="dxa"/>
            <w:vAlign w:val="bottom"/>
          </w:tcPr>
          <w:p>
            <w:pPr>
              <w:spacing w:after="0" w:line="164" w:lineRule="exact"/>
              <w:rPr>
                <w:sz w:val="20"/>
                <w:szCs w:val="20"/>
                <w:color w:val="auto"/>
              </w:rPr>
            </w:pPr>
            <w:r>
              <w:rPr>
                <w:rFonts w:ascii="Arial" w:cs="Arial" w:eastAsia="Arial" w:hAnsi="Arial"/>
                <w:sz w:val="15"/>
                <w:szCs w:val="15"/>
                <w:color w:val="444444"/>
              </w:rPr>
              <w:t>●</w:t>
            </w:r>
          </w:p>
        </w:tc>
        <w:tc>
          <w:tcPr>
            <w:tcW w:w="1800" w:type="dxa"/>
            <w:vAlign w:val="bottom"/>
            <w:tcBorders>
              <w:right w:val="single" w:sz="8" w:color="auto"/>
            </w:tcBorders>
          </w:tcPr>
          <w:p>
            <w:pPr>
              <w:ind w:left="220"/>
              <w:spacing w:after="0" w:line="164" w:lineRule="exact"/>
              <w:rPr>
                <w:sz w:val="20"/>
                <w:szCs w:val="20"/>
                <w:color w:val="auto"/>
              </w:rPr>
            </w:pPr>
            <w:r>
              <w:rPr>
                <w:rFonts w:ascii="Arial" w:cs="Arial" w:eastAsia="Arial" w:hAnsi="Arial"/>
                <w:sz w:val="15"/>
                <w:szCs w:val="15"/>
                <w:color w:val="444444"/>
              </w:rPr>
              <w:t>Issuance of gender-</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444444"/>
              </w:rPr>
              <w:t>based social bonds</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444444"/>
              </w:rPr>
              <w:t>in conjunction with</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444444"/>
              </w:rPr>
              <w:t>BID Invest for a total</w:t>
            </w:r>
          </w:p>
        </w:tc>
      </w:tr>
      <w:tr>
        <w:trPr>
          <w:trHeight w:val="174"/>
        </w:trPr>
        <w:tc>
          <w:tcPr>
            <w:tcW w:w="1940" w:type="dxa"/>
            <w:vAlign w:val="bottom"/>
            <w:tcBorders>
              <w:left w:val="single" w:sz="8" w:color="auto"/>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444444"/>
              </w:rPr>
              <w:t>of US$ 28 million</w:t>
            </w:r>
          </w:p>
        </w:tc>
      </w:tr>
      <w:tr>
        <w:trPr>
          <w:trHeight w:val="164"/>
        </w:trPr>
        <w:tc>
          <w:tcPr>
            <w:tcW w:w="194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b w:val="1"/>
                <w:bCs w:val="1"/>
                <w:color w:val="auto"/>
              </w:rPr>
              <w:t>BCP Bolivia</w:t>
            </w:r>
          </w:p>
        </w:tc>
        <w:tc>
          <w:tcPr>
            <w:tcW w:w="1380" w:type="dxa"/>
            <w:vAlign w:val="bottom"/>
            <w:tcBorders>
              <w:right w:val="single" w:sz="8" w:color="auto"/>
            </w:tcBorders>
          </w:tcPr>
          <w:p>
            <w:pPr>
              <w:ind w:left="260"/>
              <w:spacing w:after="0" w:line="164" w:lineRule="exact"/>
              <w:rPr>
                <w:sz w:val="20"/>
                <w:szCs w:val="20"/>
                <w:color w:val="auto"/>
              </w:rPr>
            </w:pPr>
            <w:r>
              <w:rPr>
                <w:rFonts w:ascii="Arial" w:cs="Arial" w:eastAsia="Arial" w:hAnsi="Arial"/>
                <w:sz w:val="15"/>
                <w:szCs w:val="15"/>
                <w:color w:val="auto"/>
              </w:rPr>
              <w:t>Sustainable</w:t>
            </w:r>
          </w:p>
        </w:tc>
        <w:tc>
          <w:tcPr>
            <w:tcW w:w="300" w:type="dxa"/>
            <w:vAlign w:val="bottom"/>
          </w:tcPr>
          <w:p>
            <w:pPr>
              <w:spacing w:after="0" w:line="164" w:lineRule="exact"/>
              <w:rPr>
                <w:sz w:val="20"/>
                <w:szCs w:val="20"/>
                <w:color w:val="auto"/>
              </w:rPr>
            </w:pPr>
            <w:r>
              <w:rPr>
                <w:rFonts w:ascii="Arial" w:cs="Arial" w:eastAsia="Arial" w:hAnsi="Arial"/>
                <w:sz w:val="15"/>
                <w:szCs w:val="15"/>
                <w:color w:val="auto"/>
              </w:rPr>
              <w:t>●</w:t>
            </w:r>
          </w:p>
        </w:tc>
        <w:tc>
          <w:tcPr>
            <w:tcW w:w="1800" w:type="dxa"/>
            <w:vAlign w:val="bottom"/>
            <w:tcBorders>
              <w:right w:val="single" w:sz="8" w:color="auto"/>
            </w:tcBorders>
          </w:tcPr>
          <w:p>
            <w:pPr>
              <w:ind w:left="220"/>
              <w:spacing w:after="0" w:line="164" w:lineRule="exact"/>
              <w:rPr>
                <w:sz w:val="20"/>
                <w:szCs w:val="20"/>
                <w:color w:val="auto"/>
              </w:rPr>
            </w:pPr>
            <w:r>
              <w:rPr>
                <w:rFonts w:ascii="Arial" w:cs="Arial" w:eastAsia="Arial" w:hAnsi="Arial"/>
                <w:sz w:val="15"/>
                <w:szCs w:val="15"/>
                <w:color w:val="auto"/>
              </w:rPr>
              <w:t>Loan product for</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Financial</w:t>
            </w: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electric vehicles</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Products</w:t>
            </w: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(wholesale and</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retail); designed a</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product for energy</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transition and a</w:t>
            </w: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sustainable</w:t>
            </w:r>
          </w:p>
        </w:tc>
      </w:tr>
      <w:tr>
        <w:trPr>
          <w:trHeight w:val="174"/>
        </w:trPr>
        <w:tc>
          <w:tcPr>
            <w:tcW w:w="1940" w:type="dxa"/>
            <w:vAlign w:val="bottom"/>
            <w:tcBorders>
              <w:left w:val="single" w:sz="8" w:color="auto"/>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agricultural product</w:t>
            </w:r>
          </w:p>
        </w:tc>
      </w:tr>
    </w:tbl>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7 green loans granted by BCP were verified (6 through SPO39 and 1 through our Environmental Taxonomy), which exceeded the target of 5 verifications of operations set earlier: 2 projects for renewable energy; 1 for provision of sustainably managed timber; 2 related to the circular economy (scrap metal years and recyclable packaging); 1 waste management project; and 1 waste water treatment project.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Sustainable Financing Framework – BCP</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In 2022, BCP launched the Sustainable Financing Framework to raise funds for socially and environmentally sustainable activities. This was built according to the guidelines of the International Capital Markets Association </w:t>
      </w:r>
      <w:r>
        <w:rPr>
          <w:rFonts w:ascii="Arial" w:cs="Arial" w:eastAsia="Arial" w:hAnsi="Arial"/>
          <w:sz w:val="15"/>
          <w:szCs w:val="15"/>
          <w:color w:val="121212"/>
        </w:rPr>
        <w:t>(ICMA), the</w:t>
      </w:r>
      <w:r>
        <w:rPr>
          <w:rFonts w:ascii="Arial" w:cs="Arial" w:eastAsia="Arial" w:hAnsi="Arial"/>
          <w:sz w:val="15"/>
          <w:szCs w:val="15"/>
          <w:color w:val="auto"/>
        </w:rPr>
        <w:t xml:space="preserve"> </w:t>
      </w:r>
      <w:r>
        <w:rPr>
          <w:rFonts w:ascii="Arial" w:cs="Arial" w:eastAsia="Arial" w:hAnsi="Arial"/>
          <w:sz w:val="15"/>
          <w:szCs w:val="15"/>
          <w:color w:val="121212"/>
        </w:rPr>
        <w:t>Green Bond Principles 2021 (GBP), Social Bond Principles 2021 (SBP) and the Green Bond Principles 2021 (GLP). BCP was also the first bank in Latin American to have received a “strong” rating from S&amp;P Ratings for its sustainable financing framework. In June 2022, after articulating work across areas, BCP issued its first green bond for a total of US$30 million, which constituted the first international issuance in the Peruvian private banking system. The Risk Area built the Environmental Taxonomy for Loans to categorize clients that engage in sustainable activities and identify prospects for green financing. This served as an input for the Sustainable Financing Framework and is also useful in efforts to identify future opportunities for advisory services. In conjunction, the business teams developed a governance process for approvals and created channels to identify and label green or sustainable financing. The Framework will be updated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79" w:right="319" w:bottom="1440" w:gutter="0" w:footer="0" w:header="0"/>
        </w:sectPr>
      </w:pPr>
    </w:p>
    <w:bookmarkStart w:id="129" w:name="page130"/>
    <w:bookmarkEnd w:id="129"/>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Green Financing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Borders>
              <w:right w:val="single" w:sz="8" w:color="auto"/>
            </w:tcBorders>
          </w:tcPr>
          <w:p>
            <w:pPr>
              <w:spacing w:after="0"/>
              <w:rPr>
                <w:sz w:val="14"/>
                <w:szCs w:val="14"/>
                <w:color w:val="auto"/>
              </w:rPr>
            </w:pPr>
          </w:p>
        </w:tc>
        <w:tc>
          <w:tcPr>
            <w:tcW w:w="1360" w:type="dxa"/>
            <w:vAlign w:val="bottom"/>
            <w:tcBorders>
              <w:top w:val="single" w:sz="8" w:color="auto"/>
              <w:right w:val="single" w:sz="8" w:color="auto"/>
            </w:tcBorders>
            <w:gridSpan w:val="2"/>
            <w:vMerge w:val="restart"/>
          </w:tcPr>
          <w:p>
            <w:pPr>
              <w:ind w:left="260"/>
              <w:spacing w:after="0"/>
              <w:rPr>
                <w:sz w:val="20"/>
                <w:szCs w:val="20"/>
                <w:color w:val="auto"/>
              </w:rPr>
            </w:pPr>
            <w:r>
              <w:rPr>
                <w:rFonts w:ascii="Arial" w:cs="Arial" w:eastAsia="Arial" w:hAnsi="Arial"/>
                <w:sz w:val="15"/>
                <w:szCs w:val="15"/>
                <w:b w:val="1"/>
                <w:bCs w:val="1"/>
                <w:color w:val="auto"/>
              </w:rPr>
              <w:t>Categories</w:t>
            </w:r>
          </w:p>
        </w:tc>
        <w:tc>
          <w:tcPr>
            <w:tcW w:w="2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Eligibility Criteria</w:t>
            </w:r>
          </w:p>
        </w:tc>
        <w:tc>
          <w:tcPr>
            <w:tcW w:w="1320" w:type="dxa"/>
            <w:vAlign w:val="bottom"/>
            <w:tcBorders>
              <w:top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rPr>
              <w:t>Alignment with</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SDG</w:t>
            </w:r>
          </w:p>
        </w:tc>
        <w:tc>
          <w:tcPr>
            <w:tcW w:w="0" w:type="dxa"/>
            <w:vAlign w:val="bottom"/>
          </w:tcPr>
          <w:p>
            <w:pPr>
              <w:spacing w:after="0"/>
              <w:rPr>
                <w:sz w:val="1"/>
                <w:szCs w:val="1"/>
                <w:color w:val="auto"/>
              </w:rPr>
            </w:pPr>
          </w:p>
        </w:tc>
      </w:tr>
      <w:tr>
        <w:trPr>
          <w:trHeight w:val="84"/>
        </w:trPr>
        <w:tc>
          <w:tcPr>
            <w:tcW w:w="40" w:type="dxa"/>
            <w:vAlign w:val="bottom"/>
            <w:tcBorders>
              <w:right w:val="single" w:sz="8" w:color="auto"/>
            </w:tcBorders>
          </w:tcPr>
          <w:p>
            <w:pPr>
              <w:spacing w:after="0"/>
              <w:rPr>
                <w:sz w:val="7"/>
                <w:szCs w:val="7"/>
                <w:color w:val="auto"/>
              </w:rPr>
            </w:pPr>
          </w:p>
        </w:tc>
        <w:tc>
          <w:tcPr>
            <w:tcW w:w="1320" w:type="dxa"/>
            <w:vAlign w:val="bottom"/>
            <w:tcBorders>
              <w:bottom w:val="single" w:sz="8" w:color="8EAADB"/>
            </w:tcBorders>
          </w:tcPr>
          <w:p>
            <w:pPr>
              <w:spacing w:after="0"/>
              <w:rPr>
                <w:sz w:val="7"/>
                <w:szCs w:val="7"/>
                <w:color w:val="auto"/>
              </w:rPr>
            </w:pPr>
          </w:p>
        </w:tc>
        <w:tc>
          <w:tcPr>
            <w:tcW w:w="40" w:type="dxa"/>
            <w:vAlign w:val="bottom"/>
            <w:tcBorders>
              <w:bottom w:val="single" w:sz="8" w:color="8EAADB"/>
              <w:right w:val="single" w:sz="8" w:color="auto"/>
            </w:tcBorders>
          </w:tcPr>
          <w:p>
            <w:pPr>
              <w:spacing w:after="0"/>
              <w:rPr>
                <w:sz w:val="7"/>
                <w:szCs w:val="7"/>
                <w:color w:val="auto"/>
              </w:rPr>
            </w:pPr>
          </w:p>
        </w:tc>
        <w:tc>
          <w:tcPr>
            <w:tcW w:w="2680" w:type="dxa"/>
            <w:vAlign w:val="bottom"/>
            <w:tcBorders>
              <w:bottom w:val="single" w:sz="8" w:color="8EAADB"/>
              <w:right w:val="single" w:sz="8" w:color="auto"/>
            </w:tcBorders>
          </w:tcPr>
          <w:p>
            <w:pPr>
              <w:spacing w:after="0"/>
              <w:rPr>
                <w:sz w:val="7"/>
                <w:szCs w:val="7"/>
                <w:color w:val="auto"/>
              </w:rPr>
            </w:pPr>
          </w:p>
        </w:tc>
        <w:tc>
          <w:tcPr>
            <w:tcW w:w="1320" w:type="dxa"/>
            <w:vAlign w:val="bottom"/>
            <w:tcBorders>
              <w:bottom w:val="single" w:sz="8" w:color="8EAADB"/>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gridSpan w:val="2"/>
          </w:tcPr>
          <w:p>
            <w:pPr>
              <w:ind w:left="40"/>
              <w:spacing w:after="0" w:line="154" w:lineRule="exact"/>
              <w:rPr>
                <w:sz w:val="20"/>
                <w:szCs w:val="20"/>
                <w:color w:val="auto"/>
              </w:rPr>
            </w:pPr>
            <w:r>
              <w:rPr>
                <w:rFonts w:ascii="Arial" w:cs="Arial" w:eastAsia="Arial" w:hAnsi="Arial"/>
                <w:sz w:val="15"/>
                <w:szCs w:val="15"/>
                <w:b w:val="1"/>
                <w:bCs w:val="1"/>
                <w:color w:val="auto"/>
              </w:rPr>
              <w:t>Renewable</w:t>
            </w:r>
          </w:p>
        </w:tc>
        <w:tc>
          <w:tcPr>
            <w:tcW w:w="268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5"/>
                <w:szCs w:val="15"/>
                <w:color w:val="auto"/>
              </w:rPr>
              <w:t>Financing or refinancing for the</w:t>
            </w:r>
          </w:p>
        </w:tc>
        <w:tc>
          <w:tcPr>
            <w:tcW w:w="1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energy</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construction, development,</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operation, acquisition, maintenance,</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connection, transmission and</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distribution of renewable energy</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projects</w:t>
            </w:r>
          </w:p>
        </w:tc>
        <w:tc>
          <w:tcPr>
            <w:tcW w:w="1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Clean</w:t>
            </w:r>
          </w:p>
        </w:tc>
        <w:tc>
          <w:tcPr>
            <w:tcW w:w="268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Financing or refinancing for the</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transportation</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construction, development,</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operation, acquisition and</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maintenance of low-carbon</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transportation</w:t>
            </w:r>
          </w:p>
        </w:tc>
        <w:tc>
          <w:tcPr>
            <w:tcW w:w="1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Green</w:t>
            </w:r>
          </w:p>
        </w:tc>
        <w:tc>
          <w:tcPr>
            <w:tcW w:w="268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Loans for commercial or residential</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Buildings</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building with LEED Gold/Platinum</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certification</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Energy</w:t>
            </w:r>
          </w:p>
        </w:tc>
        <w:tc>
          <w:tcPr>
            <w:tcW w:w="268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Loans related to activities that</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Efficiency</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contribute to reducing energy</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consumption and help manage and</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store energy</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9"/>
        </w:trPr>
        <w:tc>
          <w:tcPr>
            <w:tcW w:w="40" w:type="dxa"/>
            <w:vAlign w:val="bottom"/>
            <w:tcBorders>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Sustainable</w:t>
            </w:r>
          </w:p>
        </w:tc>
        <w:tc>
          <w:tcPr>
            <w:tcW w:w="268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Financing or refinancing of the</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Management of</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construction, development,</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Water and</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operation, acquisition and</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Effluents</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maintenance of infrastructure that</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prevents waste of water and/or</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reduces its use</w:t>
            </w:r>
          </w:p>
        </w:tc>
        <w:tc>
          <w:tcPr>
            <w:tcW w:w="1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Environmentally</w:t>
            </w:r>
          </w:p>
        </w:tc>
        <w:tc>
          <w:tcPr>
            <w:tcW w:w="268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Loans to acquire, develop and/or</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sustainable use</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operate resources managed</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of natural living</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sustainably and certified by credible</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resources and</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third parties</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sustainable use</w:t>
            </w:r>
          </w:p>
        </w:tc>
        <w:tc>
          <w:tcPr>
            <w:tcW w:w="2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of land</w:t>
            </w:r>
          </w:p>
        </w:tc>
        <w:tc>
          <w:tcPr>
            <w:tcW w:w="268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E93CAC"/>
              </w:rPr>
              <w:t>Social Financing</w:t>
            </w:r>
          </w:p>
        </w:tc>
        <w:tc>
          <w:tcPr>
            <w:tcW w:w="2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5"/>
                <w:szCs w:val="15"/>
                <w:b w:val="1"/>
                <w:bCs w:val="1"/>
                <w:color w:val="auto"/>
              </w:rPr>
              <w:t>Categories</w:t>
            </w:r>
          </w:p>
        </w:tc>
        <w:tc>
          <w:tcPr>
            <w:tcW w:w="40" w:type="dxa"/>
            <w:vAlign w:val="bottom"/>
          </w:tcPr>
          <w:p>
            <w:pPr>
              <w:spacing w:after="0"/>
              <w:rPr>
                <w:sz w:val="12"/>
                <w:szCs w:val="12"/>
                <w:color w:val="auto"/>
              </w:rPr>
            </w:pPr>
          </w:p>
        </w:tc>
        <w:tc>
          <w:tcPr>
            <w:tcW w:w="2680" w:type="dxa"/>
            <w:vAlign w:val="bottom"/>
            <w:tcBorders>
              <w:right w:val="single" w:sz="8" w:color="auto"/>
            </w:tcBorders>
          </w:tcPr>
          <w:p>
            <w:pPr>
              <w:jc w:val="center"/>
              <w:ind w:right="23"/>
              <w:spacing w:after="0" w:line="146" w:lineRule="exact"/>
              <w:rPr>
                <w:sz w:val="20"/>
                <w:szCs w:val="20"/>
                <w:color w:val="auto"/>
              </w:rPr>
            </w:pPr>
            <w:r>
              <w:rPr>
                <w:rFonts w:ascii="Arial" w:cs="Arial" w:eastAsia="Arial" w:hAnsi="Arial"/>
                <w:sz w:val="15"/>
                <w:szCs w:val="15"/>
                <w:b w:val="1"/>
                <w:bCs w:val="1"/>
                <w:color w:val="auto"/>
              </w:rPr>
              <w:t>Eligibility criteria and the target</w:t>
            </w:r>
          </w:p>
        </w:tc>
        <w:tc>
          <w:tcPr>
            <w:tcW w:w="1320" w:type="dxa"/>
            <w:vAlign w:val="bottom"/>
            <w:tcBorders>
              <w:right w:val="single" w:sz="8" w:color="auto"/>
            </w:tcBorders>
          </w:tcPr>
          <w:p>
            <w:pPr>
              <w:ind w:left="60"/>
              <w:spacing w:after="0" w:line="146" w:lineRule="exact"/>
              <w:rPr>
                <w:sz w:val="20"/>
                <w:szCs w:val="20"/>
                <w:color w:val="auto"/>
              </w:rPr>
            </w:pPr>
            <w:r>
              <w:rPr>
                <w:rFonts w:ascii="Arial" w:cs="Arial" w:eastAsia="Arial" w:hAnsi="Arial"/>
                <w:sz w:val="15"/>
                <w:szCs w:val="15"/>
                <w:b w:val="1"/>
                <w:bCs w:val="1"/>
                <w:color w:val="auto"/>
              </w:rPr>
              <w:t>Alignment with</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268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b w:val="1"/>
                <w:bCs w:val="1"/>
                <w:color w:val="auto"/>
              </w:rPr>
              <w:t>population</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SDG</w:t>
            </w:r>
          </w:p>
        </w:tc>
        <w:tc>
          <w:tcPr>
            <w:tcW w:w="0" w:type="dxa"/>
            <w:vAlign w:val="bottom"/>
          </w:tcPr>
          <w:p>
            <w:pPr>
              <w:spacing w:after="0"/>
              <w:rPr>
                <w:sz w:val="1"/>
                <w:szCs w:val="1"/>
                <w:color w:val="auto"/>
              </w:rPr>
            </w:pPr>
          </w:p>
        </w:tc>
      </w:tr>
      <w:tr>
        <w:trPr>
          <w:trHeight w:val="84"/>
        </w:trPr>
        <w:tc>
          <w:tcPr>
            <w:tcW w:w="40" w:type="dxa"/>
            <w:vAlign w:val="bottom"/>
            <w:tcBorders>
              <w:right w:val="single" w:sz="8" w:color="auto"/>
            </w:tcBorders>
          </w:tcPr>
          <w:p>
            <w:pPr>
              <w:spacing w:after="0"/>
              <w:rPr>
                <w:sz w:val="7"/>
                <w:szCs w:val="7"/>
                <w:color w:val="auto"/>
              </w:rPr>
            </w:pPr>
          </w:p>
        </w:tc>
        <w:tc>
          <w:tcPr>
            <w:tcW w:w="1320" w:type="dxa"/>
            <w:vAlign w:val="bottom"/>
            <w:tcBorders>
              <w:bottom w:val="single" w:sz="8" w:color="8EAADB"/>
              <w:right w:val="single" w:sz="8" w:color="auto"/>
            </w:tcBorders>
          </w:tcPr>
          <w:p>
            <w:pPr>
              <w:spacing w:after="0"/>
              <w:rPr>
                <w:sz w:val="7"/>
                <w:szCs w:val="7"/>
                <w:color w:val="auto"/>
              </w:rPr>
            </w:pPr>
          </w:p>
        </w:tc>
        <w:tc>
          <w:tcPr>
            <w:tcW w:w="40" w:type="dxa"/>
            <w:vAlign w:val="bottom"/>
            <w:tcBorders>
              <w:bottom w:val="single" w:sz="8" w:color="8EAADB"/>
            </w:tcBorders>
          </w:tcPr>
          <w:p>
            <w:pPr>
              <w:spacing w:after="0"/>
              <w:rPr>
                <w:sz w:val="7"/>
                <w:szCs w:val="7"/>
                <w:color w:val="auto"/>
              </w:rPr>
            </w:pPr>
          </w:p>
        </w:tc>
        <w:tc>
          <w:tcPr>
            <w:tcW w:w="2680" w:type="dxa"/>
            <w:vAlign w:val="bottom"/>
            <w:tcBorders>
              <w:bottom w:val="single" w:sz="8" w:color="8EAADB"/>
              <w:right w:val="single" w:sz="8" w:color="auto"/>
            </w:tcBorders>
            <w:vMerge w:val="continue"/>
          </w:tcPr>
          <w:p>
            <w:pPr>
              <w:spacing w:after="0"/>
              <w:rPr>
                <w:sz w:val="7"/>
                <w:szCs w:val="7"/>
                <w:color w:val="auto"/>
              </w:rPr>
            </w:pPr>
          </w:p>
        </w:tc>
        <w:tc>
          <w:tcPr>
            <w:tcW w:w="1320" w:type="dxa"/>
            <w:vAlign w:val="bottom"/>
            <w:tcBorders>
              <w:bottom w:val="single" w:sz="8" w:color="8EAADB"/>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40"/>
              <w:spacing w:after="0" w:line="154" w:lineRule="exact"/>
              <w:rPr>
                <w:sz w:val="20"/>
                <w:szCs w:val="20"/>
                <w:color w:val="auto"/>
              </w:rPr>
            </w:pPr>
            <w:r>
              <w:rPr>
                <w:rFonts w:ascii="Arial" w:cs="Arial" w:eastAsia="Arial" w:hAnsi="Arial"/>
                <w:sz w:val="15"/>
                <w:szCs w:val="15"/>
                <w:b w:val="1"/>
                <w:bCs w:val="1"/>
                <w:color w:val="auto"/>
              </w:rPr>
              <w:t>Socio-</w:t>
            </w:r>
          </w:p>
        </w:tc>
        <w:tc>
          <w:tcPr>
            <w:tcW w:w="40" w:type="dxa"/>
            <w:vAlign w:val="bottom"/>
          </w:tcPr>
          <w:p>
            <w:pPr>
              <w:spacing w:after="0"/>
              <w:rPr>
                <w:sz w:val="13"/>
                <w:szCs w:val="13"/>
                <w:color w:val="auto"/>
              </w:rPr>
            </w:pPr>
          </w:p>
        </w:tc>
        <w:tc>
          <w:tcPr>
            <w:tcW w:w="2680" w:type="dxa"/>
            <w:vAlign w:val="bottom"/>
            <w:tcBorders>
              <w:right w:val="single" w:sz="8" w:color="auto"/>
            </w:tcBorders>
          </w:tcPr>
          <w:p>
            <w:pPr>
              <w:ind w:left="40"/>
              <w:spacing w:after="0" w:line="154" w:lineRule="exact"/>
              <w:rPr>
                <w:sz w:val="20"/>
                <w:szCs w:val="20"/>
                <w:color w:val="auto"/>
              </w:rPr>
            </w:pPr>
            <w:r>
              <w:rPr>
                <w:rFonts w:ascii="Arial" w:cs="Arial" w:eastAsia="Arial" w:hAnsi="Arial"/>
                <w:sz w:val="15"/>
                <w:szCs w:val="15"/>
                <w:color w:val="auto"/>
              </w:rPr>
              <w:t>Activities and financing to support</w:t>
            </w:r>
          </w:p>
        </w:tc>
        <w:tc>
          <w:tcPr>
            <w:tcW w:w="1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economic</w:t>
            </w:r>
          </w:p>
        </w:tc>
        <w:tc>
          <w:tcPr>
            <w:tcW w:w="40" w:type="dxa"/>
            <w:vAlign w:val="bottom"/>
          </w:tcPr>
          <w:p>
            <w:pPr>
              <w:spacing w:after="0"/>
              <w:rPr>
                <w:sz w:val="15"/>
                <w:szCs w:val="15"/>
                <w:color w:val="auto"/>
              </w:rPr>
            </w:pP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businesses owned by women</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development</w:t>
            </w:r>
          </w:p>
        </w:tc>
        <w:tc>
          <w:tcPr>
            <w:tcW w:w="40" w:type="dxa"/>
            <w:vAlign w:val="bottom"/>
          </w:tcPr>
          <w:p>
            <w:pPr>
              <w:spacing w:after="0"/>
              <w:rPr>
                <w:sz w:val="15"/>
                <w:szCs w:val="15"/>
                <w:color w:val="auto"/>
              </w:rPr>
            </w:pPr>
          </w:p>
        </w:tc>
        <w:tc>
          <w:tcPr>
            <w:tcW w:w="2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and</w:t>
            </w:r>
          </w:p>
        </w:tc>
        <w:tc>
          <w:tcPr>
            <w:tcW w:w="40" w:type="dxa"/>
            <w:vAlign w:val="bottom"/>
          </w:tcPr>
          <w:p>
            <w:pPr>
              <w:spacing w:after="0"/>
              <w:rPr>
                <w:sz w:val="15"/>
                <w:szCs w:val="15"/>
                <w:color w:val="auto"/>
              </w:rPr>
            </w:pPr>
          </w:p>
        </w:tc>
        <w:tc>
          <w:tcPr>
            <w:tcW w:w="2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Empowerment</w:t>
            </w:r>
          </w:p>
        </w:tc>
        <w:tc>
          <w:tcPr>
            <w:tcW w:w="40" w:type="dxa"/>
            <w:vAlign w:val="bottom"/>
          </w:tcPr>
          <w:p>
            <w:pPr>
              <w:spacing w:after="0"/>
              <w:rPr>
                <w:sz w:val="15"/>
                <w:szCs w:val="15"/>
                <w:color w:val="auto"/>
              </w:rPr>
            </w:pPr>
          </w:p>
        </w:tc>
        <w:tc>
          <w:tcPr>
            <w:tcW w:w="2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of Women</w:t>
            </w:r>
          </w:p>
        </w:tc>
        <w:tc>
          <w:tcPr>
            <w:tcW w:w="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ind w:left="40"/>
              <w:spacing w:after="0" w:line="146" w:lineRule="exact"/>
              <w:rPr>
                <w:sz w:val="20"/>
                <w:szCs w:val="20"/>
                <w:color w:val="auto"/>
              </w:rPr>
            </w:pPr>
            <w:r>
              <w:rPr>
                <w:rFonts w:ascii="Arial" w:cs="Arial" w:eastAsia="Arial" w:hAnsi="Arial"/>
                <w:sz w:val="15"/>
                <w:szCs w:val="15"/>
                <w:b w:val="1"/>
                <w:bCs w:val="1"/>
                <w:color w:val="auto"/>
              </w:rPr>
              <w:t>Socio-</w:t>
            </w:r>
          </w:p>
        </w:tc>
        <w:tc>
          <w:tcPr>
            <w:tcW w:w="40" w:type="dxa"/>
            <w:vAlign w:val="bottom"/>
          </w:tcPr>
          <w:p>
            <w:pPr>
              <w:spacing w:after="0"/>
              <w:rPr>
                <w:sz w:val="12"/>
                <w:szCs w:val="12"/>
                <w:color w:val="auto"/>
              </w:rPr>
            </w:pPr>
          </w:p>
        </w:tc>
        <w:tc>
          <w:tcPr>
            <w:tcW w:w="2680" w:type="dxa"/>
            <w:vAlign w:val="bottom"/>
            <w:tcBorders>
              <w:right w:val="single" w:sz="8" w:color="auto"/>
            </w:tcBorders>
          </w:tcPr>
          <w:p>
            <w:pPr>
              <w:ind w:left="40"/>
              <w:spacing w:after="0" w:line="146" w:lineRule="exact"/>
              <w:rPr>
                <w:sz w:val="20"/>
                <w:szCs w:val="20"/>
                <w:color w:val="auto"/>
              </w:rPr>
            </w:pPr>
            <w:r>
              <w:rPr>
                <w:rFonts w:ascii="Arial" w:cs="Arial" w:eastAsia="Arial" w:hAnsi="Arial"/>
                <w:sz w:val="15"/>
                <w:szCs w:val="15"/>
                <w:color w:val="auto"/>
              </w:rPr>
              <w:t>Training and financial education for</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economic</w:t>
            </w:r>
          </w:p>
        </w:tc>
        <w:tc>
          <w:tcPr>
            <w:tcW w:w="40" w:type="dxa"/>
            <w:vAlign w:val="bottom"/>
          </w:tcPr>
          <w:p>
            <w:pPr>
              <w:spacing w:after="0"/>
              <w:rPr>
                <w:sz w:val="15"/>
                <w:szCs w:val="15"/>
                <w:color w:val="auto"/>
              </w:rPr>
            </w:pP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the Unbanked and Under-Banked</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development</w:t>
            </w:r>
          </w:p>
        </w:tc>
        <w:tc>
          <w:tcPr>
            <w:tcW w:w="40" w:type="dxa"/>
            <w:vAlign w:val="bottom"/>
          </w:tcPr>
          <w:p>
            <w:pPr>
              <w:spacing w:after="0"/>
              <w:rPr>
                <w:sz w:val="15"/>
                <w:szCs w:val="15"/>
                <w:color w:val="auto"/>
              </w:rPr>
            </w:pP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Populations to improve their</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and</w:t>
            </w:r>
          </w:p>
        </w:tc>
        <w:tc>
          <w:tcPr>
            <w:tcW w:w="40" w:type="dxa"/>
            <w:vAlign w:val="bottom"/>
          </w:tcPr>
          <w:p>
            <w:pPr>
              <w:spacing w:after="0"/>
              <w:rPr>
                <w:sz w:val="15"/>
                <w:szCs w:val="15"/>
                <w:color w:val="auto"/>
              </w:rPr>
            </w:pP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knowledge and skills and help them</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empowerment-</w:t>
            </w:r>
          </w:p>
        </w:tc>
        <w:tc>
          <w:tcPr>
            <w:tcW w:w="272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make better financial decisions</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Financial</w:t>
            </w:r>
          </w:p>
        </w:tc>
        <w:tc>
          <w:tcPr>
            <w:tcW w:w="40" w:type="dxa"/>
            <w:vAlign w:val="bottom"/>
          </w:tcPr>
          <w:p>
            <w:pPr>
              <w:spacing w:after="0"/>
              <w:rPr>
                <w:sz w:val="15"/>
                <w:szCs w:val="15"/>
                <w:color w:val="auto"/>
              </w:rPr>
            </w:pPr>
          </w:p>
        </w:tc>
        <w:tc>
          <w:tcPr>
            <w:tcW w:w="2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Education</w:t>
            </w:r>
          </w:p>
        </w:tc>
        <w:tc>
          <w:tcPr>
            <w:tcW w:w="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-5951220</wp:posOffset>
            </wp:positionV>
            <wp:extent cx="688340" cy="3295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8340" cy="32956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-5285105</wp:posOffset>
            </wp:positionV>
            <wp:extent cx="688340" cy="3295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8340" cy="32956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-4728845</wp:posOffset>
            </wp:positionV>
            <wp:extent cx="732155" cy="3295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2155" cy="32956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-4260215</wp:posOffset>
            </wp:positionV>
            <wp:extent cx="329565" cy="13468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9565" cy="134683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-2569210</wp:posOffset>
            </wp:positionV>
            <wp:extent cx="688340" cy="3295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8340" cy="32956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-1441450</wp:posOffset>
            </wp:positionV>
            <wp:extent cx="329565" cy="3219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9565" cy="32194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-775335</wp:posOffset>
            </wp:positionV>
            <wp:extent cx="688340" cy="3295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8340" cy="329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6"/>
        </w:trPr>
        <w:tc>
          <w:tcPr>
            <w:tcW w:w="1380" w:type="dxa"/>
            <w:vAlign w:val="bottom"/>
            <w:tcBorders>
              <w:top w:val="single" w:sz="8" w:color="auto"/>
              <w:left w:val="single" w:sz="8" w:color="auto"/>
              <w:right w:val="single" w:sz="8" w:color="auto"/>
            </w:tcBorders>
          </w:tcPr>
          <w:p>
            <w:pPr>
              <w:ind w:left="100"/>
              <w:spacing w:after="0" w:line="166" w:lineRule="exact"/>
              <w:rPr>
                <w:sz w:val="20"/>
                <w:szCs w:val="20"/>
                <w:color w:val="auto"/>
              </w:rPr>
            </w:pPr>
            <w:r>
              <w:rPr>
                <w:rFonts w:ascii="Arial" w:cs="Arial" w:eastAsia="Arial" w:hAnsi="Arial"/>
                <w:sz w:val="15"/>
                <w:szCs w:val="15"/>
                <w:b w:val="1"/>
                <w:bCs w:val="1"/>
                <w:color w:val="auto"/>
              </w:rPr>
              <w:t>Financing for</w:t>
            </w:r>
          </w:p>
        </w:tc>
        <w:tc>
          <w:tcPr>
            <w:tcW w:w="2700" w:type="dxa"/>
            <w:vAlign w:val="bottom"/>
            <w:tcBorders>
              <w:top w:val="single" w:sz="8" w:color="auto"/>
              <w:right w:val="single" w:sz="8" w:color="auto"/>
            </w:tcBorders>
            <w:gridSpan w:val="2"/>
          </w:tcPr>
          <w:p>
            <w:pPr>
              <w:ind w:left="80"/>
              <w:spacing w:after="0" w:line="166" w:lineRule="exact"/>
              <w:rPr>
                <w:sz w:val="20"/>
                <w:szCs w:val="20"/>
                <w:color w:val="auto"/>
              </w:rPr>
            </w:pPr>
            <w:r>
              <w:rPr>
                <w:rFonts w:ascii="Arial" w:cs="Arial" w:eastAsia="Arial" w:hAnsi="Arial"/>
                <w:sz w:val="15"/>
                <w:szCs w:val="15"/>
                <w:color w:val="auto"/>
              </w:rPr>
              <w:t>Activities and financing to support</w:t>
            </w:r>
          </w:p>
        </w:tc>
        <w:tc>
          <w:tcPr>
            <w:tcW w:w="1340" w:type="dxa"/>
            <w:vAlign w:val="bottom"/>
            <w:tcBorders>
              <w:top w:val="single" w:sz="8" w:color="auto"/>
              <w:right w:val="single" w:sz="8" w:color="auto"/>
            </w:tcBorders>
          </w:tcPr>
          <w:p>
            <w:pPr>
              <w:spacing w:after="0"/>
              <w:rPr>
                <w:sz w:val="14"/>
                <w:szCs w:val="14"/>
                <w:color w:val="auto"/>
              </w:rPr>
            </w:pPr>
          </w:p>
        </w:tc>
      </w:tr>
      <w:tr>
        <w:trPr>
          <w:trHeight w:val="173"/>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small, medium</w:t>
            </w:r>
          </w:p>
        </w:tc>
        <w:tc>
          <w:tcPr>
            <w:tcW w:w="270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micro, small and medium businesses</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and micro</w:t>
            </w:r>
          </w:p>
        </w:tc>
        <w:tc>
          <w:tcPr>
            <w:tcW w:w="52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92"/>
        </w:trPr>
        <w:tc>
          <w:tcPr>
            <w:tcW w:w="1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businesses</w:t>
            </w:r>
          </w:p>
        </w:tc>
        <w:tc>
          <w:tcPr>
            <w:tcW w:w="52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146"/>
        </w:trPr>
        <w:tc>
          <w:tcPr>
            <w:tcW w:w="138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5"/>
                <w:szCs w:val="15"/>
                <w:b w:val="1"/>
                <w:bCs w:val="1"/>
                <w:color w:val="auto"/>
              </w:rPr>
              <w:t>Access to</w:t>
            </w:r>
          </w:p>
        </w:tc>
        <w:tc>
          <w:tcPr>
            <w:tcW w:w="2700" w:type="dxa"/>
            <w:vAlign w:val="bottom"/>
            <w:tcBorders>
              <w:right w:val="single" w:sz="8" w:color="auto"/>
            </w:tcBorders>
            <w:gridSpan w:val="2"/>
          </w:tcPr>
          <w:p>
            <w:pPr>
              <w:ind w:left="80"/>
              <w:spacing w:after="0" w:line="146" w:lineRule="exact"/>
              <w:rPr>
                <w:sz w:val="20"/>
                <w:szCs w:val="20"/>
                <w:color w:val="auto"/>
              </w:rPr>
            </w:pPr>
            <w:r>
              <w:rPr>
                <w:rFonts w:ascii="Arial" w:cs="Arial" w:eastAsia="Arial" w:hAnsi="Arial"/>
                <w:sz w:val="15"/>
                <w:szCs w:val="15"/>
                <w:color w:val="auto"/>
              </w:rPr>
              <w:t>Development and distribution of</w:t>
            </w:r>
          </w:p>
        </w:tc>
        <w:tc>
          <w:tcPr>
            <w:tcW w:w="1340" w:type="dxa"/>
            <w:vAlign w:val="bottom"/>
            <w:tcBorders>
              <w:right w:val="single" w:sz="8" w:color="auto"/>
            </w:tcBorders>
          </w:tcPr>
          <w:p>
            <w:pPr>
              <w:spacing w:after="0"/>
              <w:rPr>
                <w:sz w:val="12"/>
                <w:szCs w:val="12"/>
                <w:color w:val="auto"/>
              </w:rPr>
            </w:pPr>
          </w:p>
        </w:tc>
      </w:tr>
      <w:tr>
        <w:trPr>
          <w:trHeight w:val="173"/>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essential</w:t>
            </w:r>
          </w:p>
        </w:tc>
        <w:tc>
          <w:tcPr>
            <w:tcW w:w="270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financial services to provide access</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services –</w:t>
            </w:r>
          </w:p>
        </w:tc>
        <w:tc>
          <w:tcPr>
            <w:tcW w:w="270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to the Unbanked or Under-banked</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financial</w:t>
            </w:r>
          </w:p>
        </w:tc>
        <w:tc>
          <w:tcPr>
            <w:tcW w:w="270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Populations</w:t>
            </w:r>
          </w:p>
        </w:tc>
        <w:tc>
          <w:tcPr>
            <w:tcW w:w="1340" w:type="dxa"/>
            <w:vAlign w:val="bottom"/>
            <w:tcBorders>
              <w:right w:val="single" w:sz="8" w:color="auto"/>
            </w:tcBorders>
          </w:tcPr>
          <w:p>
            <w:pPr>
              <w:spacing w:after="0"/>
              <w:rPr>
                <w:sz w:val="15"/>
                <w:szCs w:val="15"/>
                <w:color w:val="auto"/>
              </w:rPr>
            </w:pPr>
          </w:p>
        </w:tc>
      </w:tr>
      <w:tr>
        <w:trPr>
          <w:trHeight w:val="192"/>
        </w:trPr>
        <w:tc>
          <w:tcPr>
            <w:tcW w:w="1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inclusion</w:t>
            </w:r>
          </w:p>
        </w:tc>
        <w:tc>
          <w:tcPr>
            <w:tcW w:w="52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146"/>
        </w:trPr>
        <w:tc>
          <w:tcPr>
            <w:tcW w:w="138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5"/>
                <w:szCs w:val="15"/>
                <w:b w:val="1"/>
                <w:bCs w:val="1"/>
                <w:color w:val="auto"/>
              </w:rPr>
              <w:t>Access to basic</w:t>
            </w:r>
          </w:p>
        </w:tc>
        <w:tc>
          <w:tcPr>
            <w:tcW w:w="520" w:type="dxa"/>
            <w:vAlign w:val="bottom"/>
          </w:tcPr>
          <w:p>
            <w:pPr>
              <w:ind w:left="340"/>
              <w:spacing w:after="0" w:line="146" w:lineRule="exact"/>
              <w:rPr>
                <w:sz w:val="20"/>
                <w:szCs w:val="20"/>
                <w:color w:val="auto"/>
              </w:rPr>
            </w:pPr>
            <w:r>
              <w:rPr>
                <w:rFonts w:ascii="Arial" w:cs="Arial" w:eastAsia="Arial" w:hAnsi="Arial"/>
                <w:sz w:val="15"/>
                <w:szCs w:val="15"/>
                <w:color w:val="auto"/>
              </w:rPr>
              <w:t>●</w:t>
            </w:r>
          </w:p>
        </w:tc>
        <w:tc>
          <w:tcPr>
            <w:tcW w:w="218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5"/>
                <w:szCs w:val="15"/>
                <w:color w:val="auto"/>
              </w:rPr>
              <w:t>Construction and</w:t>
            </w:r>
          </w:p>
        </w:tc>
        <w:tc>
          <w:tcPr>
            <w:tcW w:w="1340" w:type="dxa"/>
            <w:vAlign w:val="bottom"/>
            <w:tcBorders>
              <w:right w:val="single" w:sz="8" w:color="auto"/>
            </w:tcBorders>
          </w:tcPr>
          <w:p>
            <w:pPr>
              <w:spacing w:after="0"/>
              <w:rPr>
                <w:sz w:val="12"/>
                <w:szCs w:val="12"/>
                <w:color w:val="auto"/>
              </w:rPr>
            </w:pPr>
          </w:p>
        </w:tc>
      </w:tr>
      <w:tr>
        <w:trPr>
          <w:trHeight w:val="191"/>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infrastructure</w:t>
            </w:r>
          </w:p>
        </w:tc>
        <w:tc>
          <w:tcPr>
            <w:tcW w:w="520" w:type="dxa"/>
            <w:vAlign w:val="bottom"/>
          </w:tcPr>
          <w:p>
            <w:pPr>
              <w:spacing w:after="0"/>
              <w:rPr>
                <w:sz w:val="16"/>
                <w:szCs w:val="16"/>
                <w:color w:val="auto"/>
              </w:rPr>
            </w:pP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maintenance of sewers and</w:t>
            </w:r>
          </w:p>
        </w:tc>
        <w:tc>
          <w:tcPr>
            <w:tcW w:w="1340" w:type="dxa"/>
            <w:vAlign w:val="bottom"/>
            <w:tcBorders>
              <w:right w:val="single" w:sz="8" w:color="auto"/>
            </w:tcBorders>
          </w:tcPr>
          <w:p>
            <w:pPr>
              <w:spacing w:after="0"/>
              <w:rPr>
                <w:sz w:val="16"/>
                <w:szCs w:val="16"/>
                <w:color w:val="auto"/>
              </w:rPr>
            </w:pPr>
          </w:p>
        </w:tc>
      </w:tr>
      <w:tr>
        <w:trPr>
          <w:trHeight w:val="173"/>
        </w:trPr>
        <w:tc>
          <w:tcPr>
            <w:tcW w:w="138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water treatment, plants to</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improve living and sanitary</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conditions</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spacing w:after="0"/>
              <w:rPr>
                <w:sz w:val="15"/>
                <w:szCs w:val="15"/>
                <w:color w:val="auto"/>
              </w:rPr>
            </w:pPr>
          </w:p>
        </w:tc>
        <w:tc>
          <w:tcPr>
            <w:tcW w:w="520" w:type="dxa"/>
            <w:vAlign w:val="bottom"/>
          </w:tcPr>
          <w:p>
            <w:pPr>
              <w:ind w:left="340"/>
              <w:spacing w:after="0"/>
              <w:rPr>
                <w:sz w:val="20"/>
                <w:szCs w:val="20"/>
                <w:color w:val="auto"/>
              </w:rPr>
            </w:pPr>
            <w:r>
              <w:rPr>
                <w:rFonts w:ascii="Arial" w:cs="Arial" w:eastAsia="Arial" w:hAnsi="Arial"/>
                <w:sz w:val="15"/>
                <w:szCs w:val="15"/>
                <w:color w:val="auto"/>
              </w:rPr>
              <w:t>●</w:t>
            </w: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Strengthen, expand and</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improve homes to ensure</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that they are less vulnerable</w:t>
            </w:r>
          </w:p>
        </w:tc>
        <w:tc>
          <w:tcPr>
            <w:tcW w:w="1340" w:type="dxa"/>
            <w:vAlign w:val="bottom"/>
            <w:tcBorders>
              <w:right w:val="single" w:sz="8" w:color="auto"/>
            </w:tcBorders>
          </w:tcPr>
          <w:p>
            <w:pPr>
              <w:spacing w:after="0"/>
              <w:rPr>
                <w:sz w:val="15"/>
                <w:szCs w:val="15"/>
                <w:color w:val="auto"/>
              </w:rPr>
            </w:pPr>
          </w:p>
        </w:tc>
      </w:tr>
      <w:tr>
        <w:trPr>
          <w:trHeight w:val="173"/>
        </w:trPr>
        <w:tc>
          <w:tcPr>
            <w:tcW w:w="138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to climate risks</w:t>
            </w:r>
          </w:p>
        </w:tc>
        <w:tc>
          <w:tcPr>
            <w:tcW w:w="1340" w:type="dxa"/>
            <w:vAlign w:val="bottom"/>
            <w:tcBorders>
              <w:right w:val="single" w:sz="8" w:color="auto"/>
            </w:tcBorders>
          </w:tcPr>
          <w:p>
            <w:pPr>
              <w:spacing w:after="0"/>
              <w:rPr>
                <w:sz w:val="15"/>
                <w:szCs w:val="15"/>
                <w:color w:val="auto"/>
              </w:rPr>
            </w:pPr>
          </w:p>
        </w:tc>
      </w:tr>
      <w:tr>
        <w:trPr>
          <w:trHeight w:val="174"/>
        </w:trPr>
        <w:tc>
          <w:tcPr>
            <w:tcW w:w="1380" w:type="dxa"/>
            <w:vAlign w:val="bottom"/>
            <w:tcBorders>
              <w:left w:val="single" w:sz="8" w:color="auto"/>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2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Provide mortgages</w:t>
            </w:r>
          </w:p>
        </w:tc>
        <w:tc>
          <w:tcPr>
            <w:tcW w:w="134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-2107565</wp:posOffset>
            </wp:positionV>
            <wp:extent cx="329565" cy="3219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9565" cy="32194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-1661160</wp:posOffset>
            </wp:positionV>
            <wp:extent cx="329565" cy="3149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29565" cy="31496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-1104900</wp:posOffset>
            </wp:positionV>
            <wp:extent cx="688340" cy="3295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8340" cy="329565"/>
                    </a:xfrm>
                    <a:prstGeom prst="rect">
                      <a:avLst/>
                    </a:prstGeom>
                    <a:noFill/>
                  </pic:spPr>
                </pic:pic>
              </a:graphicData>
            </a:graphic>
          </wp:anchor>
        </w:drawing>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To build capacities, we trained the teams in charge of initiatives to boost their understanding of sustainable finance and investment. This training was imparted to 914 people over more than 4,292 hours. At BCP, the risk, corporate banking, middle market banking, SME-business and loan teams were trained. The investment teams at BCP, Prima AFP, Pacífico Seguros and Credicorp Capital participated in sustainability training that was tailored to their businesses and included topics such as sustainable investments, green bonds, TCFD and others.</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5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5"/>
                <w:szCs w:val="15"/>
                <w:b w:val="1"/>
                <w:bCs w:val="1"/>
                <w:color w:val="auto"/>
              </w:rPr>
              <w:t>Training / Course</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Class hours</w:t>
            </w:r>
          </w:p>
        </w:tc>
        <w:tc>
          <w:tcPr>
            <w:tcW w:w="1340" w:type="dxa"/>
            <w:vAlign w:val="bottom"/>
            <w:tcBorders>
              <w:top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rPr>
              <w:t>Number of</w:t>
            </w:r>
          </w:p>
        </w:tc>
        <w:tc>
          <w:tcPr>
            <w:tcW w:w="140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5"/>
                <w:szCs w:val="15"/>
                <w:b w:val="1"/>
                <w:bCs w:val="1"/>
                <w:color w:val="auto"/>
              </w:rPr>
              <w:t>Subsidiaries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56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participants</w:t>
            </w:r>
          </w:p>
        </w:tc>
        <w:tc>
          <w:tcPr>
            <w:tcW w:w="14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560" w:type="dxa"/>
            <w:vAlign w:val="bottom"/>
            <w:tcBorders>
              <w:left w:val="single" w:sz="8" w:color="auto"/>
              <w:bottom w:val="single" w:sz="8" w:color="8EAADB"/>
              <w:right w:val="single" w:sz="8" w:color="auto"/>
            </w:tcBorders>
          </w:tcPr>
          <w:p>
            <w:pPr>
              <w:spacing w:after="0"/>
              <w:rPr>
                <w:sz w:val="7"/>
                <w:szCs w:val="7"/>
                <w:color w:val="auto"/>
              </w:rPr>
            </w:pPr>
          </w:p>
        </w:tc>
        <w:tc>
          <w:tcPr>
            <w:tcW w:w="1120" w:type="dxa"/>
            <w:vAlign w:val="bottom"/>
            <w:tcBorders>
              <w:bottom w:val="single" w:sz="8" w:color="8EAADB"/>
              <w:right w:val="single" w:sz="8" w:color="auto"/>
            </w:tcBorders>
          </w:tcPr>
          <w:p>
            <w:pPr>
              <w:spacing w:after="0"/>
              <w:rPr>
                <w:sz w:val="7"/>
                <w:szCs w:val="7"/>
                <w:color w:val="auto"/>
              </w:rPr>
            </w:pPr>
          </w:p>
        </w:tc>
        <w:tc>
          <w:tcPr>
            <w:tcW w:w="1340" w:type="dxa"/>
            <w:vAlign w:val="bottom"/>
            <w:tcBorders>
              <w:bottom w:val="single" w:sz="8" w:color="8EAADB"/>
              <w:right w:val="single" w:sz="8" w:color="auto"/>
            </w:tcBorders>
            <w:vMerge w:val="continue"/>
          </w:tcPr>
          <w:p>
            <w:pPr>
              <w:spacing w:after="0"/>
              <w:rPr>
                <w:sz w:val="7"/>
                <w:szCs w:val="7"/>
                <w:color w:val="auto"/>
              </w:rPr>
            </w:pPr>
          </w:p>
        </w:tc>
        <w:tc>
          <w:tcPr>
            <w:tcW w:w="1400" w:type="dxa"/>
            <w:vAlign w:val="bottom"/>
            <w:tcBorders>
              <w:bottom w:val="single" w:sz="8" w:color="8EAADB"/>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560" w:type="dxa"/>
            <w:vAlign w:val="bottom"/>
            <w:tcBorders>
              <w:left w:val="single" w:sz="8" w:color="auto"/>
              <w:right w:val="single" w:sz="8" w:color="auto"/>
            </w:tcBorders>
          </w:tcPr>
          <w:p>
            <w:pPr>
              <w:ind w:left="100"/>
              <w:spacing w:after="0" w:line="154" w:lineRule="exact"/>
              <w:rPr>
                <w:sz w:val="20"/>
                <w:szCs w:val="20"/>
                <w:color w:val="auto"/>
              </w:rPr>
            </w:pPr>
            <w:r>
              <w:rPr>
                <w:rFonts w:ascii="Arial" w:cs="Arial" w:eastAsia="Arial" w:hAnsi="Arial"/>
                <w:sz w:val="15"/>
                <w:szCs w:val="15"/>
                <w:b w:val="1"/>
                <w:bCs w:val="1"/>
                <w:color w:val="auto"/>
              </w:rPr>
              <w:t>Ad hoc training</w:t>
            </w:r>
          </w:p>
        </w:tc>
        <w:tc>
          <w:tcPr>
            <w:tcW w:w="11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5"/>
                <w:szCs w:val="15"/>
                <w:color w:val="auto"/>
              </w:rPr>
              <w:t>Prima AFP</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for the investment</w:t>
            </w:r>
          </w:p>
        </w:tc>
        <w:tc>
          <w:tcPr>
            <w:tcW w:w="1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 Capital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team 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 sessions,</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responsible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1.5 hours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67</w:t>
            </w: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investments,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each</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TCFD, risks and</w:t>
            </w:r>
          </w:p>
        </w:tc>
        <w:tc>
          <w:tcPr>
            <w:tcW w:w="1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opportunities</w:t>
            </w:r>
          </w:p>
        </w:tc>
        <w:tc>
          <w:tcPr>
            <w:tcW w:w="11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560" w:type="dxa"/>
            <w:vAlign w:val="bottom"/>
            <w:tcBorders>
              <w:left w:val="single" w:sz="8" w:color="auto"/>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BCP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Environmental</w:t>
            </w:r>
          </w:p>
        </w:tc>
        <w:tc>
          <w:tcPr>
            <w:tcW w:w="1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BCP Bolivia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56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Credicorp</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and Social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 class hour</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464</w:t>
            </w:r>
          </w:p>
        </w:tc>
        <w:tc>
          <w:tcPr>
            <w:tcW w:w="14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56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Capital</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Management- IDB</w:t>
            </w:r>
          </w:p>
        </w:tc>
        <w:tc>
          <w:tcPr>
            <w:tcW w:w="11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56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Pacífico Seguros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56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Prima AFP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Introduction to</w:t>
            </w:r>
          </w:p>
        </w:tc>
        <w:tc>
          <w:tcPr>
            <w:tcW w:w="11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BCP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60" w:type="dxa"/>
            <w:vAlign w:val="bottom"/>
            <w:tcBorders>
              <w:left w:val="single" w:sz="8" w:color="auto"/>
              <w:right w:val="single" w:sz="8" w:color="auto"/>
            </w:tcBorders>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5"/>
                <w:szCs w:val="15"/>
                <w:color w:val="auto"/>
              </w:rPr>
              <w:t>BCP Bolivia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Sustainable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10 class</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354</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5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Finance (UN CC:</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hours</w:t>
            </w:r>
          </w:p>
        </w:tc>
        <w:tc>
          <w:tcPr>
            <w:tcW w:w="13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Capital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56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Learn)</w:t>
            </w:r>
          </w:p>
        </w:tc>
        <w:tc>
          <w:tcPr>
            <w:tcW w:w="11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Pacífico Seguros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Prima AFP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5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5"/>
                <w:szCs w:val="15"/>
                <w:b w:val="1"/>
                <w:bCs w:val="1"/>
                <w:color w:val="auto"/>
              </w:rPr>
              <w:t>Ad hoc training</w:t>
            </w:r>
          </w:p>
        </w:tc>
        <w:tc>
          <w:tcPr>
            <w:tcW w:w="11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BCP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for the ESG risk</w:t>
            </w:r>
          </w:p>
        </w:tc>
        <w:tc>
          <w:tcPr>
            <w:tcW w:w="1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BCP Bolivia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team: importance</w:t>
            </w:r>
          </w:p>
        </w:tc>
        <w:tc>
          <w:tcPr>
            <w:tcW w:w="1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of managing ESG</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 sessions of</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risks, trends,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1.5 hours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29</w:t>
            </w: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climate, inclusion,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each</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diversity,</w:t>
            </w:r>
          </w:p>
        </w:tc>
        <w:tc>
          <w:tcPr>
            <w:tcW w:w="1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opportunities,</w:t>
            </w:r>
          </w:p>
        </w:tc>
        <w:tc>
          <w:tcPr>
            <w:tcW w:w="1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etc.</w:t>
            </w:r>
          </w:p>
        </w:tc>
        <w:tc>
          <w:tcPr>
            <w:tcW w:w="11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6"/>
        </w:trPr>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gridSpan w:val="2"/>
          </w:tcPr>
          <w:p>
            <w:pPr>
              <w:ind w:left="1140"/>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22225</wp:posOffset>
            </wp:positionV>
            <wp:extent cx="7152640" cy="146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380" w:space="460"/>
            <w:col w:w="5420"/>
          </w:cols>
          <w:pgMar w:left="320" w:top="292" w:right="319" w:bottom="1440" w:gutter="0" w:footer="0" w:header="0"/>
        </w:sectPr>
      </w:pPr>
    </w:p>
    <w:bookmarkStart w:id="130" w:name="page131"/>
    <w:bookmarkEnd w:id="130"/>
    <w:p>
      <w:pPr>
        <w:spacing w:after="0"/>
        <w:rPr>
          <w:sz w:val="20"/>
          <w:szCs w:val="20"/>
          <w:color w:val="auto"/>
        </w:rPr>
      </w:pPr>
      <w:r>
        <w:rPr>
          <w:rFonts w:ascii="Arial" w:cs="Arial" w:eastAsia="Arial" w:hAnsi="Arial"/>
          <w:sz w:val="25"/>
          <w:szCs w:val="25"/>
          <w:b w:val="1"/>
          <w:bCs w:val="1"/>
          <w:color w:val="auto"/>
        </w:rPr>
        <w:t>Responsible and Sustainable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33445"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Responsible and Sustainable Finance and Investment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w:t>
      </w:r>
    </w:p>
    <w:p>
      <w:pPr>
        <w:spacing w:after="0"/>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FN-CB-410a.1, FN-CB-410a.2</w:t>
      </w:r>
    </w:p>
    <w:p>
      <w:pPr>
        <w:spacing w:after="0"/>
        <w:rPr>
          <w:sz w:val="20"/>
          <w:szCs w:val="20"/>
          <w:color w:val="auto"/>
        </w:rPr>
      </w:pPr>
      <w:r>
        <w:rPr>
          <w:rFonts w:ascii="Arial" w:cs="Arial" w:eastAsia="Arial" w:hAnsi="Arial"/>
          <w:sz w:val="15"/>
          <w:szCs w:val="15"/>
          <w:b w:val="1"/>
          <w:bCs w:val="1"/>
          <w:color w:val="auto"/>
        </w:rPr>
        <w:t>Pillar 1</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is the case with Sustainable Finance, as main actors in the financial market, we seek to be agents of change by directing capital flows to companies that utilize more sustainable practices and sectors where sustainability is prioritized. In parallel, we build capacities to advise our clients and the businesses in which we invest to help them make progress in their sustainability journey.</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 xml:space="preserve">On the policy front, in 2022 we published our </w:t>
      </w:r>
      <w:r>
        <w:rPr>
          <w:rFonts w:ascii="Arial" w:cs="Arial" w:eastAsia="Arial" w:hAnsi="Arial"/>
          <w:sz w:val="15"/>
          <w:szCs w:val="15"/>
          <w:b w:val="1"/>
          <w:bCs w:val="1"/>
          <w:u w:val="single" w:color="auto"/>
          <w:color w:val="0563C9"/>
        </w:rPr>
        <w:t>Corporate Policy for</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563C9"/>
        </w:rPr>
        <w:t>Responsible and Sustainable Investment</w:t>
      </w:r>
      <w:r>
        <w:rPr>
          <w:rFonts w:ascii="Arial" w:cs="Arial" w:eastAsia="Arial" w:hAnsi="Arial"/>
          <w:sz w:val="15"/>
          <w:szCs w:val="15"/>
          <w:color w:val="000000"/>
        </w:rPr>
        <w:t>. This policy sets a common</w:t>
      </w:r>
      <w:r>
        <w:rPr>
          <w:rFonts w:ascii="Arial" w:cs="Arial" w:eastAsia="Arial" w:hAnsi="Arial"/>
          <w:sz w:val="15"/>
          <w:szCs w:val="15"/>
          <w:b w:val="1"/>
          <w:bCs w:val="1"/>
          <w:color w:val="0563C9"/>
        </w:rPr>
        <w:t xml:space="preserve"> </w:t>
      </w:r>
      <w:r>
        <w:rPr>
          <w:rFonts w:ascii="Arial" w:cs="Arial" w:eastAsia="Arial" w:hAnsi="Arial"/>
          <w:sz w:val="15"/>
          <w:szCs w:val="15"/>
          <w:color w:val="000000"/>
        </w:rPr>
        <w:t>definition for what constitutes responsible and sustainable investment and includes criteria to exclude activities and sectors due to their impact on society and the environment. All of our subsidiaries are in the process of adopting the tenets of this policy as we continue to consolidate and align synergies across the Group. We encourage our subsidiaries to create roadmaps, integrate sustainability criteria in internal processes, and develop capacities.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520" w:type="dxa"/>
            <w:vAlign w:val="bottom"/>
            <w:tcBorders>
              <w:top w:val="single" w:sz="8" w:color="auto"/>
              <w:left w:val="single" w:sz="8" w:color="auto"/>
              <w:bottom w:val="single" w:sz="8" w:color="8EAADB"/>
              <w:right w:val="single" w:sz="8" w:color="auto"/>
            </w:tcBorders>
          </w:tcPr>
          <w:p>
            <w:pPr>
              <w:ind w:left="860"/>
              <w:spacing w:after="0"/>
              <w:rPr>
                <w:sz w:val="20"/>
                <w:szCs w:val="20"/>
                <w:color w:val="auto"/>
              </w:rPr>
            </w:pPr>
            <w:r>
              <w:rPr>
                <w:rFonts w:ascii="Arial" w:cs="Arial" w:eastAsia="Arial" w:hAnsi="Arial"/>
                <w:sz w:val="15"/>
                <w:szCs w:val="15"/>
                <w:b w:val="1"/>
                <w:bCs w:val="1"/>
                <w:color w:val="auto"/>
              </w:rPr>
              <w:t>Subsidiary</w:t>
            </w:r>
          </w:p>
        </w:tc>
        <w:tc>
          <w:tcPr>
            <w:tcW w:w="300" w:type="dxa"/>
            <w:vAlign w:val="bottom"/>
            <w:tcBorders>
              <w:top w:val="single" w:sz="8" w:color="auto"/>
              <w:bottom w:val="single" w:sz="8" w:color="8EAADB"/>
            </w:tcBorders>
          </w:tcPr>
          <w:p>
            <w:pPr>
              <w:spacing w:after="0"/>
              <w:rPr>
                <w:sz w:val="16"/>
                <w:szCs w:val="16"/>
                <w:color w:val="auto"/>
              </w:rPr>
            </w:pPr>
          </w:p>
        </w:tc>
        <w:tc>
          <w:tcPr>
            <w:tcW w:w="2580" w:type="dxa"/>
            <w:vAlign w:val="bottom"/>
            <w:tcBorders>
              <w:top w:val="single" w:sz="8" w:color="auto"/>
              <w:bottom w:val="single" w:sz="8" w:color="8EAADB"/>
              <w:right w:val="single" w:sz="8" w:color="auto"/>
            </w:tcBorders>
          </w:tcPr>
          <w:p>
            <w:pPr>
              <w:ind w:left="420"/>
              <w:spacing w:after="0"/>
              <w:rPr>
                <w:sz w:val="20"/>
                <w:szCs w:val="20"/>
                <w:color w:val="auto"/>
              </w:rPr>
            </w:pPr>
            <w:r>
              <w:rPr>
                <w:rFonts w:ascii="Arial" w:cs="Arial" w:eastAsia="Arial" w:hAnsi="Arial"/>
                <w:sz w:val="15"/>
                <w:szCs w:val="15"/>
                <w:b w:val="1"/>
                <w:bCs w:val="1"/>
                <w:color w:val="auto"/>
              </w:rPr>
              <w:t>Sustainable AuMs</w:t>
            </w:r>
          </w:p>
        </w:tc>
      </w:tr>
      <w:tr>
        <w:trPr>
          <w:trHeight w:val="172"/>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Credicorp Capital</w:t>
            </w: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Implementation of ESG analysis</w:t>
            </w:r>
          </w:p>
        </w:tc>
      </w:tr>
      <w:tr>
        <w:trPr>
          <w:trHeight w:val="173"/>
        </w:trPr>
        <w:tc>
          <w:tcPr>
            <w:tcW w:w="2520" w:type="dxa"/>
            <w:vAlign w:val="bottom"/>
            <w:tcBorders>
              <w:left w:val="single" w:sz="8" w:color="auto"/>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for the Integration of and Relations</w:t>
            </w:r>
          </w:p>
        </w:tc>
      </w:tr>
      <w:tr>
        <w:trPr>
          <w:trHeight w:val="173"/>
        </w:trPr>
        <w:tc>
          <w:tcPr>
            <w:tcW w:w="2520" w:type="dxa"/>
            <w:vAlign w:val="bottom"/>
            <w:tcBorders>
              <w:left w:val="single" w:sz="8" w:color="auto"/>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with Issuers.</w:t>
            </w:r>
          </w:p>
        </w:tc>
      </w:tr>
      <w:tr>
        <w:trPr>
          <w:trHeight w:val="173"/>
        </w:trPr>
        <w:tc>
          <w:tcPr>
            <w:tcW w:w="2520" w:type="dxa"/>
            <w:vAlign w:val="bottom"/>
            <w:tcBorders>
              <w:left w:val="single" w:sz="8" w:color="auto"/>
              <w:right w:val="single" w:sz="8" w:color="auto"/>
            </w:tcBorders>
          </w:tcPr>
          <w:p>
            <w:pPr>
              <w:spacing w:after="0"/>
              <w:rPr>
                <w:sz w:val="15"/>
                <w:szCs w:val="15"/>
                <w:color w:val="auto"/>
              </w:rPr>
            </w:pPr>
          </w:p>
        </w:tc>
        <w:tc>
          <w:tcPr>
            <w:tcW w:w="288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color w:val="auto"/>
              </w:rPr>
              <w:t>●  Incorporation of ESG criteria in the</w:t>
            </w:r>
          </w:p>
        </w:tc>
      </w:tr>
      <w:tr>
        <w:trPr>
          <w:trHeight w:val="173"/>
        </w:trPr>
        <w:tc>
          <w:tcPr>
            <w:tcW w:w="2520" w:type="dxa"/>
            <w:vAlign w:val="bottom"/>
            <w:tcBorders>
              <w:left w:val="single" w:sz="8" w:color="auto"/>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Advisory Process for Investment in</w:t>
            </w:r>
          </w:p>
        </w:tc>
      </w:tr>
      <w:tr>
        <w:trPr>
          <w:trHeight w:val="185"/>
        </w:trPr>
        <w:tc>
          <w:tcPr>
            <w:tcW w:w="2520" w:type="dxa"/>
            <w:vAlign w:val="bottom"/>
            <w:tcBorders>
              <w:left w:val="single" w:sz="8" w:color="auto"/>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Wealth Management.</w:t>
            </w:r>
          </w:p>
        </w:tc>
      </w:tr>
      <w:tr>
        <w:trPr>
          <w:trHeight w:val="162"/>
        </w:trPr>
        <w:tc>
          <w:tcPr>
            <w:tcW w:w="252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r>
      <w:tr>
        <w:trPr>
          <w:trHeight w:val="164"/>
        </w:trPr>
        <w:tc>
          <w:tcPr>
            <w:tcW w:w="252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Pacífico Seguros</w:t>
            </w:r>
          </w:p>
        </w:tc>
        <w:tc>
          <w:tcPr>
            <w:tcW w:w="300" w:type="dxa"/>
            <w:vAlign w:val="bottom"/>
          </w:tcPr>
          <w:p>
            <w:pPr>
              <w:ind w:left="120"/>
              <w:spacing w:after="0" w:line="164" w:lineRule="exact"/>
              <w:rPr>
                <w:sz w:val="20"/>
                <w:szCs w:val="20"/>
                <w:color w:val="auto"/>
              </w:rPr>
            </w:pPr>
            <w:r>
              <w:rPr>
                <w:rFonts w:ascii="Arial" w:cs="Arial" w:eastAsia="Arial" w:hAnsi="Arial"/>
                <w:sz w:val="15"/>
                <w:szCs w:val="15"/>
                <w:color w:val="auto"/>
              </w:rPr>
              <w:t>●</w:t>
            </w:r>
          </w:p>
        </w:tc>
        <w:tc>
          <w:tcPr>
            <w:tcW w:w="258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Assessment of investments</w:t>
            </w:r>
          </w:p>
        </w:tc>
      </w:tr>
      <w:tr>
        <w:trPr>
          <w:trHeight w:val="174"/>
        </w:trPr>
        <w:tc>
          <w:tcPr>
            <w:tcW w:w="2520" w:type="dxa"/>
            <w:vAlign w:val="bottom"/>
            <w:tcBorders>
              <w:left w:val="single" w:sz="8" w:color="auto"/>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according to ESG guidelines</w:t>
            </w:r>
          </w:p>
        </w:tc>
      </w:tr>
      <w:tr>
        <w:trPr>
          <w:trHeight w:val="164"/>
        </w:trPr>
        <w:tc>
          <w:tcPr>
            <w:tcW w:w="252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Prima AFP</w:t>
            </w:r>
          </w:p>
        </w:tc>
        <w:tc>
          <w:tcPr>
            <w:tcW w:w="300" w:type="dxa"/>
            <w:vAlign w:val="bottom"/>
          </w:tcPr>
          <w:p>
            <w:pPr>
              <w:ind w:left="120"/>
              <w:spacing w:after="0" w:line="164" w:lineRule="exact"/>
              <w:rPr>
                <w:sz w:val="20"/>
                <w:szCs w:val="20"/>
                <w:color w:val="auto"/>
              </w:rPr>
            </w:pPr>
            <w:r>
              <w:rPr>
                <w:rFonts w:ascii="Arial" w:cs="Arial" w:eastAsia="Arial" w:hAnsi="Arial"/>
                <w:sz w:val="15"/>
                <w:szCs w:val="15"/>
                <w:color w:val="auto"/>
              </w:rPr>
              <w:t>●</w:t>
            </w:r>
          </w:p>
        </w:tc>
        <w:tc>
          <w:tcPr>
            <w:tcW w:w="258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Assessment of investments</w:t>
            </w:r>
          </w:p>
        </w:tc>
      </w:tr>
      <w:tr>
        <w:trPr>
          <w:trHeight w:val="173"/>
        </w:trPr>
        <w:tc>
          <w:tcPr>
            <w:tcW w:w="2520" w:type="dxa"/>
            <w:vAlign w:val="bottom"/>
            <w:tcBorders>
              <w:left w:val="single" w:sz="8" w:color="auto"/>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according to ESG guidelines</w:t>
            </w:r>
          </w:p>
        </w:tc>
      </w:tr>
      <w:tr>
        <w:trPr>
          <w:trHeight w:val="185"/>
        </w:trPr>
        <w:tc>
          <w:tcPr>
            <w:tcW w:w="2520" w:type="dxa"/>
            <w:vAlign w:val="bottom"/>
            <w:tcBorders>
              <w:left w:val="single" w:sz="8" w:color="auto"/>
              <w:right w:val="single" w:sz="8" w:color="auto"/>
            </w:tcBorders>
          </w:tcPr>
          <w:p>
            <w:pPr>
              <w:spacing w:after="0"/>
              <w:rPr>
                <w:sz w:val="16"/>
                <w:szCs w:val="16"/>
                <w:color w:val="auto"/>
              </w:rPr>
            </w:pP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Plan for Relations</w:t>
            </w:r>
          </w:p>
        </w:tc>
      </w:tr>
      <w:tr>
        <w:trPr>
          <w:trHeight w:val="162"/>
        </w:trPr>
        <w:tc>
          <w:tcPr>
            <w:tcW w:w="252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r>
    </w:tbl>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At the subsidiaries, we work on integrating sustainability criteria under the framework of the UN Principles of Responsible Investment (PRI) and the local Responsible Investment Program (PIR). We have made significant progress in terms of the percentage of portfolios that are analyzed with ESG criteria. Each subsidiary proposed its own objectives for the year 2022 and progress is monitored by Credicorp’s Sustainability Office. Some of the prioritize indicators include: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10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Subsidiary</w:t>
            </w:r>
          </w:p>
        </w:tc>
        <w:tc>
          <w:tcPr>
            <w:tcW w:w="29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Indicator</w:t>
            </w:r>
          </w:p>
        </w:tc>
        <w:tc>
          <w:tcPr>
            <w:tcW w:w="580" w:type="dxa"/>
            <w:vAlign w:val="bottom"/>
            <w:tcBorders>
              <w:top w:val="single" w:sz="8" w:color="auto"/>
              <w:bottom w:val="single" w:sz="8" w:color="auto"/>
              <w:right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Goal</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Progress</w:t>
            </w:r>
          </w:p>
        </w:tc>
      </w:tr>
      <w:tr>
        <w:trPr>
          <w:trHeight w:val="164"/>
        </w:trPr>
        <w:tc>
          <w:tcPr>
            <w:tcW w:w="108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Prima AFP</w:t>
            </w:r>
          </w:p>
        </w:tc>
        <w:tc>
          <w:tcPr>
            <w:tcW w:w="29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444444"/>
              </w:rPr>
              <w:t>Percentage of the portfolio that has</w:t>
            </w:r>
          </w:p>
        </w:tc>
        <w:tc>
          <w:tcPr>
            <w:tcW w:w="580" w:type="dxa"/>
            <w:vAlign w:val="bottom"/>
            <w:tcBorders>
              <w:right w:val="single" w:sz="8" w:color="auto"/>
            </w:tcBorders>
          </w:tcPr>
          <w:p>
            <w:pPr>
              <w:jc w:val="right"/>
              <w:ind w:right="83"/>
              <w:spacing w:after="0" w:line="164" w:lineRule="exact"/>
              <w:rPr>
                <w:sz w:val="20"/>
                <w:szCs w:val="20"/>
                <w:color w:val="auto"/>
              </w:rPr>
            </w:pPr>
            <w:r>
              <w:rPr>
                <w:rFonts w:ascii="Arial" w:cs="Arial" w:eastAsia="Arial" w:hAnsi="Arial"/>
                <w:sz w:val="15"/>
                <w:szCs w:val="15"/>
                <w:color w:val="auto"/>
              </w:rPr>
              <w:t>80%</w:t>
            </w:r>
          </w:p>
        </w:tc>
        <w:tc>
          <w:tcPr>
            <w:tcW w:w="8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94%</w:t>
            </w:r>
          </w:p>
        </w:tc>
      </w:tr>
      <w:tr>
        <w:trPr>
          <w:trHeight w:val="174"/>
        </w:trPr>
        <w:tc>
          <w:tcPr>
            <w:tcW w:w="1080" w:type="dxa"/>
            <w:vAlign w:val="bottom"/>
            <w:tcBorders>
              <w:left w:val="single" w:sz="8" w:color="auto"/>
              <w:bottom w:val="single" w:sz="8" w:color="auto"/>
              <w:right w:val="single" w:sz="8" w:color="auto"/>
            </w:tcBorders>
          </w:tcPr>
          <w:p>
            <w:pPr>
              <w:spacing w:after="0"/>
              <w:rPr>
                <w:sz w:val="15"/>
                <w:szCs w:val="15"/>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444444"/>
              </w:rPr>
              <w:t>integrated ESG</w:t>
            </w:r>
          </w:p>
        </w:tc>
        <w:tc>
          <w:tcPr>
            <w:tcW w:w="5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164"/>
        </w:trPr>
        <w:tc>
          <w:tcPr>
            <w:tcW w:w="108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Pacífico</w:t>
            </w:r>
          </w:p>
        </w:tc>
        <w:tc>
          <w:tcPr>
            <w:tcW w:w="29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444444"/>
              </w:rPr>
              <w:t>Percentage of the portfolio of local</w:t>
            </w:r>
          </w:p>
        </w:tc>
        <w:tc>
          <w:tcPr>
            <w:tcW w:w="580" w:type="dxa"/>
            <w:vAlign w:val="bottom"/>
            <w:tcBorders>
              <w:right w:val="single" w:sz="8" w:color="auto"/>
            </w:tcBorders>
          </w:tcPr>
          <w:p>
            <w:pPr>
              <w:jc w:val="right"/>
              <w:ind w:right="83"/>
              <w:spacing w:after="0" w:line="164" w:lineRule="exact"/>
              <w:rPr>
                <w:sz w:val="20"/>
                <w:szCs w:val="20"/>
                <w:color w:val="auto"/>
              </w:rPr>
            </w:pPr>
            <w:r>
              <w:rPr>
                <w:rFonts w:ascii="Arial" w:cs="Arial" w:eastAsia="Arial" w:hAnsi="Arial"/>
                <w:sz w:val="15"/>
                <w:szCs w:val="15"/>
                <w:color w:val="auto"/>
              </w:rPr>
              <w:t>60%</w:t>
            </w:r>
          </w:p>
        </w:tc>
        <w:tc>
          <w:tcPr>
            <w:tcW w:w="8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79%</w:t>
            </w:r>
          </w:p>
        </w:tc>
      </w:tr>
      <w:tr>
        <w:trPr>
          <w:trHeight w:val="173"/>
        </w:trPr>
        <w:tc>
          <w:tcPr>
            <w:tcW w:w="1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Seguros</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444444"/>
              </w:rPr>
              <w:t>issuers in prioritized sectors that has</w:t>
            </w:r>
          </w:p>
        </w:tc>
        <w:tc>
          <w:tcPr>
            <w:tcW w:w="5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3"/>
        </w:trPr>
        <w:tc>
          <w:tcPr>
            <w:tcW w:w="1080" w:type="dxa"/>
            <w:vAlign w:val="bottom"/>
            <w:tcBorders>
              <w:left w:val="single" w:sz="8" w:color="auto"/>
              <w:right w:val="single" w:sz="8" w:color="auto"/>
            </w:tcBorders>
          </w:tcPr>
          <w:p>
            <w:pPr>
              <w:spacing w:after="0"/>
              <w:rPr>
                <w:sz w:val="15"/>
                <w:szCs w:val="15"/>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444444"/>
              </w:rPr>
              <w:t>integrated ESG (through materiality</w:t>
            </w:r>
          </w:p>
        </w:tc>
        <w:tc>
          <w:tcPr>
            <w:tcW w:w="5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3"/>
        </w:trPr>
        <w:tc>
          <w:tcPr>
            <w:tcW w:w="1080" w:type="dxa"/>
            <w:vAlign w:val="bottom"/>
            <w:tcBorders>
              <w:left w:val="single" w:sz="8" w:color="auto"/>
              <w:right w:val="single" w:sz="8" w:color="auto"/>
            </w:tcBorders>
          </w:tcPr>
          <w:p>
            <w:pPr>
              <w:spacing w:after="0"/>
              <w:rPr>
                <w:sz w:val="15"/>
                <w:szCs w:val="15"/>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444444"/>
              </w:rPr>
              <w:t>questionnaires according to the SASB</w:t>
            </w:r>
          </w:p>
        </w:tc>
        <w:tc>
          <w:tcPr>
            <w:tcW w:w="5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4"/>
        </w:trPr>
        <w:tc>
          <w:tcPr>
            <w:tcW w:w="1080" w:type="dxa"/>
            <w:vAlign w:val="bottom"/>
            <w:tcBorders>
              <w:left w:val="single" w:sz="8" w:color="auto"/>
              <w:bottom w:val="single" w:sz="8" w:color="auto"/>
              <w:right w:val="single" w:sz="8" w:color="auto"/>
            </w:tcBorders>
          </w:tcPr>
          <w:p>
            <w:pPr>
              <w:spacing w:after="0"/>
              <w:rPr>
                <w:sz w:val="15"/>
                <w:szCs w:val="15"/>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444444"/>
              </w:rPr>
              <w:t>standard</w:t>
            </w:r>
          </w:p>
        </w:tc>
        <w:tc>
          <w:tcPr>
            <w:tcW w:w="5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164"/>
        </w:trPr>
        <w:tc>
          <w:tcPr>
            <w:tcW w:w="1080" w:type="dxa"/>
            <w:vAlign w:val="bottom"/>
            <w:tcBorders>
              <w:left w:val="single" w:sz="8" w:color="auto"/>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Credicorp</w:t>
            </w:r>
          </w:p>
        </w:tc>
        <w:tc>
          <w:tcPr>
            <w:tcW w:w="290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Percentage of red flag questionnaires</w:t>
            </w:r>
          </w:p>
        </w:tc>
        <w:tc>
          <w:tcPr>
            <w:tcW w:w="580" w:type="dxa"/>
            <w:vAlign w:val="bottom"/>
            <w:tcBorders>
              <w:right w:val="single" w:sz="8" w:color="auto"/>
            </w:tcBorders>
          </w:tcPr>
          <w:p>
            <w:pPr>
              <w:jc w:val="right"/>
              <w:ind w:right="83"/>
              <w:spacing w:after="0" w:line="164" w:lineRule="exact"/>
              <w:rPr>
                <w:sz w:val="20"/>
                <w:szCs w:val="20"/>
                <w:color w:val="auto"/>
              </w:rPr>
            </w:pPr>
            <w:r>
              <w:rPr>
                <w:rFonts w:ascii="Arial" w:cs="Arial" w:eastAsia="Arial" w:hAnsi="Arial"/>
                <w:sz w:val="15"/>
                <w:szCs w:val="15"/>
                <w:color w:val="auto"/>
              </w:rPr>
              <w:t>70%</w:t>
            </w:r>
          </w:p>
        </w:tc>
        <w:tc>
          <w:tcPr>
            <w:tcW w:w="8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90%</w:t>
            </w:r>
          </w:p>
        </w:tc>
      </w:tr>
      <w:tr>
        <w:trPr>
          <w:trHeight w:val="173"/>
        </w:trPr>
        <w:tc>
          <w:tcPr>
            <w:tcW w:w="1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Capital</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completed </w:t>
            </w:r>
            <w:r>
              <w:rPr>
                <w:rFonts w:ascii="Arial" w:cs="Arial" w:eastAsia="Arial" w:hAnsi="Arial"/>
                <w:sz w:val="15"/>
                <w:szCs w:val="15"/>
                <w:color w:val="444444"/>
              </w:rPr>
              <w:t>(stage 1)</w:t>
            </w:r>
            <w:r>
              <w:rPr>
                <w:rFonts w:ascii="Arial" w:cs="Arial" w:eastAsia="Arial" w:hAnsi="Arial"/>
                <w:sz w:val="15"/>
                <w:szCs w:val="15"/>
                <w:color w:val="auto"/>
              </w:rPr>
              <w:t xml:space="preserve"> for Money Market</w:t>
            </w:r>
          </w:p>
        </w:tc>
        <w:tc>
          <w:tcPr>
            <w:tcW w:w="5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85"/>
        </w:trPr>
        <w:tc>
          <w:tcPr>
            <w:tcW w:w="108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funds (new questionnaire)</w:t>
            </w:r>
          </w:p>
        </w:tc>
        <w:tc>
          <w:tcPr>
            <w:tcW w:w="580" w:type="dxa"/>
            <w:vAlign w:val="bottom"/>
            <w:tcBorders>
              <w:right w:val="single" w:sz="8" w:color="auto"/>
            </w:tcBorders>
          </w:tcPr>
          <w:p>
            <w:pPr>
              <w:jc w:val="right"/>
              <w:ind w:right="83"/>
              <w:spacing w:after="0"/>
              <w:rPr>
                <w:sz w:val="20"/>
                <w:szCs w:val="20"/>
                <w:color w:val="auto"/>
              </w:rPr>
            </w:pPr>
            <w:r>
              <w:rPr>
                <w:rFonts w:ascii="Arial" w:cs="Arial" w:eastAsia="Arial" w:hAnsi="Arial"/>
                <w:sz w:val="15"/>
                <w:szCs w:val="15"/>
                <w:color w:val="auto"/>
              </w:rPr>
              <w:t>70%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60%</w:t>
            </w:r>
          </w:p>
        </w:tc>
      </w:tr>
      <w:tr>
        <w:trPr>
          <w:trHeight w:val="334"/>
        </w:trPr>
        <w:tc>
          <w:tcPr>
            <w:tcW w:w="10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Percentage of red flag questionnaires</w:t>
            </w:r>
          </w:p>
        </w:tc>
        <w:tc>
          <w:tcPr>
            <w:tcW w:w="5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173"/>
        </w:trPr>
        <w:tc>
          <w:tcPr>
            <w:tcW w:w="1080" w:type="dxa"/>
            <w:vAlign w:val="bottom"/>
            <w:tcBorders>
              <w:left w:val="single" w:sz="8" w:color="auto"/>
              <w:right w:val="single" w:sz="8" w:color="auto"/>
            </w:tcBorders>
          </w:tcPr>
          <w:p>
            <w:pPr>
              <w:spacing w:after="0"/>
              <w:rPr>
                <w:sz w:val="15"/>
                <w:szCs w:val="15"/>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(stage 1) of offshore Latin American</w:t>
            </w:r>
          </w:p>
        </w:tc>
        <w:tc>
          <w:tcPr>
            <w:tcW w:w="5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85"/>
        </w:trPr>
        <w:tc>
          <w:tcPr>
            <w:tcW w:w="108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Funds</w:t>
            </w:r>
          </w:p>
        </w:tc>
        <w:tc>
          <w:tcPr>
            <w:tcW w:w="5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162"/>
        </w:trPr>
        <w:tc>
          <w:tcPr>
            <w:tcW w:w="108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Progress on the relations front 2022</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Solid relations and active ownership are essential components or our responsible and sustainable investment focus. The objective is to exercise a positive influence on companies so that they take steps to improve their ESG performance, accountability and reporting. Progress in 2022 included improvements at:</w:t>
      </w:r>
    </w:p>
    <w:p>
      <w:pPr>
        <w:spacing w:after="0" w:line="157" w:lineRule="exact"/>
        <w:rPr>
          <w:sz w:val="20"/>
          <w:szCs w:val="20"/>
          <w:color w:val="auto"/>
        </w:rPr>
      </w:pPr>
    </w:p>
    <w:p>
      <w:pPr>
        <w:ind w:left="560" w:hanging="551"/>
        <w:spacing w:after="0"/>
        <w:tabs>
          <w:tab w:leader="none" w:pos="5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Credicorp Capital: (1) Implementation of 3 pilots for collaborative</w:t>
      </w:r>
    </w:p>
    <w:p>
      <w:pPr>
        <w:jc w:val="both"/>
        <w:ind w:left="560" w:right="20"/>
        <w:spacing w:after="0"/>
        <w:rPr>
          <w:rFonts w:ascii="Arial" w:cs="Arial" w:eastAsia="Arial" w:hAnsi="Arial"/>
          <w:sz w:val="15"/>
          <w:szCs w:val="15"/>
          <w:color w:val="auto"/>
        </w:rPr>
      </w:pPr>
      <w:r>
        <w:rPr>
          <w:rFonts w:ascii="Arial" w:cs="Arial" w:eastAsia="Arial" w:hAnsi="Arial"/>
          <w:sz w:val="15"/>
          <w:szCs w:val="15"/>
          <w:color w:val="auto"/>
        </w:rPr>
        <w:t>relations with Chilean issuers that were planned in 2021: cost-free workshop for TCFD for Small Cap and Fixed Income with the participation of 16 issuers, and (2) a CDP Non-disclosure campaign: responses from 3 companies, 2 plan to report to CDP in 2023.</w:t>
      </w:r>
    </w:p>
    <w:p>
      <w:pPr>
        <w:spacing w:after="0" w:line="1" w:lineRule="exact"/>
        <w:rPr>
          <w:rFonts w:ascii="Arial" w:cs="Arial" w:eastAsia="Arial" w:hAnsi="Arial"/>
          <w:sz w:val="15"/>
          <w:szCs w:val="15"/>
          <w:color w:val="auto"/>
        </w:rPr>
      </w:pPr>
    </w:p>
    <w:p>
      <w:pPr>
        <w:jc w:val="both"/>
        <w:ind w:left="560" w:right="20" w:hanging="551"/>
        <w:spacing w:after="0"/>
        <w:tabs>
          <w:tab w:leader="none" w:pos="5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Pacífico Seguros: Publication of a new Active Relations Policy, which is a complementary document that provides details on the stages the Investment team should follow. The objective is to drive the adoption and application of best sustainability practices in the companies in which Pacifico invests.</w:t>
      </w:r>
    </w:p>
    <w:p>
      <w:pPr>
        <w:spacing w:after="0" w:line="2" w:lineRule="exact"/>
        <w:rPr>
          <w:rFonts w:ascii="Arial" w:cs="Arial" w:eastAsia="Arial" w:hAnsi="Arial"/>
          <w:sz w:val="15"/>
          <w:szCs w:val="15"/>
          <w:color w:val="auto"/>
        </w:rPr>
      </w:pPr>
    </w:p>
    <w:p>
      <w:pPr>
        <w:ind w:left="560" w:hanging="551"/>
        <w:spacing w:after="0"/>
        <w:tabs>
          <w:tab w:leader="none" w:pos="5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Prima AFP: Continued the work it began in 2021 with 4 companies of</w:t>
      </w:r>
    </w:p>
    <w:p>
      <w:pPr>
        <w:jc w:val="both"/>
        <w:ind w:left="560" w:right="20"/>
        <w:spacing w:after="0" w:line="249" w:lineRule="auto"/>
        <w:rPr>
          <w:rFonts w:ascii="Arial" w:cs="Arial" w:eastAsia="Arial" w:hAnsi="Arial"/>
          <w:sz w:val="15"/>
          <w:szCs w:val="15"/>
          <w:color w:val="auto"/>
        </w:rPr>
      </w:pPr>
      <w:r>
        <w:rPr>
          <w:rFonts w:ascii="Arial" w:cs="Arial" w:eastAsia="Arial" w:hAnsi="Arial"/>
          <w:sz w:val="15"/>
          <w:szCs w:val="15"/>
          <w:color w:val="auto"/>
        </w:rPr>
        <w:t>the 8 that were initially prioritized: 2 have complied with the objective to measure their carbon footprint and one of the issuers is now reporting to CDP on its climate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79" w:right="319" w:bottom="1440" w:gutter="0" w:footer="0" w:header="0"/>
        </w:sectPr>
      </w:pPr>
    </w:p>
    <w:bookmarkStart w:id="131" w:name="page132"/>
    <w:bookmarkEnd w:id="131"/>
    <w:p>
      <w:pPr>
        <w:ind w:right="1040"/>
        <w:spacing w:after="0" w:line="267" w:lineRule="auto"/>
        <w:rPr>
          <w:sz w:val="20"/>
          <w:szCs w:val="20"/>
          <w:color w:val="auto"/>
        </w:rPr>
      </w:pPr>
      <w:r>
        <w:rPr>
          <w:rFonts w:ascii="Arial" w:cs="Arial" w:eastAsia="Arial" w:hAnsi="Arial"/>
          <w:sz w:val="24"/>
          <w:szCs w:val="24"/>
          <w:b w:val="1"/>
          <w:bCs w:val="1"/>
          <w:color w:val="auto"/>
        </w:rPr>
        <w:t>Our ESG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71323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323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Comprehensive Risk</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Management, Economic and Financial</w:t>
      </w:r>
    </w:p>
    <w:p>
      <w:pPr>
        <w:spacing w:after="0"/>
        <w:rPr>
          <w:sz w:val="20"/>
          <w:szCs w:val="20"/>
          <w:color w:val="auto"/>
        </w:rPr>
      </w:pPr>
      <w:r>
        <w:rPr>
          <w:rFonts w:ascii="Arial" w:cs="Arial" w:eastAsia="Arial" w:hAnsi="Arial"/>
          <w:sz w:val="15"/>
          <w:szCs w:val="15"/>
          <w:color w:val="auto"/>
        </w:rPr>
        <w:t>Performance</w:t>
      </w: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201-2</w:t>
      </w:r>
    </w:p>
    <w:p>
      <w:pPr>
        <w:spacing w:after="0"/>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FN-CB-410A.2</w:t>
      </w:r>
    </w:p>
    <w:p>
      <w:pPr>
        <w:spacing w:after="0"/>
        <w:rPr>
          <w:sz w:val="20"/>
          <w:szCs w:val="20"/>
          <w:color w:val="auto"/>
        </w:rPr>
      </w:pPr>
      <w:r>
        <w:rPr>
          <w:rFonts w:ascii="Arial" w:cs="Arial" w:eastAsia="Arial" w:hAnsi="Arial"/>
          <w:sz w:val="15"/>
          <w:szCs w:val="15"/>
          <w:b w:val="1"/>
          <w:bCs w:val="1"/>
          <w:color w:val="auto"/>
        </w:rPr>
        <w:t>Pillar 1</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sustainability risk management approach is equipped with a transversal focus and involves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multidisciplinary teams with representatives from the Risk, Loan, Business and Sustainability areas as well as members of the wholesale loan areas at BCP and BCP Bolivia; the investment businesses at Credicorp Capital, Pacífico Seguros, Prima AFP; and Treasury at BCP.</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ESG Risk Management was born of the aspiration of the Risk Management Area, heads of divisions and the areas of risk and business units at the subsidiaries to engage in Sustainable Finance and Investment. Our efforts currently focus on wholesale loans and investments, where ESG management emphasizes transitioning to full incorporation of ESG concepts as opposed to simply applying lists of exclusion, and is developed through work plans with 6 axes.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95"/>
        </w:trPr>
        <w:tc>
          <w:tcPr>
            <w:tcW w:w="1100" w:type="dxa"/>
            <w:vAlign w:val="bottom"/>
            <w:vMerge w:val="restart"/>
            <w:shd w:val="clear" w:color="auto" w:fill="000000"/>
          </w:tcPr>
          <w:p>
            <w:pPr>
              <w:ind w:left="420"/>
              <w:spacing w:after="0"/>
              <w:rPr>
                <w:sz w:val="20"/>
                <w:szCs w:val="20"/>
                <w:color w:val="auto"/>
              </w:rPr>
            </w:pPr>
            <w:r>
              <w:rPr>
                <w:rFonts w:ascii="Arial" w:cs="Arial" w:eastAsia="Arial" w:hAnsi="Arial"/>
                <w:sz w:val="15"/>
                <w:szCs w:val="15"/>
                <w:color w:val="FFFFFF"/>
              </w:rPr>
              <w:t>Axis</w:t>
            </w:r>
          </w:p>
        </w:tc>
        <w:tc>
          <w:tcPr>
            <w:tcW w:w="2340" w:type="dxa"/>
            <w:vAlign w:val="bottom"/>
            <w:gridSpan w:val="3"/>
            <w:shd w:val="clear" w:color="auto" w:fill="000000"/>
          </w:tcPr>
          <w:p>
            <w:pPr>
              <w:ind w:left="120"/>
              <w:spacing w:after="0"/>
              <w:rPr>
                <w:sz w:val="20"/>
                <w:szCs w:val="20"/>
                <w:color w:val="auto"/>
              </w:rPr>
            </w:pPr>
            <w:r>
              <w:rPr>
                <w:rFonts w:ascii="Arial" w:cs="Arial" w:eastAsia="Arial" w:hAnsi="Arial"/>
                <w:sz w:val="15"/>
                <w:szCs w:val="15"/>
                <w:color w:val="FFFFFF"/>
              </w:rPr>
              <w:t>Aspiration for Wholesale Loans</w:t>
            </w:r>
          </w:p>
        </w:tc>
        <w:tc>
          <w:tcPr>
            <w:tcW w:w="220" w:type="dxa"/>
            <w:vAlign w:val="bottom"/>
            <w:shd w:val="clear" w:color="auto" w:fill="000000"/>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4360" w:type="dxa"/>
            <w:vAlign w:val="bottom"/>
            <w:shd w:val="clear" w:color="auto" w:fill="000000"/>
          </w:tcPr>
          <w:p>
            <w:pPr>
              <w:jc w:val="right"/>
              <w:ind w:right="863"/>
              <w:spacing w:after="0"/>
              <w:rPr>
                <w:sz w:val="20"/>
                <w:szCs w:val="20"/>
                <w:color w:val="auto"/>
              </w:rPr>
            </w:pPr>
            <w:r>
              <w:rPr>
                <w:rFonts w:ascii="Arial" w:cs="Arial" w:eastAsia="Arial" w:hAnsi="Arial"/>
                <w:sz w:val="15"/>
                <w:szCs w:val="15"/>
                <w:color w:val="FFFFFF"/>
              </w:rPr>
              <w:t>Achievement on the ESG Risk front 2022</w:t>
            </w:r>
          </w:p>
        </w:tc>
        <w:tc>
          <w:tcPr>
            <w:tcW w:w="0" w:type="dxa"/>
            <w:vAlign w:val="bottom"/>
          </w:tcPr>
          <w:p>
            <w:pPr>
              <w:spacing w:after="0"/>
              <w:rPr>
                <w:sz w:val="1"/>
                <w:szCs w:val="1"/>
                <w:color w:val="auto"/>
              </w:rPr>
            </w:pPr>
          </w:p>
        </w:tc>
      </w:tr>
      <w:tr>
        <w:trPr>
          <w:trHeight w:val="93"/>
        </w:trPr>
        <w:tc>
          <w:tcPr>
            <w:tcW w:w="1100" w:type="dxa"/>
            <w:vAlign w:val="bottom"/>
            <w:vMerge w:val="continue"/>
            <w:shd w:val="clear" w:color="auto" w:fill="000000"/>
          </w:tcPr>
          <w:p>
            <w:pPr>
              <w:spacing w:after="0"/>
              <w:rPr>
                <w:sz w:val="8"/>
                <w:szCs w:val="8"/>
                <w:color w:val="auto"/>
              </w:rPr>
            </w:pPr>
          </w:p>
        </w:tc>
        <w:tc>
          <w:tcPr>
            <w:tcW w:w="2340" w:type="dxa"/>
            <w:vAlign w:val="bottom"/>
            <w:gridSpan w:val="3"/>
            <w:vMerge w:val="restart"/>
            <w:shd w:val="clear" w:color="auto" w:fill="000000"/>
          </w:tcPr>
          <w:p>
            <w:pPr>
              <w:ind w:left="340"/>
              <w:spacing w:after="0"/>
              <w:rPr>
                <w:sz w:val="20"/>
                <w:szCs w:val="20"/>
                <w:color w:val="auto"/>
              </w:rPr>
            </w:pPr>
            <w:r>
              <w:rPr>
                <w:rFonts w:ascii="Arial" w:cs="Arial" w:eastAsia="Arial" w:hAnsi="Arial"/>
                <w:sz w:val="15"/>
                <w:szCs w:val="15"/>
                <w:color w:val="FFFFFF"/>
              </w:rPr>
              <w:t>and Investments in 2025</w:t>
            </w:r>
          </w:p>
        </w:tc>
        <w:tc>
          <w:tcPr>
            <w:tcW w:w="22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4360" w:type="dxa"/>
            <w:vAlign w:val="bottom"/>
            <w:vMerge w:val="restart"/>
            <w:shd w:val="clear" w:color="auto" w:fill="000000"/>
          </w:tcPr>
          <w:p>
            <w:pPr>
              <w:jc w:val="right"/>
              <w:ind w:right="1663"/>
              <w:spacing w:after="0"/>
              <w:rPr>
                <w:sz w:val="20"/>
                <w:szCs w:val="20"/>
                <w:color w:val="auto"/>
              </w:rPr>
            </w:pPr>
            <w:r>
              <w:rPr>
                <w:rFonts w:ascii="Arial" w:cs="Arial" w:eastAsia="Arial" w:hAnsi="Arial"/>
                <w:sz w:val="15"/>
                <w:szCs w:val="15"/>
                <w:color w:val="FFFFFF"/>
              </w:rPr>
              <w:t>Wholesale Loans</w:t>
            </w:r>
          </w:p>
        </w:tc>
        <w:tc>
          <w:tcPr>
            <w:tcW w:w="0" w:type="dxa"/>
            <w:vAlign w:val="bottom"/>
          </w:tcPr>
          <w:p>
            <w:pPr>
              <w:spacing w:after="0"/>
              <w:rPr>
                <w:sz w:val="1"/>
                <w:szCs w:val="1"/>
                <w:color w:val="auto"/>
              </w:rPr>
            </w:pPr>
          </w:p>
        </w:tc>
      </w:tr>
      <w:tr>
        <w:trPr>
          <w:trHeight w:val="92"/>
        </w:trPr>
        <w:tc>
          <w:tcPr>
            <w:tcW w:w="1100" w:type="dxa"/>
            <w:vAlign w:val="bottom"/>
            <w:shd w:val="clear" w:color="auto" w:fill="000000"/>
          </w:tcPr>
          <w:p>
            <w:pPr>
              <w:spacing w:after="0"/>
              <w:rPr>
                <w:sz w:val="8"/>
                <w:szCs w:val="8"/>
                <w:color w:val="auto"/>
              </w:rPr>
            </w:pPr>
          </w:p>
        </w:tc>
        <w:tc>
          <w:tcPr>
            <w:tcW w:w="2340" w:type="dxa"/>
            <w:vAlign w:val="bottom"/>
            <w:gridSpan w:val="3"/>
            <w:vMerge w:val="continue"/>
            <w:shd w:val="clear" w:color="auto" w:fill="000000"/>
          </w:tcPr>
          <w:p>
            <w:pPr>
              <w:spacing w:after="0"/>
              <w:rPr>
                <w:sz w:val="8"/>
                <w:szCs w:val="8"/>
                <w:color w:val="auto"/>
              </w:rPr>
            </w:pPr>
          </w:p>
        </w:tc>
        <w:tc>
          <w:tcPr>
            <w:tcW w:w="22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436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100" w:type="dxa"/>
            <w:vAlign w:val="bottom"/>
            <w:shd w:val="clear" w:color="auto" w:fill="E93CAC"/>
          </w:tcPr>
          <w:p>
            <w:pPr>
              <w:spacing w:after="0"/>
              <w:rPr>
                <w:sz w:val="16"/>
                <w:szCs w:val="16"/>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That our portfolio has a</w:t>
            </w:r>
          </w:p>
        </w:tc>
        <w:tc>
          <w:tcPr>
            <w:tcW w:w="440" w:type="dxa"/>
            <w:vAlign w:val="bottom"/>
            <w:shd w:val="clear" w:color="auto" w:fill="E7E6E6"/>
          </w:tcPr>
          <w:p>
            <w:pPr>
              <w:spacing w:after="0"/>
              <w:rPr>
                <w:sz w:val="16"/>
                <w:szCs w:val="16"/>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E93CAC"/>
              </w:rPr>
              <w:t xml:space="preserve">a) </w:t>
            </w:r>
            <w:r>
              <w:rPr>
                <w:rFonts w:ascii="Arial" w:cs="Arial" w:eastAsia="Arial" w:hAnsi="Arial"/>
                <w:sz w:val="15"/>
                <w:szCs w:val="15"/>
                <w:color w:val="000000"/>
              </w:rPr>
              <w:t>Approval of BCP’s Environmental Taxonomy for 12 economic</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sustainability brand that allows</w:t>
            </w: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sectors  (27  activities)  and  3  transversal  sectors:  Energy</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us to set objectives to improve;</w:t>
            </w: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Efficiency, Circular Economy and Water Management and</w:t>
            </w:r>
          </w:p>
        </w:tc>
        <w:tc>
          <w:tcPr>
            <w:tcW w:w="0" w:type="dxa"/>
            <w:vAlign w:val="bottom"/>
          </w:tcPr>
          <w:p>
            <w:pPr>
              <w:spacing w:after="0"/>
              <w:rPr>
                <w:sz w:val="1"/>
                <w:szCs w:val="1"/>
                <w:color w:val="auto"/>
              </w:rPr>
            </w:pPr>
          </w:p>
        </w:tc>
      </w:tr>
      <w:tr>
        <w:trPr>
          <w:trHeight w:val="173"/>
        </w:trPr>
        <w:tc>
          <w:tcPr>
            <w:tcW w:w="1100" w:type="dxa"/>
            <w:vAlign w:val="bottom"/>
            <w:vMerge w:val="restart"/>
            <w:shd w:val="clear" w:color="auto" w:fill="E93CAC"/>
          </w:tcPr>
          <w:p>
            <w:pPr>
              <w:ind w:left="100"/>
              <w:spacing w:after="0"/>
              <w:rPr>
                <w:sz w:val="20"/>
                <w:szCs w:val="20"/>
                <w:color w:val="auto"/>
              </w:rPr>
            </w:pPr>
            <w:r>
              <w:rPr>
                <w:rFonts w:ascii="Arial" w:cs="Arial" w:eastAsia="Arial" w:hAnsi="Arial"/>
                <w:sz w:val="15"/>
                <w:szCs w:val="15"/>
                <w:color w:val="FFFFFF"/>
              </w:rPr>
              <w:t>Taxonomy</w:t>
            </w: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identify opportunities for</w:t>
            </w: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Sanitation.</w:t>
            </w:r>
          </w:p>
        </w:tc>
        <w:tc>
          <w:tcPr>
            <w:tcW w:w="0" w:type="dxa"/>
            <w:vAlign w:val="bottom"/>
          </w:tcPr>
          <w:p>
            <w:pPr>
              <w:spacing w:after="0"/>
              <w:rPr>
                <w:sz w:val="1"/>
                <w:szCs w:val="1"/>
                <w:color w:val="auto"/>
              </w:rPr>
            </w:pPr>
          </w:p>
        </w:tc>
      </w:tr>
      <w:tr>
        <w:trPr>
          <w:trHeight w:val="93"/>
        </w:trPr>
        <w:tc>
          <w:tcPr>
            <w:tcW w:w="1100" w:type="dxa"/>
            <w:vAlign w:val="bottom"/>
            <w:vMerge w:val="continue"/>
            <w:shd w:val="clear" w:color="auto" w:fill="E93CAC"/>
          </w:tcPr>
          <w:p>
            <w:pPr>
              <w:spacing w:after="0"/>
              <w:rPr>
                <w:sz w:val="8"/>
                <w:szCs w:val="8"/>
                <w:color w:val="auto"/>
              </w:rPr>
            </w:pPr>
          </w:p>
        </w:tc>
        <w:tc>
          <w:tcPr>
            <w:tcW w:w="1900" w:type="dxa"/>
            <w:vAlign w:val="bottom"/>
            <w:gridSpan w:val="2"/>
            <w:vMerge w:val="restart"/>
            <w:shd w:val="clear" w:color="auto" w:fill="E7E6E6"/>
          </w:tcPr>
          <w:p>
            <w:pPr>
              <w:ind w:left="120"/>
              <w:spacing w:after="0"/>
              <w:rPr>
                <w:sz w:val="20"/>
                <w:szCs w:val="20"/>
                <w:color w:val="auto"/>
              </w:rPr>
            </w:pPr>
            <w:r>
              <w:rPr>
                <w:rFonts w:ascii="Arial" w:cs="Arial" w:eastAsia="Arial" w:hAnsi="Arial"/>
                <w:sz w:val="15"/>
                <w:szCs w:val="15"/>
                <w:color w:val="auto"/>
              </w:rPr>
              <w:t>counsel, financing or</w:t>
            </w:r>
          </w:p>
        </w:tc>
        <w:tc>
          <w:tcPr>
            <w:tcW w:w="440" w:type="dxa"/>
            <w:vAlign w:val="bottom"/>
            <w:shd w:val="clear" w:color="auto" w:fill="E7E6E6"/>
          </w:tcPr>
          <w:p>
            <w:pPr>
              <w:spacing w:after="0"/>
              <w:rPr>
                <w:sz w:val="8"/>
                <w:szCs w:val="8"/>
                <w:color w:val="auto"/>
              </w:rPr>
            </w:pPr>
          </w:p>
        </w:tc>
        <w:tc>
          <w:tcPr>
            <w:tcW w:w="280" w:type="dxa"/>
            <w:vAlign w:val="bottom"/>
            <w:gridSpan w:val="2"/>
            <w:vMerge w:val="restart"/>
            <w:shd w:val="clear" w:color="auto" w:fill="E7E6E6"/>
          </w:tcPr>
          <w:p>
            <w:pPr>
              <w:ind w:left="100"/>
              <w:spacing w:after="0"/>
              <w:rPr>
                <w:sz w:val="20"/>
                <w:szCs w:val="20"/>
                <w:color w:val="auto"/>
              </w:rPr>
            </w:pPr>
            <w:r>
              <w:rPr>
                <w:rFonts w:ascii="Arial" w:cs="Arial" w:eastAsia="Arial" w:hAnsi="Arial"/>
                <w:sz w:val="15"/>
                <w:szCs w:val="15"/>
                <w:color w:val="E93CAC"/>
              </w:rPr>
              <w:t>b)</w:t>
            </w:r>
          </w:p>
        </w:tc>
        <w:tc>
          <w:tcPr>
            <w:tcW w:w="4360" w:type="dxa"/>
            <w:vAlign w:val="bottom"/>
            <w:vMerge w:val="restart"/>
            <w:shd w:val="clear" w:color="auto" w:fill="E7E6E6"/>
          </w:tcPr>
          <w:p>
            <w:pPr>
              <w:jc w:val="right"/>
              <w:ind w:right="23"/>
              <w:spacing w:after="0"/>
              <w:rPr>
                <w:sz w:val="20"/>
                <w:szCs w:val="20"/>
                <w:color w:val="auto"/>
              </w:rPr>
            </w:pPr>
            <w:r>
              <w:rPr>
                <w:rFonts w:ascii="Arial" w:cs="Arial" w:eastAsia="Arial" w:hAnsi="Arial"/>
                <w:sz w:val="15"/>
                <w:szCs w:val="15"/>
                <w:color w:val="auto"/>
              </w:rPr>
              <w:t>Training for Wholesale Banking on eligibility requirements</w:t>
            </w:r>
          </w:p>
        </w:tc>
        <w:tc>
          <w:tcPr>
            <w:tcW w:w="0" w:type="dxa"/>
            <w:vAlign w:val="bottom"/>
          </w:tcPr>
          <w:p>
            <w:pPr>
              <w:spacing w:after="0"/>
              <w:rPr>
                <w:sz w:val="1"/>
                <w:szCs w:val="1"/>
                <w:color w:val="auto"/>
              </w:rPr>
            </w:pPr>
          </w:p>
        </w:tc>
      </w:tr>
      <w:tr>
        <w:trPr>
          <w:trHeight w:val="80"/>
        </w:trPr>
        <w:tc>
          <w:tcPr>
            <w:tcW w:w="1100" w:type="dxa"/>
            <w:vAlign w:val="bottom"/>
            <w:shd w:val="clear" w:color="auto" w:fill="E93CAC"/>
          </w:tcPr>
          <w:p>
            <w:pPr>
              <w:spacing w:after="0"/>
              <w:rPr>
                <w:sz w:val="6"/>
                <w:szCs w:val="6"/>
                <w:color w:val="auto"/>
              </w:rPr>
            </w:pPr>
          </w:p>
        </w:tc>
        <w:tc>
          <w:tcPr>
            <w:tcW w:w="1900" w:type="dxa"/>
            <w:vAlign w:val="bottom"/>
            <w:gridSpan w:val="2"/>
            <w:vMerge w:val="continue"/>
            <w:shd w:val="clear" w:color="auto" w:fill="E7E6E6"/>
          </w:tcPr>
          <w:p>
            <w:pPr>
              <w:spacing w:after="0"/>
              <w:rPr>
                <w:sz w:val="6"/>
                <w:szCs w:val="6"/>
                <w:color w:val="auto"/>
              </w:rPr>
            </w:pPr>
          </w:p>
        </w:tc>
        <w:tc>
          <w:tcPr>
            <w:tcW w:w="440" w:type="dxa"/>
            <w:vAlign w:val="bottom"/>
            <w:shd w:val="clear" w:color="auto" w:fill="E7E6E6"/>
          </w:tcPr>
          <w:p>
            <w:pPr>
              <w:spacing w:after="0"/>
              <w:rPr>
                <w:sz w:val="6"/>
                <w:szCs w:val="6"/>
                <w:color w:val="auto"/>
              </w:rPr>
            </w:pPr>
          </w:p>
        </w:tc>
        <w:tc>
          <w:tcPr>
            <w:tcW w:w="280" w:type="dxa"/>
            <w:vAlign w:val="bottom"/>
            <w:gridSpan w:val="2"/>
            <w:vMerge w:val="continue"/>
            <w:shd w:val="clear" w:color="auto" w:fill="E7E6E6"/>
          </w:tcPr>
          <w:p>
            <w:pPr>
              <w:spacing w:after="0"/>
              <w:rPr>
                <w:sz w:val="6"/>
                <w:szCs w:val="6"/>
                <w:color w:val="auto"/>
              </w:rPr>
            </w:pPr>
          </w:p>
        </w:tc>
        <w:tc>
          <w:tcPr>
            <w:tcW w:w="4360" w:type="dxa"/>
            <w:vAlign w:val="bottom"/>
            <w:vMerge w:val="continue"/>
            <w:shd w:val="clear" w:color="auto" w:fill="E7E6E6"/>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investment and monitoring.</w:t>
            </w: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under BCP’s Environmental Taxonomy</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E93CAC"/>
              </w:rPr>
              <w:t xml:space="preserve">c) </w:t>
            </w:r>
            <w:r>
              <w:rPr>
                <w:rFonts w:ascii="Arial" w:cs="Arial" w:eastAsia="Arial" w:hAnsi="Arial"/>
                <w:sz w:val="15"/>
                <w:szCs w:val="15"/>
                <w:color w:val="000000"/>
              </w:rPr>
              <w:t>Creation of a Sustainable Operations Committee to tag and</w:t>
            </w:r>
          </w:p>
        </w:tc>
        <w:tc>
          <w:tcPr>
            <w:tcW w:w="0" w:type="dxa"/>
            <w:vAlign w:val="bottom"/>
          </w:tcPr>
          <w:p>
            <w:pPr>
              <w:spacing w:after="0"/>
              <w:rPr>
                <w:sz w:val="1"/>
                <w:szCs w:val="1"/>
                <w:color w:val="auto"/>
              </w:rPr>
            </w:pPr>
          </w:p>
        </w:tc>
      </w:tr>
      <w:tr>
        <w:trPr>
          <w:trHeight w:val="185"/>
        </w:trPr>
        <w:tc>
          <w:tcPr>
            <w:tcW w:w="1100" w:type="dxa"/>
            <w:vAlign w:val="bottom"/>
            <w:shd w:val="clear" w:color="auto" w:fill="E93CAC"/>
          </w:tcPr>
          <w:p>
            <w:pPr>
              <w:spacing w:after="0"/>
              <w:rPr>
                <w:sz w:val="16"/>
                <w:szCs w:val="16"/>
                <w:color w:val="auto"/>
              </w:rPr>
            </w:pPr>
          </w:p>
        </w:tc>
        <w:tc>
          <w:tcPr>
            <w:tcW w:w="880" w:type="dxa"/>
            <w:vAlign w:val="bottom"/>
            <w:shd w:val="clear" w:color="auto" w:fill="E7E6E6"/>
          </w:tcPr>
          <w:p>
            <w:pPr>
              <w:spacing w:after="0"/>
              <w:rPr>
                <w:sz w:val="16"/>
                <w:szCs w:val="16"/>
                <w:color w:val="auto"/>
              </w:rPr>
            </w:pPr>
          </w:p>
        </w:tc>
        <w:tc>
          <w:tcPr>
            <w:tcW w:w="1020" w:type="dxa"/>
            <w:vAlign w:val="bottom"/>
            <w:shd w:val="clear" w:color="auto" w:fill="E7E6E6"/>
          </w:tcPr>
          <w:p>
            <w:pPr>
              <w:spacing w:after="0"/>
              <w:rPr>
                <w:sz w:val="16"/>
                <w:szCs w:val="16"/>
                <w:color w:val="auto"/>
              </w:rPr>
            </w:pPr>
          </w:p>
        </w:tc>
        <w:tc>
          <w:tcPr>
            <w:tcW w:w="440" w:type="dxa"/>
            <w:vAlign w:val="bottom"/>
            <w:shd w:val="clear" w:color="auto" w:fill="E7E6E6"/>
          </w:tcPr>
          <w:p>
            <w:pPr>
              <w:spacing w:after="0"/>
              <w:rPr>
                <w:sz w:val="16"/>
                <w:szCs w:val="16"/>
                <w:color w:val="auto"/>
              </w:rPr>
            </w:pPr>
          </w:p>
        </w:tc>
        <w:tc>
          <w:tcPr>
            <w:tcW w:w="220" w:type="dxa"/>
            <w:vAlign w:val="bottom"/>
            <w:shd w:val="clear" w:color="auto" w:fill="E7E6E6"/>
          </w:tcPr>
          <w:p>
            <w:pPr>
              <w:spacing w:after="0"/>
              <w:rPr>
                <w:sz w:val="16"/>
                <w:szCs w:val="16"/>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refer for special funding.</w:t>
            </w:r>
          </w:p>
        </w:tc>
        <w:tc>
          <w:tcPr>
            <w:tcW w:w="0" w:type="dxa"/>
            <w:vAlign w:val="bottom"/>
          </w:tcPr>
          <w:p>
            <w:pPr>
              <w:spacing w:after="0"/>
              <w:rPr>
                <w:sz w:val="1"/>
                <w:szCs w:val="1"/>
                <w:color w:val="auto"/>
              </w:rPr>
            </w:pPr>
          </w:p>
        </w:tc>
      </w:tr>
      <w:tr>
        <w:trPr>
          <w:trHeight w:val="195"/>
        </w:trPr>
        <w:tc>
          <w:tcPr>
            <w:tcW w:w="1100" w:type="dxa"/>
            <w:vAlign w:val="bottom"/>
            <w:shd w:val="clear" w:color="auto" w:fill="E93CAC"/>
          </w:tcPr>
          <w:p>
            <w:pPr>
              <w:spacing w:after="0"/>
              <w:rPr>
                <w:sz w:val="16"/>
                <w:szCs w:val="16"/>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Define the levels of exposure</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E93CAC"/>
              </w:rPr>
              <w:t xml:space="preserve">d) </w:t>
            </w:r>
            <w:r>
              <w:rPr>
                <w:rFonts w:ascii="Arial" w:cs="Arial" w:eastAsia="Arial" w:hAnsi="Arial"/>
                <w:sz w:val="15"/>
                <w:szCs w:val="15"/>
                <w:color w:val="000000"/>
              </w:rPr>
              <w:t>The list of exclusions with an ESG focus was updated and</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ind w:left="120"/>
              <w:spacing w:after="0"/>
              <w:rPr>
                <w:sz w:val="20"/>
                <w:szCs w:val="20"/>
                <w:color w:val="auto"/>
              </w:rPr>
            </w:pPr>
            <w:r>
              <w:rPr>
                <w:rFonts w:ascii="Arial" w:cs="Arial" w:eastAsia="Arial" w:hAnsi="Arial"/>
                <w:sz w:val="15"/>
                <w:szCs w:val="15"/>
                <w:color w:val="auto"/>
              </w:rPr>
              <w:t>that  the</w:t>
            </w:r>
          </w:p>
        </w:tc>
        <w:tc>
          <w:tcPr>
            <w:tcW w:w="1020" w:type="dxa"/>
            <w:vAlign w:val="bottom"/>
            <w:shd w:val="clear" w:color="auto" w:fill="E7E6E6"/>
          </w:tcPr>
          <w:p>
            <w:pPr>
              <w:ind w:left="40"/>
              <w:spacing w:after="0"/>
              <w:rPr>
                <w:sz w:val="20"/>
                <w:szCs w:val="20"/>
                <w:color w:val="auto"/>
              </w:rPr>
            </w:pPr>
            <w:r>
              <w:rPr>
                <w:rFonts w:ascii="Arial" w:cs="Arial" w:eastAsia="Arial" w:hAnsi="Arial"/>
                <w:sz w:val="15"/>
                <w:szCs w:val="15"/>
                <w:color w:val="auto"/>
              </w:rPr>
              <w:t>organization</w:t>
            </w:r>
          </w:p>
        </w:tc>
        <w:tc>
          <w:tcPr>
            <w:tcW w:w="440" w:type="dxa"/>
            <w:vAlign w:val="bottom"/>
            <w:shd w:val="clear" w:color="auto" w:fill="E7E6E6"/>
          </w:tcPr>
          <w:p>
            <w:pPr>
              <w:jc w:val="right"/>
              <w:ind w:right="23"/>
              <w:spacing w:after="0"/>
              <w:rPr>
                <w:sz w:val="20"/>
                <w:szCs w:val="20"/>
                <w:color w:val="auto"/>
              </w:rPr>
            </w:pPr>
            <w:r>
              <w:rPr>
                <w:rFonts w:ascii="Arial" w:cs="Arial" w:eastAsia="Arial" w:hAnsi="Arial"/>
                <w:sz w:val="15"/>
                <w:szCs w:val="15"/>
                <w:color w:val="auto"/>
              </w:rPr>
              <w:t>finds</w:t>
            </w: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approved.</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ind w:left="120"/>
              <w:spacing w:after="0"/>
              <w:rPr>
                <w:sz w:val="20"/>
                <w:szCs w:val="20"/>
                <w:color w:val="auto"/>
              </w:rPr>
            </w:pPr>
            <w:r>
              <w:rPr>
                <w:rFonts w:ascii="Arial" w:cs="Arial" w:eastAsia="Arial" w:hAnsi="Arial"/>
                <w:sz w:val="15"/>
                <w:szCs w:val="15"/>
                <w:color w:val="auto"/>
              </w:rPr>
              <w:t>acceptable</w:t>
            </w:r>
          </w:p>
        </w:tc>
        <w:tc>
          <w:tcPr>
            <w:tcW w:w="1460" w:type="dxa"/>
            <w:vAlign w:val="bottom"/>
            <w:gridSpan w:val="2"/>
            <w:shd w:val="clear" w:color="auto" w:fill="E7E6E6"/>
          </w:tcPr>
          <w:p>
            <w:pPr>
              <w:jc w:val="right"/>
              <w:ind w:right="43"/>
              <w:spacing w:after="0"/>
              <w:rPr>
                <w:sz w:val="20"/>
                <w:szCs w:val="20"/>
                <w:color w:val="auto"/>
              </w:rPr>
            </w:pPr>
            <w:r>
              <w:rPr>
                <w:rFonts w:ascii="Arial" w:cs="Arial" w:eastAsia="Arial" w:hAnsi="Arial"/>
                <w:sz w:val="15"/>
                <w:szCs w:val="15"/>
                <w:color w:val="auto"/>
              </w:rPr>
              <w:t>based on metrics</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E93CAC"/>
              </w:rPr>
              <w:t xml:space="preserve">e) </w:t>
            </w:r>
            <w:r>
              <w:rPr>
                <w:rFonts w:ascii="Arial" w:cs="Arial" w:eastAsia="Arial" w:hAnsi="Arial"/>
                <w:sz w:val="15"/>
                <w:szCs w:val="15"/>
                <w:color w:val="000000"/>
              </w:rPr>
              <w:t>Made an initial qualitative approximation to drive loans that</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ind w:left="100"/>
              <w:spacing w:after="0"/>
              <w:rPr>
                <w:sz w:val="20"/>
                <w:szCs w:val="20"/>
                <w:color w:val="auto"/>
              </w:rPr>
            </w:pPr>
            <w:r>
              <w:rPr>
                <w:rFonts w:ascii="Arial" w:cs="Arial" w:eastAsia="Arial" w:hAnsi="Arial"/>
                <w:sz w:val="15"/>
                <w:szCs w:val="15"/>
                <w:color w:val="FFFFFF"/>
              </w:rPr>
              <w:t>Appetite</w:t>
            </w: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and limits associated with ESG</w:t>
            </w: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generate positive impact in sectors such as energy, suppliers</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risk at the corporate level and</w:t>
            </w: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of  materials  for  construction  (cement,  Steel),  fishing  and</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ind w:left="120"/>
              <w:spacing w:after="0"/>
              <w:rPr>
                <w:sz w:val="20"/>
                <w:szCs w:val="20"/>
                <w:color w:val="auto"/>
              </w:rPr>
            </w:pPr>
            <w:r>
              <w:rPr>
                <w:rFonts w:ascii="Arial" w:cs="Arial" w:eastAsia="Arial" w:hAnsi="Arial"/>
                <w:sz w:val="15"/>
                <w:szCs w:val="15"/>
                <w:color w:val="auto"/>
              </w:rPr>
              <w:t>determine</w:t>
            </w:r>
          </w:p>
        </w:tc>
        <w:tc>
          <w:tcPr>
            <w:tcW w:w="1020" w:type="dxa"/>
            <w:vAlign w:val="bottom"/>
            <w:shd w:val="clear" w:color="auto" w:fill="E7E6E6"/>
          </w:tcPr>
          <w:p>
            <w:pPr>
              <w:ind w:left="40"/>
              <w:spacing w:after="0"/>
              <w:rPr>
                <w:sz w:val="20"/>
                <w:szCs w:val="20"/>
                <w:color w:val="auto"/>
              </w:rPr>
            </w:pPr>
            <w:r>
              <w:rPr>
                <w:rFonts w:ascii="Arial" w:cs="Arial" w:eastAsia="Arial" w:hAnsi="Arial"/>
                <w:sz w:val="15"/>
                <w:szCs w:val="15"/>
                <w:color w:val="auto"/>
              </w:rPr>
              <w:t>activities  that</w:t>
            </w:r>
          </w:p>
        </w:tc>
        <w:tc>
          <w:tcPr>
            <w:tcW w:w="440" w:type="dxa"/>
            <w:vAlign w:val="bottom"/>
            <w:shd w:val="clear" w:color="auto" w:fill="E7E6E6"/>
          </w:tcPr>
          <w:p>
            <w:pPr>
              <w:jc w:val="right"/>
              <w:ind w:right="23"/>
              <w:spacing w:after="0"/>
              <w:rPr>
                <w:sz w:val="20"/>
                <w:szCs w:val="20"/>
                <w:color w:val="auto"/>
              </w:rPr>
            </w:pPr>
            <w:r>
              <w:rPr>
                <w:rFonts w:ascii="Arial" w:cs="Arial" w:eastAsia="Arial" w:hAnsi="Arial"/>
                <w:sz w:val="15"/>
                <w:szCs w:val="15"/>
                <w:color w:val="auto"/>
              </w:rPr>
              <w:t>are</w:t>
            </w: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fishmeal, textiles, agriculture and livestock, and real estate</w:t>
            </w:r>
          </w:p>
        </w:tc>
        <w:tc>
          <w:tcPr>
            <w:tcW w:w="0" w:type="dxa"/>
            <w:vAlign w:val="bottom"/>
          </w:tcPr>
          <w:p>
            <w:pPr>
              <w:spacing w:after="0"/>
              <w:rPr>
                <w:sz w:val="1"/>
                <w:szCs w:val="1"/>
                <w:color w:val="auto"/>
              </w:rPr>
            </w:pPr>
          </w:p>
        </w:tc>
      </w:tr>
      <w:tr>
        <w:trPr>
          <w:trHeight w:val="185"/>
        </w:trPr>
        <w:tc>
          <w:tcPr>
            <w:tcW w:w="1100" w:type="dxa"/>
            <w:vAlign w:val="bottom"/>
            <w:shd w:val="clear" w:color="auto" w:fill="E93CAC"/>
          </w:tcPr>
          <w:p>
            <w:pPr>
              <w:spacing w:after="0"/>
              <w:rPr>
                <w:sz w:val="16"/>
                <w:szCs w:val="16"/>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excluded from the portfolio</w:t>
            </w:r>
          </w:p>
        </w:tc>
        <w:tc>
          <w:tcPr>
            <w:tcW w:w="220" w:type="dxa"/>
            <w:vAlign w:val="bottom"/>
            <w:shd w:val="clear" w:color="auto" w:fill="E7E6E6"/>
          </w:tcPr>
          <w:p>
            <w:pPr>
              <w:spacing w:after="0"/>
              <w:rPr>
                <w:sz w:val="16"/>
                <w:szCs w:val="16"/>
                <w:color w:val="auto"/>
              </w:rPr>
            </w:pPr>
          </w:p>
        </w:tc>
        <w:tc>
          <w:tcPr>
            <w:tcW w:w="4420" w:type="dxa"/>
            <w:vAlign w:val="bottom"/>
            <w:gridSpan w:val="2"/>
            <w:shd w:val="clear" w:color="auto" w:fill="E7E6E6"/>
          </w:tcPr>
          <w:p>
            <w:pPr>
              <w:ind w:left="60"/>
              <w:spacing w:after="0"/>
              <w:rPr>
                <w:sz w:val="20"/>
                <w:szCs w:val="20"/>
                <w:color w:val="auto"/>
              </w:rPr>
            </w:pPr>
            <w:r>
              <w:rPr>
                <w:rFonts w:ascii="Arial" w:cs="Arial" w:eastAsia="Arial" w:hAnsi="Arial"/>
                <w:sz w:val="15"/>
                <w:szCs w:val="15"/>
                <w:color w:val="auto"/>
              </w:rPr>
              <w:t>development.</w:t>
            </w:r>
          </w:p>
        </w:tc>
        <w:tc>
          <w:tcPr>
            <w:tcW w:w="0" w:type="dxa"/>
            <w:vAlign w:val="bottom"/>
          </w:tcPr>
          <w:p>
            <w:pPr>
              <w:spacing w:after="0"/>
              <w:rPr>
                <w:sz w:val="1"/>
                <w:szCs w:val="1"/>
                <w:color w:val="auto"/>
              </w:rPr>
            </w:pPr>
          </w:p>
        </w:tc>
      </w:tr>
      <w:tr>
        <w:trPr>
          <w:trHeight w:val="195"/>
        </w:trPr>
        <w:tc>
          <w:tcPr>
            <w:tcW w:w="1100" w:type="dxa"/>
            <w:vAlign w:val="bottom"/>
            <w:vMerge w:val="restart"/>
            <w:shd w:val="clear" w:color="auto" w:fill="E93CAC"/>
          </w:tcPr>
          <w:p>
            <w:pPr>
              <w:ind w:left="100"/>
              <w:spacing w:after="0"/>
              <w:rPr>
                <w:sz w:val="20"/>
                <w:szCs w:val="20"/>
                <w:color w:val="auto"/>
              </w:rPr>
            </w:pPr>
            <w:r>
              <w:rPr>
                <w:rFonts w:ascii="Arial" w:cs="Arial" w:eastAsia="Arial" w:hAnsi="Arial"/>
                <w:sz w:val="15"/>
                <w:szCs w:val="15"/>
                <w:color w:val="FFFFFF"/>
              </w:rPr>
              <w:t>Organization</w:t>
            </w: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Create the roles, responsibilities</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ESG governance has been integrated in current forums (loan and</w:t>
            </w:r>
          </w:p>
        </w:tc>
        <w:tc>
          <w:tcPr>
            <w:tcW w:w="0" w:type="dxa"/>
            <w:vAlign w:val="bottom"/>
          </w:tcPr>
          <w:p>
            <w:pPr>
              <w:spacing w:after="0"/>
              <w:rPr>
                <w:sz w:val="1"/>
                <w:szCs w:val="1"/>
                <w:color w:val="auto"/>
              </w:rPr>
            </w:pPr>
          </w:p>
        </w:tc>
      </w:tr>
      <w:tr>
        <w:trPr>
          <w:trHeight w:val="81"/>
        </w:trPr>
        <w:tc>
          <w:tcPr>
            <w:tcW w:w="1100" w:type="dxa"/>
            <w:vAlign w:val="bottom"/>
            <w:vMerge w:val="continue"/>
            <w:shd w:val="clear" w:color="auto" w:fill="E93CAC"/>
          </w:tcPr>
          <w:p>
            <w:pPr>
              <w:spacing w:after="0"/>
              <w:rPr>
                <w:sz w:val="7"/>
                <w:szCs w:val="7"/>
                <w:color w:val="auto"/>
              </w:rPr>
            </w:pPr>
          </w:p>
        </w:tc>
        <w:tc>
          <w:tcPr>
            <w:tcW w:w="1900" w:type="dxa"/>
            <w:vAlign w:val="bottom"/>
            <w:gridSpan w:val="2"/>
            <w:vMerge w:val="restart"/>
            <w:shd w:val="clear" w:color="auto" w:fill="E7E6E6"/>
          </w:tcPr>
          <w:p>
            <w:pPr>
              <w:ind w:left="120"/>
              <w:spacing w:after="0"/>
              <w:rPr>
                <w:sz w:val="20"/>
                <w:szCs w:val="20"/>
                <w:color w:val="auto"/>
              </w:rPr>
            </w:pPr>
            <w:r>
              <w:rPr>
                <w:rFonts w:ascii="Arial" w:cs="Arial" w:eastAsia="Arial" w:hAnsi="Arial"/>
                <w:sz w:val="15"/>
                <w:szCs w:val="15"/>
                <w:color w:val="auto"/>
              </w:rPr>
              <w:t>and internal environment</w:t>
            </w:r>
          </w:p>
        </w:tc>
        <w:tc>
          <w:tcPr>
            <w:tcW w:w="440" w:type="dxa"/>
            <w:vAlign w:val="bottom"/>
            <w:shd w:val="clear" w:color="auto" w:fill="E7E6E6"/>
          </w:tcPr>
          <w:p>
            <w:pPr>
              <w:spacing w:after="0"/>
              <w:rPr>
                <w:sz w:val="7"/>
                <w:szCs w:val="7"/>
                <w:color w:val="auto"/>
              </w:rPr>
            </w:pPr>
          </w:p>
        </w:tc>
        <w:tc>
          <w:tcPr>
            <w:tcW w:w="4640" w:type="dxa"/>
            <w:vAlign w:val="bottom"/>
            <w:gridSpan w:val="3"/>
            <w:vMerge w:val="restart"/>
            <w:shd w:val="clear" w:color="auto" w:fill="E7E6E6"/>
          </w:tcPr>
          <w:p>
            <w:pPr>
              <w:ind w:left="100"/>
              <w:spacing w:after="0"/>
              <w:rPr>
                <w:sz w:val="20"/>
                <w:szCs w:val="20"/>
                <w:color w:val="auto"/>
              </w:rPr>
            </w:pPr>
            <w:r>
              <w:rPr>
                <w:rFonts w:ascii="Arial" w:cs="Arial" w:eastAsia="Arial" w:hAnsi="Arial"/>
                <w:sz w:val="15"/>
                <w:szCs w:val="15"/>
                <w:color w:val="auto"/>
              </w:rPr>
              <w:t>risk committees) for decision making and to define roles related to</w:t>
            </w:r>
          </w:p>
        </w:tc>
        <w:tc>
          <w:tcPr>
            <w:tcW w:w="0" w:type="dxa"/>
            <w:vAlign w:val="bottom"/>
          </w:tcPr>
          <w:p>
            <w:pPr>
              <w:spacing w:after="0"/>
              <w:rPr>
                <w:sz w:val="1"/>
                <w:szCs w:val="1"/>
                <w:color w:val="auto"/>
              </w:rPr>
            </w:pPr>
          </w:p>
        </w:tc>
      </w:tr>
      <w:tr>
        <w:trPr>
          <w:trHeight w:val="92"/>
        </w:trPr>
        <w:tc>
          <w:tcPr>
            <w:tcW w:w="1100" w:type="dxa"/>
            <w:vAlign w:val="bottom"/>
            <w:vMerge w:val="restart"/>
            <w:shd w:val="clear" w:color="auto" w:fill="E93CAC"/>
          </w:tcPr>
          <w:p>
            <w:pPr>
              <w:ind w:left="100"/>
              <w:spacing w:after="0"/>
              <w:rPr>
                <w:sz w:val="20"/>
                <w:szCs w:val="20"/>
                <w:color w:val="auto"/>
              </w:rPr>
            </w:pPr>
            <w:r>
              <w:rPr>
                <w:rFonts w:ascii="Arial" w:cs="Arial" w:eastAsia="Arial" w:hAnsi="Arial"/>
                <w:sz w:val="15"/>
                <w:szCs w:val="15"/>
                <w:color w:val="FFFFFF"/>
              </w:rPr>
              <w:t>and</w:t>
            </w:r>
          </w:p>
        </w:tc>
        <w:tc>
          <w:tcPr>
            <w:tcW w:w="1900" w:type="dxa"/>
            <w:vAlign w:val="bottom"/>
            <w:gridSpan w:val="2"/>
            <w:vMerge w:val="continue"/>
            <w:shd w:val="clear" w:color="auto" w:fill="E7E6E6"/>
          </w:tcPr>
          <w:p>
            <w:pPr>
              <w:spacing w:after="0"/>
              <w:rPr>
                <w:sz w:val="8"/>
                <w:szCs w:val="8"/>
                <w:color w:val="auto"/>
              </w:rPr>
            </w:pPr>
          </w:p>
        </w:tc>
        <w:tc>
          <w:tcPr>
            <w:tcW w:w="440" w:type="dxa"/>
            <w:vAlign w:val="bottom"/>
            <w:shd w:val="clear" w:color="auto" w:fill="E7E6E6"/>
          </w:tcPr>
          <w:p>
            <w:pPr>
              <w:spacing w:after="0"/>
              <w:rPr>
                <w:sz w:val="8"/>
                <w:szCs w:val="8"/>
                <w:color w:val="auto"/>
              </w:rPr>
            </w:pPr>
          </w:p>
        </w:tc>
        <w:tc>
          <w:tcPr>
            <w:tcW w:w="4640" w:type="dxa"/>
            <w:vAlign w:val="bottom"/>
            <w:gridSpan w:val="3"/>
            <w:vMerge w:val="continue"/>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00" w:type="dxa"/>
            <w:vAlign w:val="bottom"/>
            <w:vMerge w:val="continue"/>
            <w:shd w:val="clear" w:color="auto" w:fill="E93CAC"/>
          </w:tcPr>
          <w:p>
            <w:pPr>
              <w:spacing w:after="0"/>
              <w:rPr>
                <w:sz w:val="7"/>
                <w:szCs w:val="7"/>
                <w:color w:val="auto"/>
              </w:rPr>
            </w:pPr>
          </w:p>
        </w:tc>
        <w:tc>
          <w:tcPr>
            <w:tcW w:w="2340" w:type="dxa"/>
            <w:vAlign w:val="bottom"/>
            <w:gridSpan w:val="3"/>
            <w:vMerge w:val="restart"/>
            <w:shd w:val="clear" w:color="auto" w:fill="E7E6E6"/>
          </w:tcPr>
          <w:p>
            <w:pPr>
              <w:ind w:left="120"/>
              <w:spacing w:after="0"/>
              <w:rPr>
                <w:sz w:val="20"/>
                <w:szCs w:val="20"/>
                <w:color w:val="auto"/>
              </w:rPr>
            </w:pPr>
            <w:r>
              <w:rPr>
                <w:rFonts w:ascii="Arial" w:cs="Arial" w:eastAsia="Arial" w:hAnsi="Arial"/>
                <w:sz w:val="15"/>
                <w:szCs w:val="15"/>
                <w:color w:val="auto"/>
              </w:rPr>
              <w:t>necessary to make decisions</w:t>
            </w:r>
          </w:p>
        </w:tc>
        <w:tc>
          <w:tcPr>
            <w:tcW w:w="4640" w:type="dxa"/>
            <w:vAlign w:val="bottom"/>
            <w:gridSpan w:val="3"/>
            <w:vMerge w:val="restart"/>
            <w:shd w:val="clear" w:color="auto" w:fill="E7E6E6"/>
          </w:tcPr>
          <w:p>
            <w:pPr>
              <w:ind w:left="100"/>
              <w:spacing w:after="0"/>
              <w:rPr>
                <w:sz w:val="20"/>
                <w:szCs w:val="20"/>
                <w:color w:val="auto"/>
              </w:rPr>
            </w:pPr>
            <w:r>
              <w:rPr>
                <w:rFonts w:ascii="Arial" w:cs="Arial" w:eastAsia="Arial" w:hAnsi="Arial"/>
                <w:sz w:val="15"/>
                <w:szCs w:val="15"/>
                <w:color w:val="auto"/>
              </w:rPr>
              <w:t>ESG topics on three fronts of action at each subsidiary: business,</w:t>
            </w:r>
          </w:p>
        </w:tc>
        <w:tc>
          <w:tcPr>
            <w:tcW w:w="0" w:type="dxa"/>
            <w:vAlign w:val="bottom"/>
          </w:tcPr>
          <w:p>
            <w:pPr>
              <w:spacing w:after="0"/>
              <w:rPr>
                <w:sz w:val="1"/>
                <w:szCs w:val="1"/>
                <w:color w:val="auto"/>
              </w:rPr>
            </w:pPr>
          </w:p>
        </w:tc>
      </w:tr>
      <w:tr>
        <w:trPr>
          <w:trHeight w:val="92"/>
        </w:trPr>
        <w:tc>
          <w:tcPr>
            <w:tcW w:w="1100" w:type="dxa"/>
            <w:vAlign w:val="bottom"/>
            <w:vMerge w:val="restart"/>
            <w:shd w:val="clear" w:color="auto" w:fill="E93CAC"/>
          </w:tcPr>
          <w:p>
            <w:pPr>
              <w:ind w:left="100"/>
              <w:spacing w:after="0"/>
              <w:rPr>
                <w:sz w:val="20"/>
                <w:szCs w:val="20"/>
                <w:color w:val="auto"/>
              </w:rPr>
            </w:pPr>
            <w:r>
              <w:rPr>
                <w:rFonts w:ascii="Arial" w:cs="Arial" w:eastAsia="Arial" w:hAnsi="Arial"/>
                <w:sz w:val="15"/>
                <w:szCs w:val="15"/>
                <w:color w:val="FFFFFF"/>
              </w:rPr>
              <w:t>governance</w:t>
            </w:r>
          </w:p>
        </w:tc>
        <w:tc>
          <w:tcPr>
            <w:tcW w:w="2340" w:type="dxa"/>
            <w:vAlign w:val="bottom"/>
            <w:gridSpan w:val="3"/>
            <w:vMerge w:val="continue"/>
            <w:shd w:val="clear" w:color="auto" w:fill="E7E6E6"/>
          </w:tcPr>
          <w:p>
            <w:pPr>
              <w:spacing w:after="0"/>
              <w:rPr>
                <w:sz w:val="8"/>
                <w:szCs w:val="8"/>
                <w:color w:val="auto"/>
              </w:rPr>
            </w:pPr>
          </w:p>
        </w:tc>
        <w:tc>
          <w:tcPr>
            <w:tcW w:w="4640" w:type="dxa"/>
            <w:vAlign w:val="bottom"/>
            <w:gridSpan w:val="3"/>
            <w:vMerge w:val="continue"/>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shd w:val="clear" w:color="auto" w:fill="E93CAC"/>
          </w:tcPr>
          <w:p>
            <w:pPr>
              <w:spacing w:after="0"/>
              <w:rPr>
                <w:sz w:val="8"/>
                <w:szCs w:val="8"/>
                <w:color w:val="auto"/>
              </w:rPr>
            </w:pPr>
          </w:p>
        </w:tc>
        <w:tc>
          <w:tcPr>
            <w:tcW w:w="1900" w:type="dxa"/>
            <w:vAlign w:val="bottom"/>
            <w:gridSpan w:val="2"/>
            <w:vMerge w:val="restart"/>
            <w:shd w:val="clear" w:color="auto" w:fill="E7E6E6"/>
          </w:tcPr>
          <w:p>
            <w:pPr>
              <w:ind w:left="120"/>
              <w:spacing w:after="0"/>
              <w:rPr>
                <w:sz w:val="20"/>
                <w:szCs w:val="20"/>
                <w:color w:val="auto"/>
              </w:rPr>
            </w:pPr>
            <w:r>
              <w:rPr>
                <w:rFonts w:ascii="Arial" w:cs="Arial" w:eastAsia="Arial" w:hAnsi="Arial"/>
                <w:sz w:val="15"/>
                <w:szCs w:val="15"/>
                <w:color w:val="auto"/>
              </w:rPr>
              <w:t>and manage ESG risks</w:t>
            </w:r>
          </w:p>
        </w:tc>
        <w:tc>
          <w:tcPr>
            <w:tcW w:w="440" w:type="dxa"/>
            <w:vAlign w:val="bottom"/>
            <w:shd w:val="clear" w:color="auto" w:fill="E7E6E6"/>
          </w:tcPr>
          <w:p>
            <w:pPr>
              <w:spacing w:after="0"/>
              <w:rPr>
                <w:sz w:val="8"/>
                <w:szCs w:val="8"/>
                <w:color w:val="auto"/>
              </w:rPr>
            </w:pPr>
          </w:p>
        </w:tc>
        <w:tc>
          <w:tcPr>
            <w:tcW w:w="4640" w:type="dxa"/>
            <w:vAlign w:val="bottom"/>
            <w:gridSpan w:val="3"/>
            <w:vMerge w:val="restart"/>
            <w:shd w:val="clear" w:color="auto" w:fill="E7E6E6"/>
          </w:tcPr>
          <w:p>
            <w:pPr>
              <w:ind w:left="100"/>
              <w:spacing w:after="0"/>
              <w:rPr>
                <w:sz w:val="20"/>
                <w:szCs w:val="20"/>
                <w:color w:val="auto"/>
              </w:rPr>
            </w:pPr>
            <w:r>
              <w:rPr>
                <w:rFonts w:ascii="Arial" w:cs="Arial" w:eastAsia="Arial" w:hAnsi="Arial"/>
                <w:sz w:val="15"/>
                <w:szCs w:val="15"/>
                <w:color w:val="auto"/>
              </w:rPr>
              <w:t>risk and audit.</w:t>
            </w:r>
          </w:p>
        </w:tc>
        <w:tc>
          <w:tcPr>
            <w:tcW w:w="0" w:type="dxa"/>
            <w:vAlign w:val="bottom"/>
          </w:tcPr>
          <w:p>
            <w:pPr>
              <w:spacing w:after="0"/>
              <w:rPr>
                <w:sz w:val="1"/>
                <w:szCs w:val="1"/>
                <w:color w:val="auto"/>
              </w:rPr>
            </w:pPr>
          </w:p>
        </w:tc>
      </w:tr>
      <w:tr>
        <w:trPr>
          <w:trHeight w:val="92"/>
        </w:trPr>
        <w:tc>
          <w:tcPr>
            <w:tcW w:w="1100" w:type="dxa"/>
            <w:vAlign w:val="bottom"/>
            <w:shd w:val="clear" w:color="auto" w:fill="E93CAC"/>
          </w:tcPr>
          <w:p>
            <w:pPr>
              <w:spacing w:after="0"/>
              <w:rPr>
                <w:sz w:val="8"/>
                <w:szCs w:val="8"/>
                <w:color w:val="auto"/>
              </w:rPr>
            </w:pPr>
          </w:p>
        </w:tc>
        <w:tc>
          <w:tcPr>
            <w:tcW w:w="1900" w:type="dxa"/>
            <w:vAlign w:val="bottom"/>
            <w:gridSpan w:val="2"/>
            <w:vMerge w:val="continue"/>
            <w:shd w:val="clear" w:color="auto" w:fill="E7E6E6"/>
          </w:tcPr>
          <w:p>
            <w:pPr>
              <w:spacing w:after="0"/>
              <w:rPr>
                <w:sz w:val="8"/>
                <w:szCs w:val="8"/>
                <w:color w:val="auto"/>
              </w:rPr>
            </w:pPr>
          </w:p>
        </w:tc>
        <w:tc>
          <w:tcPr>
            <w:tcW w:w="440" w:type="dxa"/>
            <w:vAlign w:val="bottom"/>
            <w:shd w:val="clear" w:color="auto" w:fill="E7E6E6"/>
          </w:tcPr>
          <w:p>
            <w:pPr>
              <w:spacing w:after="0"/>
              <w:rPr>
                <w:sz w:val="8"/>
                <w:szCs w:val="8"/>
                <w:color w:val="auto"/>
              </w:rPr>
            </w:pPr>
          </w:p>
        </w:tc>
        <w:tc>
          <w:tcPr>
            <w:tcW w:w="4640" w:type="dxa"/>
            <w:vAlign w:val="bottom"/>
            <w:gridSpan w:val="3"/>
            <w:vMerge w:val="continue"/>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100" w:type="dxa"/>
            <w:vAlign w:val="bottom"/>
            <w:shd w:val="clear" w:color="auto" w:fill="E93CAC"/>
          </w:tcPr>
          <w:p>
            <w:pPr>
              <w:spacing w:after="0"/>
              <w:rPr>
                <w:sz w:val="16"/>
                <w:szCs w:val="16"/>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Improve the system to</w:t>
            </w:r>
          </w:p>
        </w:tc>
        <w:tc>
          <w:tcPr>
            <w:tcW w:w="440" w:type="dxa"/>
            <w:vAlign w:val="bottom"/>
            <w:shd w:val="clear" w:color="auto" w:fill="E7E6E6"/>
          </w:tcPr>
          <w:p>
            <w:pPr>
              <w:spacing w:after="0"/>
              <w:rPr>
                <w:sz w:val="16"/>
                <w:szCs w:val="16"/>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Through  a  multi-disciplinary  assessment  that  entailed  hiring</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prioritize ESG risks and</w:t>
            </w: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specialized advisory services; consulting leading banks in the</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establish a system to measure</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sector; examining external sources (MSCI, SASB, IFC) and</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and treat risk that utilizes</w:t>
            </w: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internal materials (Current Environmental Questionnaires); and</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information from internal</w:t>
            </w: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engaging in dialogue with the most relevant clients of each</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models and external ESG</w:t>
            </w: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sector, the main ESG risks prioritized for management were:</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ratings in the risk assessment</w:t>
            </w:r>
          </w:p>
        </w:tc>
        <w:tc>
          <w:tcPr>
            <w:tcW w:w="280" w:type="dxa"/>
            <w:vAlign w:val="bottom"/>
            <w:gridSpan w:val="2"/>
            <w:shd w:val="clear" w:color="auto" w:fill="E7E6E6"/>
          </w:tcPr>
          <w:p>
            <w:pPr>
              <w:ind w:left="100"/>
              <w:spacing w:after="0"/>
              <w:rPr>
                <w:sz w:val="20"/>
                <w:szCs w:val="20"/>
                <w:color w:val="auto"/>
              </w:rPr>
            </w:pPr>
            <w:r>
              <w:rPr>
                <w:rFonts w:ascii="Arial" w:cs="Arial" w:eastAsia="Arial" w:hAnsi="Arial"/>
                <w:sz w:val="15"/>
                <w:szCs w:val="15"/>
                <w:color w:val="00D1D0"/>
              </w:rPr>
              <w:t>●</w:t>
            </w:r>
          </w:p>
        </w:tc>
        <w:tc>
          <w:tcPr>
            <w:tcW w:w="4360" w:type="dxa"/>
            <w:vAlign w:val="bottom"/>
            <w:shd w:val="clear" w:color="auto" w:fill="E7E6E6"/>
          </w:tcPr>
          <w:p>
            <w:pPr>
              <w:jc w:val="right"/>
              <w:ind w:right="43"/>
              <w:spacing w:after="0"/>
              <w:rPr>
                <w:sz w:val="20"/>
                <w:szCs w:val="20"/>
                <w:color w:val="auto"/>
              </w:rPr>
            </w:pPr>
            <w:r>
              <w:rPr>
                <w:rFonts w:ascii="Arial" w:cs="Arial" w:eastAsia="Arial" w:hAnsi="Arial"/>
                <w:sz w:val="15"/>
                <w:szCs w:val="15"/>
                <w:color w:val="auto"/>
              </w:rPr>
              <w:t>Ten  sectors  with  more  climate  impact  were  identified</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ind w:left="100"/>
              <w:spacing w:after="0"/>
              <w:rPr>
                <w:sz w:val="20"/>
                <w:szCs w:val="20"/>
                <w:color w:val="auto"/>
              </w:rPr>
            </w:pPr>
            <w:r>
              <w:rPr>
                <w:rFonts w:ascii="Arial" w:cs="Arial" w:eastAsia="Arial" w:hAnsi="Arial"/>
                <w:sz w:val="15"/>
                <w:szCs w:val="15"/>
                <w:color w:val="FFFFFF"/>
              </w:rPr>
              <w:t>Identification,</w:t>
            </w:r>
          </w:p>
        </w:tc>
        <w:tc>
          <w:tcPr>
            <w:tcW w:w="880" w:type="dxa"/>
            <w:vAlign w:val="bottom"/>
            <w:shd w:val="clear" w:color="auto" w:fill="E7E6E6"/>
          </w:tcPr>
          <w:p>
            <w:pPr>
              <w:ind w:left="120"/>
              <w:spacing w:after="0"/>
              <w:rPr>
                <w:sz w:val="20"/>
                <w:szCs w:val="20"/>
                <w:color w:val="auto"/>
              </w:rPr>
            </w:pPr>
            <w:r>
              <w:rPr>
                <w:rFonts w:ascii="Arial" w:cs="Arial" w:eastAsia="Arial" w:hAnsi="Arial"/>
                <w:sz w:val="15"/>
                <w:szCs w:val="15"/>
                <w:color w:val="auto"/>
              </w:rPr>
              <w:t>process.</w:t>
            </w: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(approximately 35% of the wholesale banking portfolio’s total</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ind w:left="100"/>
              <w:spacing w:after="0"/>
              <w:rPr>
                <w:sz w:val="20"/>
                <w:szCs w:val="20"/>
                <w:color w:val="auto"/>
              </w:rPr>
            </w:pPr>
            <w:r>
              <w:rPr>
                <w:rFonts w:ascii="Arial" w:cs="Arial" w:eastAsia="Arial" w:hAnsi="Arial"/>
                <w:sz w:val="15"/>
                <w:szCs w:val="15"/>
                <w:color w:val="FFFFFF"/>
              </w:rPr>
              <w:t>assessment</w:t>
            </w: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exposure) along with the most relevant ESG risks for each</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ind w:left="100"/>
              <w:spacing w:after="0"/>
              <w:rPr>
                <w:sz w:val="20"/>
                <w:szCs w:val="20"/>
                <w:color w:val="auto"/>
              </w:rPr>
            </w:pPr>
            <w:r>
              <w:rPr>
                <w:rFonts w:ascii="Arial" w:cs="Arial" w:eastAsia="Arial" w:hAnsi="Arial"/>
                <w:sz w:val="15"/>
                <w:szCs w:val="15"/>
                <w:color w:val="FFFFFF"/>
              </w:rPr>
              <w:t>and</w:t>
            </w: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sector.  The  environmental  risks  identified  were  physical,</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ind w:left="100"/>
              <w:spacing w:after="0"/>
              <w:rPr>
                <w:sz w:val="20"/>
                <w:szCs w:val="20"/>
                <w:color w:val="auto"/>
              </w:rPr>
            </w:pPr>
            <w:r>
              <w:rPr>
                <w:rFonts w:ascii="Arial" w:cs="Arial" w:eastAsia="Arial" w:hAnsi="Arial"/>
                <w:sz w:val="15"/>
                <w:szCs w:val="15"/>
                <w:color w:val="FFFFFF"/>
              </w:rPr>
              <w:t>treatment</w:t>
            </w: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transition and anthropic in nature.</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ind w:left="100"/>
              <w:spacing w:after="0"/>
              <w:rPr>
                <w:sz w:val="20"/>
                <w:szCs w:val="20"/>
                <w:color w:val="auto"/>
              </w:rPr>
            </w:pPr>
            <w:r>
              <w:rPr>
                <w:rFonts w:ascii="Arial" w:cs="Arial" w:eastAsia="Arial" w:hAnsi="Arial"/>
                <w:sz w:val="15"/>
                <w:szCs w:val="15"/>
                <w:color w:val="00D1D0"/>
              </w:rPr>
              <w:t>●</w:t>
            </w:r>
          </w:p>
        </w:tc>
        <w:tc>
          <w:tcPr>
            <w:tcW w:w="4420" w:type="dxa"/>
            <w:vAlign w:val="bottom"/>
            <w:gridSpan w:val="2"/>
            <w:shd w:val="clear" w:color="auto" w:fill="E7E6E6"/>
          </w:tcPr>
          <w:p>
            <w:pPr>
              <w:ind w:left="80"/>
              <w:spacing w:after="0"/>
              <w:rPr>
                <w:sz w:val="20"/>
                <w:szCs w:val="20"/>
                <w:color w:val="auto"/>
              </w:rPr>
            </w:pPr>
            <w:r>
              <w:rPr>
                <w:rFonts w:ascii="Arial" w:cs="Arial" w:eastAsia="Arial" w:hAnsi="Arial"/>
                <w:sz w:val="15"/>
                <w:szCs w:val="15"/>
                <w:color w:val="auto"/>
              </w:rPr>
              <w:t>10 ESG questionnaires were developed. Clients that have</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received financing must answer these questionnaires on a</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yearly basis. We hope to make progress in calculating an ESG</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score based on the questionnaire’s results.</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ind w:left="100"/>
              <w:spacing w:after="0"/>
              <w:rPr>
                <w:sz w:val="20"/>
                <w:szCs w:val="20"/>
                <w:color w:val="auto"/>
              </w:rPr>
            </w:pPr>
            <w:r>
              <w:rPr>
                <w:rFonts w:ascii="Arial" w:cs="Arial" w:eastAsia="Arial" w:hAnsi="Arial"/>
                <w:sz w:val="15"/>
                <w:szCs w:val="15"/>
                <w:color w:val="00D1D0"/>
              </w:rPr>
              <w:t>●</w:t>
            </w:r>
          </w:p>
        </w:tc>
        <w:tc>
          <w:tcPr>
            <w:tcW w:w="60" w:type="dxa"/>
            <w:vAlign w:val="bottom"/>
            <w:shd w:val="clear" w:color="auto" w:fill="E7E6E6"/>
          </w:tcPr>
          <w:p>
            <w:pPr>
              <w:spacing w:after="0"/>
              <w:rPr>
                <w:sz w:val="15"/>
                <w:szCs w:val="15"/>
                <w:color w:val="auto"/>
              </w:rPr>
            </w:pPr>
          </w:p>
        </w:tc>
        <w:tc>
          <w:tcPr>
            <w:tcW w:w="4360" w:type="dxa"/>
            <w:vAlign w:val="bottom"/>
            <w:shd w:val="clear" w:color="auto" w:fill="E7E6E6"/>
          </w:tcPr>
          <w:p>
            <w:pPr>
              <w:jc w:val="right"/>
              <w:ind w:right="23"/>
              <w:spacing w:after="0"/>
              <w:rPr>
                <w:sz w:val="20"/>
                <w:szCs w:val="20"/>
                <w:color w:val="auto"/>
              </w:rPr>
            </w:pPr>
            <w:r>
              <w:rPr>
                <w:rFonts w:ascii="Arial" w:cs="Arial" w:eastAsia="Arial" w:hAnsi="Arial"/>
                <w:sz w:val="15"/>
                <w:szCs w:val="15"/>
                <w:color w:val="auto"/>
              </w:rPr>
              <w:t>To  assess  guarantees,  we  included  questions  on</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environmental and social variables in the questionnaire to</w:t>
            </w:r>
          </w:p>
        </w:tc>
        <w:tc>
          <w:tcPr>
            <w:tcW w:w="0" w:type="dxa"/>
            <w:vAlign w:val="bottom"/>
          </w:tcPr>
          <w:p>
            <w:pPr>
              <w:spacing w:after="0"/>
              <w:rPr>
                <w:sz w:val="1"/>
                <w:szCs w:val="1"/>
                <w:color w:val="auto"/>
              </w:rPr>
            </w:pPr>
          </w:p>
        </w:tc>
      </w:tr>
      <w:tr>
        <w:trPr>
          <w:trHeight w:val="185"/>
        </w:trPr>
        <w:tc>
          <w:tcPr>
            <w:tcW w:w="1100" w:type="dxa"/>
            <w:vAlign w:val="bottom"/>
            <w:shd w:val="clear" w:color="auto" w:fill="E93CAC"/>
          </w:tcPr>
          <w:p>
            <w:pPr>
              <w:spacing w:after="0"/>
              <w:rPr>
                <w:sz w:val="16"/>
                <w:szCs w:val="16"/>
                <w:color w:val="auto"/>
              </w:rPr>
            </w:pPr>
          </w:p>
        </w:tc>
        <w:tc>
          <w:tcPr>
            <w:tcW w:w="880" w:type="dxa"/>
            <w:vAlign w:val="bottom"/>
            <w:shd w:val="clear" w:color="auto" w:fill="E7E6E6"/>
          </w:tcPr>
          <w:p>
            <w:pPr>
              <w:spacing w:after="0"/>
              <w:rPr>
                <w:sz w:val="16"/>
                <w:szCs w:val="16"/>
                <w:color w:val="auto"/>
              </w:rPr>
            </w:pPr>
          </w:p>
        </w:tc>
        <w:tc>
          <w:tcPr>
            <w:tcW w:w="1020" w:type="dxa"/>
            <w:vAlign w:val="bottom"/>
            <w:shd w:val="clear" w:color="auto" w:fill="E7E6E6"/>
          </w:tcPr>
          <w:p>
            <w:pPr>
              <w:spacing w:after="0"/>
              <w:rPr>
                <w:sz w:val="16"/>
                <w:szCs w:val="16"/>
                <w:color w:val="auto"/>
              </w:rPr>
            </w:pPr>
          </w:p>
        </w:tc>
        <w:tc>
          <w:tcPr>
            <w:tcW w:w="440" w:type="dxa"/>
            <w:vAlign w:val="bottom"/>
            <w:shd w:val="clear" w:color="auto" w:fill="E7E6E6"/>
          </w:tcPr>
          <w:p>
            <w:pPr>
              <w:spacing w:after="0"/>
              <w:rPr>
                <w:sz w:val="16"/>
                <w:szCs w:val="16"/>
                <w:color w:val="auto"/>
              </w:rPr>
            </w:pPr>
          </w:p>
        </w:tc>
        <w:tc>
          <w:tcPr>
            <w:tcW w:w="220" w:type="dxa"/>
            <w:vAlign w:val="bottom"/>
            <w:shd w:val="clear" w:color="auto" w:fill="E7E6E6"/>
          </w:tcPr>
          <w:p>
            <w:pPr>
              <w:spacing w:after="0"/>
              <w:rPr>
                <w:sz w:val="16"/>
                <w:szCs w:val="16"/>
                <w:color w:val="auto"/>
              </w:rPr>
            </w:pPr>
          </w:p>
        </w:tc>
        <w:tc>
          <w:tcPr>
            <w:tcW w:w="4420" w:type="dxa"/>
            <w:vAlign w:val="bottom"/>
            <w:gridSpan w:val="2"/>
            <w:shd w:val="clear" w:color="auto" w:fill="E7E6E6"/>
          </w:tcPr>
          <w:p>
            <w:pPr>
              <w:ind w:left="20"/>
              <w:spacing w:after="0"/>
              <w:rPr>
                <w:sz w:val="20"/>
                <w:szCs w:val="20"/>
                <w:color w:val="auto"/>
              </w:rPr>
            </w:pPr>
            <w:r>
              <w:rPr>
                <w:rFonts w:ascii="Arial" w:cs="Arial" w:eastAsia="Arial" w:hAnsi="Arial"/>
                <w:sz w:val="15"/>
                <w:szCs w:val="15"/>
                <w:color w:val="auto"/>
              </w:rPr>
              <w:t>complement the information in the appraiser’s report</w:t>
            </w:r>
          </w:p>
        </w:tc>
        <w:tc>
          <w:tcPr>
            <w:tcW w:w="0" w:type="dxa"/>
            <w:vAlign w:val="bottom"/>
          </w:tcPr>
          <w:p>
            <w:pPr>
              <w:spacing w:after="0"/>
              <w:rPr>
                <w:sz w:val="1"/>
                <w:szCs w:val="1"/>
                <w:color w:val="auto"/>
              </w:rPr>
            </w:pPr>
          </w:p>
        </w:tc>
      </w:tr>
      <w:tr>
        <w:trPr>
          <w:trHeight w:val="195"/>
        </w:trPr>
        <w:tc>
          <w:tcPr>
            <w:tcW w:w="1100" w:type="dxa"/>
            <w:vAlign w:val="bottom"/>
            <w:shd w:val="clear" w:color="auto" w:fill="E93CAC"/>
          </w:tcPr>
          <w:p>
            <w:pPr>
              <w:spacing w:after="0"/>
              <w:rPr>
                <w:sz w:val="16"/>
                <w:szCs w:val="16"/>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Be equipped with a framework</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To conduct permanent monitoring, we submit monthly reports to</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to monitor ESG risks that</w:t>
            </w: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an operating forum led by the corporate CRO (Chief Risk Officer)</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allows us to comply with the</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and attended by representative of the aforementioned divisions</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appetite that has been set and</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and areas. We also utilize a system to periodically monitor</w:t>
            </w:r>
          </w:p>
        </w:tc>
        <w:tc>
          <w:tcPr>
            <w:tcW w:w="0" w:type="dxa"/>
            <w:vAlign w:val="bottom"/>
          </w:tcPr>
          <w:p>
            <w:pPr>
              <w:spacing w:after="0"/>
              <w:rPr>
                <w:sz w:val="1"/>
                <w:szCs w:val="1"/>
                <w:color w:val="auto"/>
              </w:rPr>
            </w:pPr>
          </w:p>
        </w:tc>
      </w:tr>
      <w:tr>
        <w:trPr>
          <w:trHeight w:val="173"/>
        </w:trPr>
        <w:tc>
          <w:tcPr>
            <w:tcW w:w="1100" w:type="dxa"/>
            <w:vAlign w:val="bottom"/>
            <w:vMerge w:val="restart"/>
            <w:shd w:val="clear" w:color="auto" w:fill="E93CAC"/>
          </w:tcPr>
          <w:p>
            <w:pPr>
              <w:ind w:left="100"/>
              <w:spacing w:after="0"/>
              <w:rPr>
                <w:sz w:val="20"/>
                <w:szCs w:val="20"/>
                <w:color w:val="auto"/>
              </w:rPr>
            </w:pPr>
            <w:r>
              <w:rPr>
                <w:rFonts w:ascii="Arial" w:cs="Arial" w:eastAsia="Arial" w:hAnsi="Arial"/>
                <w:sz w:val="15"/>
                <w:szCs w:val="15"/>
                <w:color w:val="FFFFFF"/>
              </w:rPr>
              <w:t>Monitoring</w:t>
            </w: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validate the conditions of ESG</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whether we have hit the milestones we have set to ensure that</w:t>
            </w:r>
          </w:p>
        </w:tc>
        <w:tc>
          <w:tcPr>
            <w:tcW w:w="0" w:type="dxa"/>
            <w:vAlign w:val="bottom"/>
          </w:tcPr>
          <w:p>
            <w:pPr>
              <w:spacing w:after="0"/>
              <w:rPr>
                <w:sz w:val="1"/>
                <w:szCs w:val="1"/>
                <w:color w:val="auto"/>
              </w:rPr>
            </w:pPr>
          </w:p>
        </w:tc>
      </w:tr>
      <w:tr>
        <w:trPr>
          <w:trHeight w:val="93"/>
        </w:trPr>
        <w:tc>
          <w:tcPr>
            <w:tcW w:w="1100" w:type="dxa"/>
            <w:vAlign w:val="bottom"/>
            <w:vMerge w:val="continue"/>
            <w:shd w:val="clear" w:color="auto" w:fill="E93CAC"/>
          </w:tcPr>
          <w:p>
            <w:pPr>
              <w:spacing w:after="0"/>
              <w:rPr>
                <w:sz w:val="8"/>
                <w:szCs w:val="8"/>
                <w:color w:val="auto"/>
              </w:rPr>
            </w:pPr>
          </w:p>
        </w:tc>
        <w:tc>
          <w:tcPr>
            <w:tcW w:w="2340" w:type="dxa"/>
            <w:vAlign w:val="bottom"/>
            <w:gridSpan w:val="3"/>
            <w:vMerge w:val="restart"/>
            <w:shd w:val="clear" w:color="auto" w:fill="E7E6E6"/>
          </w:tcPr>
          <w:p>
            <w:pPr>
              <w:ind w:left="120"/>
              <w:spacing w:after="0"/>
              <w:rPr>
                <w:sz w:val="20"/>
                <w:szCs w:val="20"/>
                <w:color w:val="auto"/>
              </w:rPr>
            </w:pPr>
            <w:r>
              <w:rPr>
                <w:rFonts w:ascii="Arial" w:cs="Arial" w:eastAsia="Arial" w:hAnsi="Arial"/>
                <w:sz w:val="15"/>
                <w:szCs w:val="15"/>
                <w:color w:val="auto"/>
              </w:rPr>
              <w:t>risk that are measured in the</w:t>
            </w:r>
          </w:p>
        </w:tc>
        <w:tc>
          <w:tcPr>
            <w:tcW w:w="4640" w:type="dxa"/>
            <w:vAlign w:val="bottom"/>
            <w:gridSpan w:val="3"/>
            <w:vMerge w:val="restart"/>
            <w:shd w:val="clear" w:color="auto" w:fill="E7E6E6"/>
          </w:tcPr>
          <w:p>
            <w:pPr>
              <w:ind w:left="100"/>
              <w:spacing w:after="0"/>
              <w:rPr>
                <w:sz w:val="20"/>
                <w:szCs w:val="20"/>
                <w:color w:val="auto"/>
              </w:rPr>
            </w:pPr>
            <w:r>
              <w:rPr>
                <w:rFonts w:ascii="Arial" w:cs="Arial" w:eastAsia="Arial" w:hAnsi="Arial"/>
                <w:sz w:val="15"/>
                <w:szCs w:val="15"/>
                <w:color w:val="auto"/>
              </w:rPr>
              <w:t>our objectives are achieved. The agreements and deliverables</w:t>
            </w:r>
          </w:p>
        </w:tc>
        <w:tc>
          <w:tcPr>
            <w:tcW w:w="0" w:type="dxa"/>
            <w:vAlign w:val="bottom"/>
          </w:tcPr>
          <w:p>
            <w:pPr>
              <w:spacing w:after="0"/>
              <w:rPr>
                <w:sz w:val="1"/>
                <w:szCs w:val="1"/>
                <w:color w:val="auto"/>
              </w:rPr>
            </w:pPr>
          </w:p>
        </w:tc>
      </w:tr>
      <w:tr>
        <w:trPr>
          <w:trHeight w:val="80"/>
        </w:trPr>
        <w:tc>
          <w:tcPr>
            <w:tcW w:w="1100" w:type="dxa"/>
            <w:vAlign w:val="bottom"/>
            <w:shd w:val="clear" w:color="auto" w:fill="E93CAC"/>
          </w:tcPr>
          <w:p>
            <w:pPr>
              <w:spacing w:after="0"/>
              <w:rPr>
                <w:sz w:val="6"/>
                <w:szCs w:val="6"/>
                <w:color w:val="auto"/>
              </w:rPr>
            </w:pPr>
          </w:p>
        </w:tc>
        <w:tc>
          <w:tcPr>
            <w:tcW w:w="2340" w:type="dxa"/>
            <w:vAlign w:val="bottom"/>
            <w:gridSpan w:val="3"/>
            <w:vMerge w:val="continue"/>
            <w:shd w:val="clear" w:color="auto" w:fill="E7E6E6"/>
          </w:tcPr>
          <w:p>
            <w:pPr>
              <w:spacing w:after="0"/>
              <w:rPr>
                <w:sz w:val="6"/>
                <w:szCs w:val="6"/>
                <w:color w:val="auto"/>
              </w:rPr>
            </w:pPr>
          </w:p>
        </w:tc>
        <w:tc>
          <w:tcPr>
            <w:tcW w:w="4640" w:type="dxa"/>
            <w:vAlign w:val="bottom"/>
            <w:gridSpan w:val="3"/>
            <w:vMerge w:val="continue"/>
            <w:shd w:val="clear" w:color="auto" w:fill="E7E6E6"/>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acceptance process</w:t>
            </w: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are  formally  approved  by  our  governance  bodies  and  the</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SteerCo and Sustainability Committee of the Board are informed</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880" w:type="dxa"/>
            <w:vAlign w:val="bottom"/>
            <w:shd w:val="clear" w:color="auto" w:fill="E7E6E6"/>
          </w:tcPr>
          <w:p>
            <w:pPr>
              <w:spacing w:after="0"/>
              <w:rPr>
                <w:sz w:val="15"/>
                <w:szCs w:val="15"/>
                <w:color w:val="auto"/>
              </w:rPr>
            </w:pPr>
          </w:p>
        </w:tc>
        <w:tc>
          <w:tcPr>
            <w:tcW w:w="10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of relevant advances every 3 months and every 2 months</w:t>
            </w:r>
          </w:p>
        </w:tc>
        <w:tc>
          <w:tcPr>
            <w:tcW w:w="0" w:type="dxa"/>
            <w:vAlign w:val="bottom"/>
          </w:tcPr>
          <w:p>
            <w:pPr>
              <w:spacing w:after="0"/>
              <w:rPr>
                <w:sz w:val="1"/>
                <w:szCs w:val="1"/>
                <w:color w:val="auto"/>
              </w:rPr>
            </w:pPr>
          </w:p>
        </w:tc>
      </w:tr>
      <w:tr>
        <w:trPr>
          <w:trHeight w:val="185"/>
        </w:trPr>
        <w:tc>
          <w:tcPr>
            <w:tcW w:w="1100" w:type="dxa"/>
            <w:vAlign w:val="bottom"/>
            <w:shd w:val="clear" w:color="auto" w:fill="E93CAC"/>
          </w:tcPr>
          <w:p>
            <w:pPr>
              <w:spacing w:after="0"/>
              <w:rPr>
                <w:sz w:val="16"/>
                <w:szCs w:val="16"/>
                <w:color w:val="auto"/>
              </w:rPr>
            </w:pPr>
          </w:p>
        </w:tc>
        <w:tc>
          <w:tcPr>
            <w:tcW w:w="880" w:type="dxa"/>
            <w:vAlign w:val="bottom"/>
            <w:shd w:val="clear" w:color="auto" w:fill="E7E6E6"/>
          </w:tcPr>
          <w:p>
            <w:pPr>
              <w:spacing w:after="0"/>
              <w:rPr>
                <w:sz w:val="16"/>
                <w:szCs w:val="16"/>
                <w:color w:val="auto"/>
              </w:rPr>
            </w:pPr>
          </w:p>
        </w:tc>
        <w:tc>
          <w:tcPr>
            <w:tcW w:w="1020" w:type="dxa"/>
            <w:vAlign w:val="bottom"/>
            <w:shd w:val="clear" w:color="auto" w:fill="E7E6E6"/>
          </w:tcPr>
          <w:p>
            <w:pPr>
              <w:spacing w:after="0"/>
              <w:rPr>
                <w:sz w:val="16"/>
                <w:szCs w:val="16"/>
                <w:color w:val="auto"/>
              </w:rPr>
            </w:pPr>
          </w:p>
        </w:tc>
        <w:tc>
          <w:tcPr>
            <w:tcW w:w="440" w:type="dxa"/>
            <w:vAlign w:val="bottom"/>
            <w:shd w:val="clear" w:color="auto" w:fill="E7E6E6"/>
          </w:tcPr>
          <w:p>
            <w:pPr>
              <w:spacing w:after="0"/>
              <w:rPr>
                <w:sz w:val="16"/>
                <w:szCs w:val="16"/>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respectively.</w:t>
            </w:r>
          </w:p>
        </w:tc>
        <w:tc>
          <w:tcPr>
            <w:tcW w:w="0" w:type="dxa"/>
            <w:vAlign w:val="bottom"/>
          </w:tcPr>
          <w:p>
            <w:pPr>
              <w:spacing w:after="0"/>
              <w:rPr>
                <w:sz w:val="1"/>
                <w:szCs w:val="1"/>
                <w:color w:val="auto"/>
              </w:rPr>
            </w:pPr>
          </w:p>
        </w:tc>
      </w:tr>
      <w:tr>
        <w:trPr>
          <w:trHeight w:val="195"/>
        </w:trPr>
        <w:tc>
          <w:tcPr>
            <w:tcW w:w="1100" w:type="dxa"/>
            <w:vAlign w:val="bottom"/>
            <w:shd w:val="clear" w:color="auto" w:fill="E93CAC"/>
          </w:tcPr>
          <w:p>
            <w:pPr>
              <w:spacing w:after="0"/>
              <w:rPr>
                <w:sz w:val="16"/>
                <w:szCs w:val="16"/>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Implement an internal and</w:t>
            </w:r>
          </w:p>
        </w:tc>
        <w:tc>
          <w:tcPr>
            <w:tcW w:w="440" w:type="dxa"/>
            <w:vAlign w:val="bottom"/>
            <w:shd w:val="clear" w:color="auto" w:fill="E7E6E6"/>
          </w:tcPr>
          <w:p>
            <w:pPr>
              <w:spacing w:after="0"/>
              <w:rPr>
                <w:sz w:val="16"/>
                <w:szCs w:val="16"/>
                <w:color w:val="auto"/>
              </w:rPr>
            </w:pP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We began an exhaustive review of TCFD’s recommendations as</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external reporting system that</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part of the strategic environmental consultancy that is</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ind w:left="100"/>
              <w:spacing w:after="0"/>
              <w:rPr>
                <w:sz w:val="20"/>
                <w:szCs w:val="20"/>
                <w:color w:val="auto"/>
              </w:rPr>
            </w:pPr>
            <w:r>
              <w:rPr>
                <w:rFonts w:ascii="Arial" w:cs="Arial" w:eastAsia="Arial" w:hAnsi="Arial"/>
                <w:sz w:val="15"/>
                <w:szCs w:val="15"/>
                <w:color w:val="FFFFFF"/>
              </w:rPr>
              <w:t>Report</w:t>
            </w:r>
          </w:p>
        </w:tc>
        <w:tc>
          <w:tcPr>
            <w:tcW w:w="2340" w:type="dxa"/>
            <w:vAlign w:val="bottom"/>
            <w:gridSpan w:val="3"/>
            <w:shd w:val="clear" w:color="auto" w:fill="E7E6E6"/>
          </w:tcPr>
          <w:p>
            <w:pPr>
              <w:ind w:left="120"/>
              <w:spacing w:after="0"/>
              <w:rPr>
                <w:sz w:val="20"/>
                <w:szCs w:val="20"/>
                <w:color w:val="auto"/>
              </w:rPr>
            </w:pPr>
            <w:r>
              <w:rPr>
                <w:rFonts w:ascii="Arial" w:cs="Arial" w:eastAsia="Arial" w:hAnsi="Arial"/>
                <w:sz w:val="15"/>
                <w:szCs w:val="15"/>
                <w:color w:val="auto"/>
              </w:rPr>
              <w:t>is developed primarily with the</w:t>
            </w:r>
          </w:p>
        </w:tc>
        <w:tc>
          <w:tcPr>
            <w:tcW w:w="4640" w:type="dxa"/>
            <w:vAlign w:val="bottom"/>
            <w:gridSpan w:val="3"/>
            <w:shd w:val="clear" w:color="auto" w:fill="E7E6E6"/>
          </w:tcPr>
          <w:p>
            <w:pPr>
              <w:ind w:left="100"/>
              <w:spacing w:after="0"/>
              <w:rPr>
                <w:sz w:val="20"/>
                <w:szCs w:val="20"/>
                <w:color w:val="auto"/>
              </w:rPr>
            </w:pPr>
            <w:r>
              <w:rPr>
                <w:rFonts w:ascii="Arial" w:cs="Arial" w:eastAsia="Arial" w:hAnsi="Arial"/>
                <w:sz w:val="15"/>
                <w:szCs w:val="15"/>
                <w:color w:val="auto"/>
              </w:rPr>
              <w:t>underway.</w:t>
            </w:r>
          </w:p>
        </w:tc>
        <w:tc>
          <w:tcPr>
            <w:tcW w:w="0" w:type="dxa"/>
            <w:vAlign w:val="bottom"/>
          </w:tcPr>
          <w:p>
            <w:pPr>
              <w:spacing w:after="0"/>
              <w:rPr>
                <w:sz w:val="1"/>
                <w:szCs w:val="1"/>
                <w:color w:val="auto"/>
              </w:rPr>
            </w:pPr>
          </w:p>
        </w:tc>
      </w:tr>
      <w:tr>
        <w:trPr>
          <w:trHeight w:val="173"/>
        </w:trPr>
        <w:tc>
          <w:tcPr>
            <w:tcW w:w="1100" w:type="dxa"/>
            <w:vAlign w:val="bottom"/>
            <w:shd w:val="clear" w:color="auto" w:fill="E93CAC"/>
          </w:tcPr>
          <w:p>
            <w:pPr>
              <w:spacing w:after="0"/>
              <w:rPr>
                <w:sz w:val="15"/>
                <w:szCs w:val="15"/>
                <w:color w:val="auto"/>
              </w:rPr>
            </w:pPr>
          </w:p>
        </w:tc>
        <w:tc>
          <w:tcPr>
            <w:tcW w:w="1900" w:type="dxa"/>
            <w:vAlign w:val="bottom"/>
            <w:gridSpan w:val="2"/>
            <w:shd w:val="clear" w:color="auto" w:fill="E7E6E6"/>
          </w:tcPr>
          <w:p>
            <w:pPr>
              <w:ind w:left="120"/>
              <w:spacing w:after="0"/>
              <w:rPr>
                <w:sz w:val="20"/>
                <w:szCs w:val="20"/>
                <w:color w:val="auto"/>
              </w:rPr>
            </w:pPr>
            <w:r>
              <w:rPr>
                <w:rFonts w:ascii="Arial" w:cs="Arial" w:eastAsia="Arial" w:hAnsi="Arial"/>
                <w:sz w:val="15"/>
                <w:szCs w:val="15"/>
                <w:color w:val="auto"/>
              </w:rPr>
              <w:t>guidelines set for TCFD</w:t>
            </w:r>
          </w:p>
        </w:tc>
        <w:tc>
          <w:tcPr>
            <w:tcW w:w="440" w:type="dxa"/>
            <w:vAlign w:val="bottom"/>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60" w:type="dxa"/>
            <w:vAlign w:val="bottom"/>
            <w:shd w:val="clear" w:color="auto" w:fill="E7E6E6"/>
          </w:tcPr>
          <w:p>
            <w:pPr>
              <w:spacing w:after="0"/>
              <w:rPr>
                <w:sz w:val="15"/>
                <w:szCs w:val="15"/>
                <w:color w:val="auto"/>
              </w:rPr>
            </w:pPr>
          </w:p>
        </w:tc>
        <w:tc>
          <w:tcPr>
            <w:tcW w:w="4360" w:type="dxa"/>
            <w:vAlign w:val="bottom"/>
            <w:shd w:val="clear" w:color="auto" w:fill="E7E6E6"/>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00" w:type="dxa"/>
            <w:vAlign w:val="bottom"/>
            <w:shd w:val="clear" w:color="auto" w:fill="E93CAC"/>
          </w:tcPr>
          <w:p>
            <w:pPr>
              <w:spacing w:after="0"/>
              <w:rPr>
                <w:sz w:val="16"/>
                <w:szCs w:val="16"/>
                <w:color w:val="auto"/>
              </w:rPr>
            </w:pPr>
          </w:p>
        </w:tc>
        <w:tc>
          <w:tcPr>
            <w:tcW w:w="880" w:type="dxa"/>
            <w:vAlign w:val="bottom"/>
            <w:shd w:val="clear" w:color="auto" w:fill="E7E6E6"/>
          </w:tcPr>
          <w:p>
            <w:pPr>
              <w:ind w:left="120"/>
              <w:spacing w:after="0"/>
              <w:rPr>
                <w:sz w:val="20"/>
                <w:szCs w:val="20"/>
                <w:color w:val="auto"/>
              </w:rPr>
            </w:pPr>
            <w:r>
              <w:rPr>
                <w:rFonts w:ascii="Arial" w:cs="Arial" w:eastAsia="Arial" w:hAnsi="Arial"/>
                <w:sz w:val="15"/>
                <w:szCs w:val="15"/>
                <w:color w:val="auto"/>
              </w:rPr>
              <w:t>reporting.</w:t>
            </w:r>
          </w:p>
        </w:tc>
        <w:tc>
          <w:tcPr>
            <w:tcW w:w="1020" w:type="dxa"/>
            <w:vAlign w:val="bottom"/>
            <w:shd w:val="clear" w:color="auto" w:fill="E7E6E6"/>
          </w:tcPr>
          <w:p>
            <w:pPr>
              <w:spacing w:after="0"/>
              <w:rPr>
                <w:sz w:val="16"/>
                <w:szCs w:val="16"/>
                <w:color w:val="auto"/>
              </w:rPr>
            </w:pPr>
          </w:p>
        </w:tc>
        <w:tc>
          <w:tcPr>
            <w:tcW w:w="440" w:type="dxa"/>
            <w:vAlign w:val="bottom"/>
            <w:shd w:val="clear" w:color="auto" w:fill="E7E6E6"/>
          </w:tcPr>
          <w:p>
            <w:pPr>
              <w:spacing w:after="0"/>
              <w:rPr>
                <w:sz w:val="16"/>
                <w:szCs w:val="16"/>
                <w:color w:val="auto"/>
              </w:rPr>
            </w:pPr>
          </w:p>
        </w:tc>
        <w:tc>
          <w:tcPr>
            <w:tcW w:w="220" w:type="dxa"/>
            <w:vAlign w:val="bottom"/>
            <w:shd w:val="clear" w:color="auto" w:fill="E7E6E6"/>
          </w:tcPr>
          <w:p>
            <w:pPr>
              <w:spacing w:after="0"/>
              <w:rPr>
                <w:sz w:val="16"/>
                <w:szCs w:val="16"/>
                <w:color w:val="auto"/>
              </w:rPr>
            </w:pPr>
          </w:p>
        </w:tc>
        <w:tc>
          <w:tcPr>
            <w:tcW w:w="60" w:type="dxa"/>
            <w:vAlign w:val="bottom"/>
            <w:shd w:val="clear" w:color="auto" w:fill="E7E6E6"/>
          </w:tcPr>
          <w:p>
            <w:pPr>
              <w:spacing w:after="0"/>
              <w:rPr>
                <w:sz w:val="16"/>
                <w:szCs w:val="16"/>
                <w:color w:val="auto"/>
              </w:rPr>
            </w:pPr>
          </w:p>
        </w:tc>
        <w:tc>
          <w:tcPr>
            <w:tcW w:w="4360" w:type="dxa"/>
            <w:vAlign w:val="bottom"/>
            <w:shd w:val="clear" w:color="auto" w:fill="E7E6E6"/>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-6090285</wp:posOffset>
            </wp:positionV>
            <wp:extent cx="5146675" cy="61055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6675" cy="6105525"/>
                    </a:xfrm>
                    <a:prstGeom prst="rect">
                      <a:avLst/>
                    </a:prstGeom>
                    <a:noFill/>
                  </pic:spPr>
                </pic:pic>
              </a:graphicData>
            </a:graphic>
          </wp:anchor>
        </w:drawing>
      </w:r>
    </w:p>
    <w:p>
      <w:pPr>
        <w:spacing w:after="0" w:line="175" w:lineRule="exact"/>
        <w:rPr>
          <w:sz w:val="20"/>
          <w:szCs w:val="20"/>
          <w:color w:val="auto"/>
        </w:rPr>
      </w:pPr>
    </w:p>
    <w:p>
      <w:pPr>
        <w:jc w:val="both"/>
        <w:ind w:right="80"/>
        <w:spacing w:after="0" w:line="258" w:lineRule="auto"/>
        <w:rPr>
          <w:sz w:val="20"/>
          <w:szCs w:val="20"/>
          <w:color w:val="auto"/>
        </w:rPr>
      </w:pPr>
      <w:r>
        <w:rPr>
          <w:rFonts w:ascii="Arial" w:cs="Arial" w:eastAsia="Arial" w:hAnsi="Arial"/>
          <w:sz w:val="15"/>
          <w:szCs w:val="15"/>
          <w:color w:val="auto"/>
        </w:rPr>
        <w:t>After defining the aspiration for each business front: Finance (BCP Perú and Bolivia) and investments (Prima AFP, Credicorp Capital, Pacífico Seguros, Treasury BCP), we developed a work plan that extends through 2025.</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process to integrate the Retail Banking front at BCP began with including SME-Pyme, Real Estate, Mortgage, Car, and Mibanco in the scope of the enabler for ESG risk. Each of the aforementioned business units received information on bests practices to integrate ESG factors.</w:t>
      </w:r>
    </w:p>
    <w:p>
      <w:pPr>
        <w:spacing w:after="0" w:line="305" w:lineRule="exact"/>
        <w:rPr>
          <w:sz w:val="20"/>
          <w:szCs w:val="20"/>
          <w:color w:val="auto"/>
        </w:rPr>
      </w:pPr>
    </w:p>
    <w:p>
      <w:pPr>
        <w:ind w:left="7860"/>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29845</wp:posOffset>
            </wp:positionV>
            <wp:extent cx="7152640" cy="146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2640" w:space="500"/>
            <w:col w:w="8120"/>
          </w:cols>
          <w:pgMar w:left="320" w:top="105" w:right="319" w:bottom="1440" w:gutter="0" w:footer="0" w:header="0"/>
        </w:sectPr>
      </w:pPr>
    </w:p>
    <w:bookmarkStart w:id="132" w:name="page133"/>
    <w:bookmarkEnd w:id="132"/>
    <w:p>
      <w:pPr>
        <w:jc w:val="both"/>
        <w:spacing w:after="0" w:line="244" w:lineRule="auto"/>
        <w:rPr>
          <w:sz w:val="20"/>
          <w:szCs w:val="20"/>
          <w:color w:val="auto"/>
        </w:rPr>
      </w:pPr>
      <w:r>
        <w:rPr>
          <w:rFonts w:ascii="Arial" w:cs="Arial" w:eastAsia="Arial" w:hAnsi="Arial"/>
          <w:sz w:val="15"/>
          <w:szCs w:val="15"/>
          <w:color w:val="auto"/>
        </w:rPr>
        <w:t>On the investment business side, after the aspiration for participating subsidiaries was defined, work plans were developed for each that align approaches to handling ESG risks across the organization but recognizing that contexts and needs may differ somewhat at each subsidiary. In 2022, we focused primarily on integrating ESG aspects in the strategies at each subsidiary, which driven the following achievements:</w:t>
      </w:r>
    </w:p>
    <w:p>
      <w:pPr>
        <w:spacing w:after="0" w:line="158" w:lineRule="exact"/>
        <w:rPr>
          <w:sz w:val="20"/>
          <w:szCs w:val="20"/>
          <w:color w:val="auto"/>
        </w:rPr>
      </w:pPr>
    </w:p>
    <w:p>
      <w:pPr>
        <w:ind w:left="540" w:hanging="271"/>
        <w:spacing w:after="0"/>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Alignment with Credicorp’s corporate exclusions</w:t>
      </w:r>
    </w:p>
    <w:p>
      <w:pPr>
        <w:ind w:left="540" w:right="100" w:hanging="271"/>
        <w:spacing w:after="0"/>
        <w:tabs>
          <w:tab w:leader="none" w:pos="540" w:val="left"/>
        </w:tabs>
        <w:numPr>
          <w:ilvl w:val="0"/>
          <w:numId w:val="84"/>
        </w:numPr>
        <w:rPr>
          <w:rFonts w:ascii="Arial" w:cs="Arial" w:eastAsia="Arial" w:hAnsi="Arial"/>
          <w:sz w:val="15"/>
          <w:szCs w:val="15"/>
          <w:color w:val="auto"/>
          <w:strike w:val="1"/>
        </w:rPr>
      </w:pPr>
      <w:r>
        <w:rPr>
          <w:rFonts w:ascii="Arial" w:cs="Arial" w:eastAsia="Arial" w:hAnsi="Arial"/>
          <w:sz w:val="15"/>
          <w:szCs w:val="15"/>
          <w:color w:val="auto"/>
        </w:rPr>
        <w:t>Financing and Investments has adapted credit policies for financing to contemplate a new definition of excluded activities.</w:t>
      </w:r>
    </w:p>
    <w:p>
      <w:pPr>
        <w:ind w:left="540" w:right="320" w:hanging="271"/>
        <w:spacing w:after="0"/>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Integration of ESG governance at the investment committee level’s decision-making process.</w:t>
      </w:r>
    </w:p>
    <w:p>
      <w:pPr>
        <w:ind w:left="540" w:right="220" w:hanging="271"/>
        <w:spacing w:after="0"/>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Development and publication of Responsible Investment Policies for Credicorp Capital, Prima AFP and Pacifico Seguros.</w:t>
      </w:r>
    </w:p>
    <w:p>
      <w:pPr>
        <w:ind w:left="540" w:right="280" w:hanging="271"/>
        <w:spacing w:after="0"/>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Creation of methodologies to include ESG factors in issuer analysis and in decision making.</w:t>
      </w:r>
    </w:p>
    <w:p>
      <w:pPr>
        <w:ind w:left="540" w:right="160" w:hanging="271"/>
        <w:spacing w:after="0" w:line="258" w:lineRule="auto"/>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ESG training for directors, executive management and employees on risk and business teams in our financing and investment areas.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coming years, working teams for finance and investment will focus on: implementing the methodologies developed to assess and treat impacted portfolios and utilizing ESG factors as inputs in the decision-making process. These points will be addressed under our axes as follows:</w:t>
      </w:r>
    </w:p>
    <w:p>
      <w:pPr>
        <w:spacing w:after="0" w:line="157" w:lineRule="exact"/>
        <w:rPr>
          <w:sz w:val="20"/>
          <w:szCs w:val="20"/>
          <w:color w:val="auto"/>
        </w:rPr>
      </w:pPr>
    </w:p>
    <w:p>
      <w:pPr>
        <w:jc w:val="both"/>
        <w:ind w:left="540" w:right="20" w:hanging="271"/>
        <w:spacing w:after="0"/>
        <w:tabs>
          <w:tab w:leader="none" w:pos="5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Taxonomy: focus on implementing and adapting BCP’s Environmental Taxonomy to create a common base to analyze issuers subject to taxonomy analysis.</w:t>
      </w:r>
    </w:p>
    <w:p>
      <w:pPr>
        <w:spacing w:after="0" w:line="1" w:lineRule="exact"/>
        <w:rPr>
          <w:rFonts w:ascii="Arial" w:cs="Arial" w:eastAsia="Arial" w:hAnsi="Arial"/>
          <w:sz w:val="15"/>
          <w:szCs w:val="15"/>
          <w:color w:val="auto"/>
        </w:rPr>
      </w:pPr>
    </w:p>
    <w:p>
      <w:pPr>
        <w:jc w:val="both"/>
        <w:ind w:left="540" w:right="20" w:hanging="271"/>
        <w:spacing w:after="0"/>
        <w:tabs>
          <w:tab w:leader="none" w:pos="5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Appetite: work to finalize implementation of corporate exclusions relative to conduct to include the same in analyses of investment portfolios and financing.</w:t>
      </w:r>
    </w:p>
    <w:p>
      <w:pPr>
        <w:spacing w:after="0" w:line="1" w:lineRule="exact"/>
        <w:rPr>
          <w:rFonts w:ascii="Arial" w:cs="Arial" w:eastAsia="Arial" w:hAnsi="Arial"/>
          <w:sz w:val="15"/>
          <w:szCs w:val="15"/>
          <w:color w:val="auto"/>
        </w:rPr>
      </w:pPr>
    </w:p>
    <w:p>
      <w:pPr>
        <w:jc w:val="both"/>
        <w:ind w:left="540" w:right="20" w:hanging="271"/>
        <w:spacing w:after="0"/>
        <w:tabs>
          <w:tab w:leader="none" w:pos="5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Identification, assessment and treatment: ESG scores will be generated for different asset types and financing and will be used as input for analysis and decision making.</w:t>
      </w:r>
    </w:p>
    <w:p>
      <w:pPr>
        <w:spacing w:after="0" w:line="1" w:lineRule="exact"/>
        <w:rPr>
          <w:rFonts w:ascii="Arial" w:cs="Arial" w:eastAsia="Arial" w:hAnsi="Arial"/>
          <w:sz w:val="15"/>
          <w:szCs w:val="15"/>
          <w:color w:val="auto"/>
        </w:rPr>
      </w:pPr>
    </w:p>
    <w:p>
      <w:pPr>
        <w:ind w:left="540" w:right="20" w:hanging="271"/>
        <w:spacing w:after="0"/>
        <w:tabs>
          <w:tab w:leader="none" w:pos="5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Report: build capacities and complete the diagnostic of TCFD recommendations.</w:t>
      </w:r>
    </w:p>
    <w:p>
      <w:pPr>
        <w:ind w:left="540" w:right="20" w:hanging="271"/>
        <w:spacing w:after="0" w:line="258" w:lineRule="auto"/>
        <w:tabs>
          <w:tab w:leader="none" w:pos="5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On the Retail Front at BCP and Mibanco, we will define our aspiration and develop work plans for each business unit.</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are aware that best practices for ESG management are constantly evolving and as such, improvement at Credicorp will be on-going. Currently, we are working to accelerate our incorporation of ESG risk management factors to reach the highest levels of best practice.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Climate Risk: Considerations linked to the El Niño phenomenon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3425825" cy="18300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5825" cy="1830070"/>
                    </a:xfrm>
                    <a:prstGeom prst="rect">
                      <a:avLst/>
                    </a:prstGeom>
                    <a:noFill/>
                  </pic:spPr>
                </pic:pic>
              </a:graphicData>
            </a:graphic>
          </wp:anchor>
        </w:drawing>
      </w:r>
    </w:p>
    <w:p>
      <w:pPr>
        <w:jc w:val="both"/>
        <w:ind w:left="60" w:right="80"/>
        <w:spacing w:after="0"/>
        <w:rPr>
          <w:sz w:val="20"/>
          <w:szCs w:val="20"/>
          <w:color w:val="auto"/>
        </w:rPr>
      </w:pPr>
      <w:r>
        <w:rPr>
          <w:rFonts w:ascii="Arial" w:cs="Arial" w:eastAsia="Arial" w:hAnsi="Arial"/>
          <w:sz w:val="15"/>
          <w:szCs w:val="15"/>
          <w:color w:val="auto"/>
        </w:rPr>
        <w:t>The following description of climate risks corresponds to the axis to Identify, Assess and Treat discussed above.</w:t>
      </w:r>
    </w:p>
    <w:p>
      <w:pPr>
        <w:spacing w:after="0" w:line="1" w:lineRule="exact"/>
        <w:rPr>
          <w:sz w:val="20"/>
          <w:szCs w:val="20"/>
          <w:color w:val="auto"/>
        </w:rPr>
      </w:pPr>
    </w:p>
    <w:p>
      <w:pPr>
        <w:jc w:val="both"/>
        <w:ind w:left="60" w:right="80"/>
        <w:spacing w:after="0"/>
        <w:rPr>
          <w:sz w:val="20"/>
          <w:szCs w:val="20"/>
          <w:color w:val="auto"/>
        </w:rPr>
      </w:pPr>
      <w:r>
        <w:rPr>
          <w:rFonts w:ascii="Arial" w:cs="Arial" w:eastAsia="Arial" w:hAnsi="Arial"/>
          <w:sz w:val="15"/>
          <w:szCs w:val="15"/>
          <w:color w:val="auto"/>
        </w:rPr>
        <w:t>BCP’s portfolio is highly diversified but still subject to physical risks generated by extreme climate events (intense rain, landslides, droughts, flooding, Frost). Many of these events are generated or exacerbated by the El Niño phenomenon.</w:t>
      </w:r>
    </w:p>
    <w:p>
      <w:pPr>
        <w:spacing w:after="0" w:line="2" w:lineRule="exact"/>
        <w:rPr>
          <w:sz w:val="20"/>
          <w:szCs w:val="20"/>
          <w:color w:val="auto"/>
        </w:rPr>
      </w:pPr>
    </w:p>
    <w:p>
      <w:pPr>
        <w:jc w:val="both"/>
        <w:ind w:left="60" w:right="80"/>
        <w:spacing w:after="0"/>
        <w:rPr>
          <w:sz w:val="20"/>
          <w:szCs w:val="20"/>
          <w:color w:val="auto"/>
        </w:rPr>
      </w:pPr>
      <w:r>
        <w:rPr>
          <w:rFonts w:ascii="Arial" w:cs="Arial" w:eastAsia="Arial" w:hAnsi="Arial"/>
          <w:sz w:val="15"/>
          <w:szCs w:val="15"/>
          <w:color w:val="auto"/>
        </w:rPr>
        <w:t>The impacts of this risk are identified and measured with historic data and forecasts, which classify impact into three scenarios: low, moderate and strong. The assessment is conducted solely for the years of impact and to assess risks. Preventive measures are taken with clients in high-impact sectors such as Agri-industry and Fishing. Combined, these sectors represent approximately 6% of the wholesale portfolio.</w:t>
      </w:r>
    </w:p>
    <w:p>
      <w:pPr>
        <w:spacing w:after="0" w:line="3" w:lineRule="exact"/>
        <w:rPr>
          <w:sz w:val="20"/>
          <w:szCs w:val="20"/>
          <w:color w:val="auto"/>
        </w:rPr>
      </w:pPr>
    </w:p>
    <w:p>
      <w:pPr>
        <w:jc w:val="both"/>
        <w:ind w:left="60" w:right="80"/>
        <w:spacing w:after="0" w:line="249" w:lineRule="auto"/>
        <w:rPr>
          <w:sz w:val="20"/>
          <w:szCs w:val="20"/>
          <w:color w:val="auto"/>
        </w:rPr>
      </w:pPr>
      <w:r>
        <w:rPr>
          <w:rFonts w:ascii="Arial" w:cs="Arial" w:eastAsia="Arial" w:hAnsi="Arial"/>
          <w:sz w:val="15"/>
          <w:szCs w:val="15"/>
          <w:color w:val="auto"/>
        </w:rPr>
        <w:t>Grupo Pacífico, which issues policies that cover risks associated with the El Niño phenomenon, uses co-insurance and reinsurance to mitigate potential impacts.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Environmental Loan Policy (BCP)</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This policy at BCP applies to clients with approved credit lines for more than USD 10 million in the sectors of Energy, Mining, Fishing and Oil and Gas. These lines are managed by the Credit Division. The objective is to determine and qualify the degree of environmental risk to which the client is exposed. To accomplish this, clients fill out a questionnaire and results are used to determine the category of environmental risk applicable to each. If Medium Risk is found, the client is informed of the main aspects that have been assessed so that it can take necessary action to prevent negative impacts on the environment and head off potential adverse effects on their profitability, credit rating and reputation. If a High-Risk score has been assigned, we work with the client to determine that actions that must be taken or request an assessment by an independent environmental expert, to ensure that the client is conducting due diligence in its management of environmental issues and/or to include specific contractual clauses on environmental aspects.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In 2022, we updated our questionnaires to reflect: identification and prioritization of the main ESG risks; broadening of the scope (incorporating 6 new economic sectors: Agriculture, Construction Materials, Transportation, Textiles, Construction and Real Estate Development); review of weights and weighting. The objective was to develop a scoring system for ESG risks. By the beginning of 2023, we hope that these questionnaires will be used in the regular client credit view process conducted every year.</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312" w:right="31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2927985" cy="3657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2927985" cy="36576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FF66CC"/>
        </w:rPr>
        <w:t>Socio-environmental risk for project financing (BCP)</w:t>
      </w:r>
    </w:p>
    <w:p>
      <w:pPr>
        <w:spacing w:after="0" w:line="191" w:lineRule="exact"/>
        <w:rPr>
          <w:sz w:val="20"/>
          <w:szCs w:val="20"/>
          <w:color w:val="auto"/>
        </w:rPr>
      </w:pPr>
    </w:p>
    <w:p>
      <w:pPr>
        <w:jc w:val="both"/>
        <w:ind w:left="8"/>
        <w:spacing w:after="0"/>
        <w:rPr>
          <w:sz w:val="20"/>
          <w:szCs w:val="20"/>
          <w:color w:val="auto"/>
        </w:rPr>
      </w:pPr>
      <w:r>
        <w:rPr>
          <w:rFonts w:ascii="Arial" w:cs="Arial" w:eastAsia="Arial" w:hAnsi="Arial"/>
          <w:sz w:val="15"/>
          <w:szCs w:val="15"/>
          <w:color w:val="auto"/>
        </w:rPr>
        <w:t>This policy at BCP applies to projects for more than USD 10 million, regardless of sector, and was updated to achieve alignment with Equator Principles IV and the Regulation of the Superintendency of Banking and Insurance of Peru (SBS) to manage Social and Environmental Risk. The project is categorized with the results of a questionnaire that determines the social and environmental risk to which the project is exposed:</w:t>
      </w:r>
    </w:p>
    <w:p>
      <w:pPr>
        <w:spacing w:after="0" w:line="3" w:lineRule="exact"/>
        <w:rPr>
          <w:sz w:val="20"/>
          <w:szCs w:val="20"/>
          <w:color w:val="auto"/>
        </w:rPr>
      </w:pPr>
    </w:p>
    <w:p>
      <w:pPr>
        <w:jc w:val="both"/>
        <w:ind w:left="208" w:right="20" w:hanging="208"/>
        <w:spacing w:after="0" w:line="244" w:lineRule="auto"/>
        <w:tabs>
          <w:tab w:leader="none" w:pos="208" w:val="left"/>
        </w:tabs>
        <w:numPr>
          <w:ilvl w:val="0"/>
          <w:numId w:val="86"/>
        </w:numPr>
        <w:rPr>
          <w:rFonts w:ascii="Arial" w:cs="Arial" w:eastAsia="Arial" w:hAnsi="Arial"/>
          <w:sz w:val="15"/>
          <w:szCs w:val="15"/>
          <w:color w:val="auto"/>
        </w:rPr>
      </w:pPr>
      <w:r>
        <w:rPr>
          <w:rFonts w:ascii="Arial" w:cs="Arial" w:eastAsia="Arial" w:hAnsi="Arial"/>
          <w:sz w:val="15"/>
          <w:szCs w:val="15"/>
          <w:color w:val="auto"/>
        </w:rPr>
        <w:t>When the category of social and environmental risk is medium, we ask the client to hire an independent reviewer to conduct legal due diligence and if applicable, socio-environmental due diligence. With the results obtained, we assess the independent reviewer’s observations to determine if the operation should continue and when necessary, apply covenant contracts to control potential risk.</w:t>
      </w:r>
    </w:p>
    <w:p>
      <w:pPr>
        <w:spacing w:after="0" w:line="192" w:lineRule="exact"/>
        <w:rPr>
          <w:rFonts w:ascii="Arial" w:cs="Arial" w:eastAsia="Arial" w:hAnsi="Arial"/>
          <w:sz w:val="15"/>
          <w:szCs w:val="15"/>
          <w:color w:val="auto"/>
        </w:rPr>
      </w:pPr>
    </w:p>
    <w:p>
      <w:pPr>
        <w:jc w:val="both"/>
        <w:ind w:left="208" w:right="20" w:hanging="208"/>
        <w:spacing w:after="0" w:line="242" w:lineRule="auto"/>
        <w:tabs>
          <w:tab w:leader="none" w:pos="208" w:val="left"/>
        </w:tabs>
        <w:numPr>
          <w:ilvl w:val="0"/>
          <w:numId w:val="86"/>
        </w:numPr>
        <w:rPr>
          <w:rFonts w:ascii="Arial" w:cs="Arial" w:eastAsia="Arial" w:hAnsi="Arial"/>
          <w:sz w:val="15"/>
          <w:szCs w:val="15"/>
          <w:color w:val="auto"/>
        </w:rPr>
      </w:pPr>
      <w:r>
        <w:rPr>
          <w:rFonts w:ascii="Arial" w:cs="Arial" w:eastAsia="Arial" w:hAnsi="Arial"/>
          <w:sz w:val="15"/>
          <w:szCs w:val="15"/>
          <w:color w:val="auto"/>
        </w:rPr>
        <w:t>When risk is High, we request that the client hire the services of two independent reviewers, one technical and the other legal. Both assessments must be conducted in accordance with the guidelines of SBS and Equator Principles. We use these results to assess the observations made by independent reviewers to determine if the operation should continue and when necessary, include clauses in contracts regarding Management plans to mitigate the project’s social and environmental risks and/or apply covenants to ensure compliance. If there are delays in applying the commitments assumed in the Management plan, or said commitments are violated, a Plan of Corrective Measures is included in the client’s contracts. We conduct constant follow-up to ensure that the plan in place is fulfilled.</w:t>
      </w:r>
    </w:p>
    <w:p>
      <w:pPr>
        <w:spacing w:after="0" w:line="335" w:lineRule="exact"/>
        <w:rPr>
          <w:sz w:val="20"/>
          <w:szCs w:val="20"/>
          <w:color w:val="auto"/>
        </w:rPr>
      </w:pPr>
    </w:p>
    <w:p>
      <w:pPr>
        <w:ind w:left="8"/>
        <w:spacing w:after="0"/>
        <w:rPr>
          <w:sz w:val="20"/>
          <w:szCs w:val="20"/>
          <w:color w:val="auto"/>
        </w:rPr>
      </w:pPr>
      <w:r>
        <w:rPr>
          <w:rFonts w:ascii="Arial" w:cs="Arial" w:eastAsia="Arial" w:hAnsi="Arial"/>
          <w:sz w:val="15"/>
          <w:szCs w:val="15"/>
          <w:color w:val="auto"/>
        </w:rPr>
        <w:t>Trends in the sectors with impact in the Peruvian market:</w:t>
      </w:r>
    </w:p>
    <w:p>
      <w:pPr>
        <w:ind w:left="548" w:right="20"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Energy sector: Migration to a more efficient model, driven by clean energies.</w:t>
      </w:r>
    </w:p>
    <w:p>
      <w:pPr>
        <w:ind w:left="548" w:right="20"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Agriculture and Fishing sectors: Inclusion of protection of biodiversity and ecosystems.</w:t>
      </w: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Forestry Sector: Positive contribution with CO2 capture</w:t>
      </w:r>
    </w:p>
    <w:p>
      <w:pPr>
        <w:spacing w:after="0" w:line="173" w:lineRule="exact"/>
        <w:rPr>
          <w:sz w:val="20"/>
          <w:szCs w:val="20"/>
          <w:color w:val="auto"/>
        </w:rPr>
      </w:pPr>
    </w:p>
    <w:p>
      <w:pPr>
        <w:jc w:val="both"/>
        <w:ind w:left="8"/>
        <w:spacing w:after="0" w:line="245" w:lineRule="auto"/>
        <w:rPr>
          <w:sz w:val="20"/>
          <w:szCs w:val="20"/>
          <w:color w:val="auto"/>
        </w:rPr>
      </w:pPr>
      <w:r>
        <w:rPr>
          <w:rFonts w:ascii="Arial" w:cs="Arial" w:eastAsia="Arial" w:hAnsi="Arial"/>
          <w:sz w:val="15"/>
          <w:szCs w:val="15"/>
          <w:color w:val="auto"/>
        </w:rPr>
        <w:t>In 2023, our aspiration is that BCP apply the Environmental Taxonomy that has been developed, which includes Greenhouse Gas Emissions (GhG), Biodiversity, Energy Efficiency, Circularity and Sanitation, to determine the portfolio’s performance in these areas and subsequently measure its carbon footprint.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Direct Environmental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343344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SDG </w:t>
      </w:r>
      <w:r>
        <w:rPr>
          <w:rFonts w:ascii="Arial" w:cs="Arial" w:eastAsia="Arial" w:hAnsi="Arial"/>
          <w:sz w:val="15"/>
          <w:szCs w:val="15"/>
          <w:i w:val="1"/>
          <w:iCs w:val="1"/>
          <w:color w:val="auto"/>
        </w:rPr>
        <w:t>6, 7, 12 and 13</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2-4, 3-3</w:t>
      </w:r>
    </w:p>
    <w:p>
      <w:pPr>
        <w:spacing w:after="0"/>
        <w:rPr>
          <w:sz w:val="20"/>
          <w:szCs w:val="20"/>
          <w:color w:val="auto"/>
        </w:rPr>
      </w:pPr>
      <w:r>
        <w:rPr>
          <w:rFonts w:ascii="Arial" w:cs="Arial" w:eastAsia="Arial" w:hAnsi="Arial"/>
          <w:sz w:val="15"/>
          <w:szCs w:val="15"/>
          <w:b w:val="1"/>
          <w:bCs w:val="1"/>
          <w:color w:val="auto"/>
        </w:rPr>
        <w:t>Pillar 2</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As a financial service holding, our operations do not generate significant direct impacts on the environment. Additionally, our direct environmental impact was not considered material by any of our stakeholder groups in the Materiality Analysis. Nevertheless, in line with our environmental commitment and our ambition to support the transition to a more environmentally sustainable economy, we are working to ensure that all of or subsidiaries are managing natural resources correctly. Direct environmental impact constitutes a key enabler in our operating model and serves to drive environmentally sustainable management at our businesses.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Our working groups have identified three main fronts to address: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160" w:type="dxa"/>
            <w:vAlign w:val="bottom"/>
            <w:tcBorders>
              <w:top w:val="single" w:sz="8" w:color="auto"/>
              <w:left w:val="single" w:sz="8" w:color="auto"/>
              <w:bottom w:val="single" w:sz="8" w:color="8EAADB"/>
              <w:right w:val="single" w:sz="8" w:color="auto"/>
            </w:tcBorders>
          </w:tcPr>
          <w:p>
            <w:pPr>
              <w:ind w:left="980"/>
              <w:spacing w:after="0"/>
              <w:rPr>
                <w:sz w:val="20"/>
                <w:szCs w:val="20"/>
                <w:color w:val="auto"/>
              </w:rPr>
            </w:pPr>
            <w:r>
              <w:rPr>
                <w:rFonts w:ascii="Arial" w:cs="Arial" w:eastAsia="Arial" w:hAnsi="Arial"/>
                <w:sz w:val="15"/>
                <w:szCs w:val="15"/>
                <w:b w:val="1"/>
                <w:bCs w:val="1"/>
                <w:color w:val="auto"/>
              </w:rPr>
              <w:t>Front to address</w:t>
            </w:r>
          </w:p>
        </w:tc>
        <w:tc>
          <w:tcPr>
            <w:tcW w:w="60" w:type="dxa"/>
            <w:vAlign w:val="bottom"/>
            <w:tcBorders>
              <w:top w:val="single" w:sz="8" w:color="auto"/>
              <w:bottom w:val="single" w:sz="8" w:color="8EAADB"/>
            </w:tcBorders>
          </w:tcPr>
          <w:p>
            <w:pPr>
              <w:spacing w:after="0"/>
              <w:rPr>
                <w:sz w:val="16"/>
                <w:szCs w:val="16"/>
                <w:color w:val="auto"/>
              </w:rPr>
            </w:pPr>
          </w:p>
        </w:tc>
        <w:tc>
          <w:tcPr>
            <w:tcW w:w="2200" w:type="dxa"/>
            <w:vAlign w:val="bottom"/>
            <w:tcBorders>
              <w:top w:val="single" w:sz="8" w:color="auto"/>
              <w:bottom w:val="single" w:sz="8" w:color="8EAADB"/>
              <w:right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rPr>
              <w:t>Status at the end of 2022</w:t>
            </w:r>
          </w:p>
        </w:tc>
        <w:tc>
          <w:tcPr>
            <w:tcW w:w="0" w:type="dxa"/>
            <w:vAlign w:val="bottom"/>
          </w:tcPr>
          <w:p>
            <w:pPr>
              <w:spacing w:after="0"/>
              <w:rPr>
                <w:sz w:val="1"/>
                <w:szCs w:val="1"/>
                <w:color w:val="auto"/>
              </w:rPr>
            </w:pPr>
          </w:p>
        </w:tc>
      </w:tr>
      <w:tr>
        <w:trPr>
          <w:trHeight w:val="150"/>
        </w:trPr>
        <w:tc>
          <w:tcPr>
            <w:tcW w:w="3160" w:type="dxa"/>
            <w:vAlign w:val="bottom"/>
            <w:tcBorders>
              <w:left w:val="single" w:sz="8" w:color="auto"/>
              <w:right w:val="single" w:sz="8" w:color="auto"/>
            </w:tcBorders>
          </w:tcPr>
          <w:p>
            <w:pPr>
              <w:ind w:left="100"/>
              <w:spacing w:after="0" w:line="150" w:lineRule="exact"/>
              <w:rPr>
                <w:sz w:val="20"/>
                <w:szCs w:val="20"/>
                <w:color w:val="auto"/>
              </w:rPr>
            </w:pPr>
            <w:r>
              <w:rPr>
                <w:rFonts w:ascii="Arial" w:cs="Arial" w:eastAsia="Arial" w:hAnsi="Arial"/>
                <w:sz w:val="15"/>
                <w:szCs w:val="15"/>
                <w:b w:val="1"/>
                <w:bCs w:val="1"/>
                <w:color w:val="auto"/>
              </w:rPr>
              <w:t>Have a policy to ensure on-going</w:t>
            </w:r>
          </w:p>
        </w:tc>
        <w:tc>
          <w:tcPr>
            <w:tcW w:w="2260" w:type="dxa"/>
            <w:vAlign w:val="bottom"/>
            <w:tcBorders>
              <w:right w:val="single" w:sz="8" w:color="auto"/>
            </w:tcBorders>
            <w:gridSpan w:val="5"/>
          </w:tcPr>
          <w:p>
            <w:pPr>
              <w:ind w:left="60"/>
              <w:spacing w:after="0" w:line="150" w:lineRule="exact"/>
              <w:rPr>
                <w:sz w:val="20"/>
                <w:szCs w:val="20"/>
                <w:color w:val="auto"/>
              </w:rPr>
            </w:pPr>
            <w:r>
              <w:rPr>
                <w:rFonts w:ascii="Arial" w:cs="Arial" w:eastAsia="Arial" w:hAnsi="Arial"/>
                <w:sz w:val="15"/>
                <w:szCs w:val="15"/>
                <w:color w:val="auto"/>
              </w:rPr>
              <w:t xml:space="preserve">We have a policy: </w:t>
            </w:r>
            <w:r>
              <w:rPr>
                <w:rFonts w:ascii="Arial" w:cs="Arial" w:eastAsia="Arial" w:hAnsi="Arial"/>
                <w:sz w:val="15"/>
                <w:szCs w:val="15"/>
                <w:color w:val="0563C9"/>
              </w:rPr>
              <w:t>Credicorp’s</w:t>
            </w:r>
          </w:p>
        </w:tc>
        <w:tc>
          <w:tcPr>
            <w:tcW w:w="0" w:type="dxa"/>
            <w:vAlign w:val="bottom"/>
          </w:tcPr>
          <w:p>
            <w:pPr>
              <w:spacing w:after="0"/>
              <w:rPr>
                <w:sz w:val="1"/>
                <w:szCs w:val="1"/>
                <w:color w:val="auto"/>
              </w:rPr>
            </w:pPr>
          </w:p>
        </w:tc>
      </w:tr>
      <w:tr>
        <w:trPr>
          <w:trHeight w:val="20"/>
        </w:trPr>
        <w:tc>
          <w:tcPr>
            <w:tcW w:w="31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improvement in environmental</w:t>
            </w: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563C9"/>
          </w:tcPr>
          <w:p>
            <w:pPr>
              <w:spacing w:after="0" w:line="20" w:lineRule="exact"/>
              <w:rPr>
                <w:sz w:val="1"/>
                <w:szCs w:val="1"/>
                <w:color w:val="auto"/>
              </w:rPr>
            </w:pPr>
          </w:p>
        </w:tc>
        <w:tc>
          <w:tcPr>
            <w:tcW w:w="600" w:type="dxa"/>
            <w:vAlign w:val="bottom"/>
            <w:shd w:val="clear" w:color="auto" w:fill="0563C9"/>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1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gridSpan w:val="5"/>
          </w:tcPr>
          <w:p>
            <w:pPr>
              <w:ind w:left="60"/>
              <w:spacing w:after="0" w:line="153" w:lineRule="exact"/>
              <w:rPr>
                <w:sz w:val="20"/>
                <w:szCs w:val="20"/>
                <w:color w:val="auto"/>
              </w:rPr>
            </w:pPr>
            <w:r>
              <w:rPr>
                <w:rFonts w:ascii="Arial" w:cs="Arial" w:eastAsia="Arial" w:hAnsi="Arial"/>
                <w:sz w:val="15"/>
                <w:szCs w:val="15"/>
                <w:color w:val="0563C9"/>
              </w:rPr>
              <w:t>Environmental Policy</w:t>
            </w:r>
          </w:p>
        </w:tc>
        <w:tc>
          <w:tcPr>
            <w:tcW w:w="0" w:type="dxa"/>
            <w:vAlign w:val="bottom"/>
          </w:tcPr>
          <w:p>
            <w:pPr>
              <w:spacing w:after="0"/>
              <w:rPr>
                <w:sz w:val="1"/>
                <w:szCs w:val="1"/>
                <w:color w:val="auto"/>
              </w:rPr>
            </w:pPr>
          </w:p>
        </w:tc>
      </w:tr>
      <w:tr>
        <w:trPr>
          <w:trHeight w:val="157"/>
        </w:trPr>
        <w:tc>
          <w:tcPr>
            <w:tcW w:w="3160" w:type="dxa"/>
            <w:vAlign w:val="bottom"/>
            <w:tcBorders>
              <w:left w:val="single" w:sz="8" w:color="auto"/>
              <w:right w:val="single" w:sz="8" w:color="auto"/>
            </w:tcBorders>
          </w:tcPr>
          <w:p>
            <w:pPr>
              <w:ind w:left="100"/>
              <w:spacing w:after="0" w:line="157" w:lineRule="exact"/>
              <w:rPr>
                <w:sz w:val="20"/>
                <w:szCs w:val="20"/>
                <w:color w:val="auto"/>
              </w:rPr>
            </w:pPr>
            <w:r>
              <w:rPr>
                <w:rFonts w:ascii="Arial" w:cs="Arial" w:eastAsia="Arial" w:hAnsi="Arial"/>
                <w:sz w:val="15"/>
                <w:szCs w:val="15"/>
                <w:b w:val="1"/>
                <w:bCs w:val="1"/>
                <w:color w:val="auto"/>
              </w:rPr>
              <w:t>performance and direct and indirect</w:t>
            </w:r>
          </w:p>
        </w:tc>
        <w:tc>
          <w:tcPr>
            <w:tcW w:w="60" w:type="dxa"/>
            <w:vAlign w:val="bottom"/>
          </w:tcPr>
          <w:p>
            <w:pPr>
              <w:spacing w:after="0"/>
              <w:rPr>
                <w:sz w:val="13"/>
                <w:szCs w:val="13"/>
                <w:color w:val="auto"/>
              </w:rPr>
            </w:pPr>
          </w:p>
        </w:tc>
        <w:tc>
          <w:tcPr>
            <w:tcW w:w="1260" w:type="dxa"/>
            <w:vAlign w:val="bottom"/>
            <w:tcBorders>
              <w:top w:val="single" w:sz="8" w:color="0563C9"/>
            </w:tcBorders>
          </w:tcPr>
          <w:p>
            <w:pPr>
              <w:spacing w:after="0"/>
              <w:rPr>
                <w:sz w:val="13"/>
                <w:szCs w:val="13"/>
                <w:color w:val="auto"/>
              </w:rPr>
            </w:pPr>
          </w:p>
        </w:tc>
        <w:tc>
          <w:tcPr>
            <w:tcW w:w="180" w:type="dxa"/>
            <w:vAlign w:val="bottom"/>
            <w:tcBorders>
              <w:top w:val="single" w:sz="8" w:color="0563C9"/>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management of impacts at our</w:t>
            </w: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operations.</w:t>
            </w: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1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5"/>
                <w:szCs w:val="15"/>
                <w:b w:val="1"/>
                <w:bCs w:val="1"/>
                <w:color w:val="auto"/>
              </w:rPr>
              <w:t>Standardize the way that Credicorp’s</w:t>
            </w:r>
          </w:p>
        </w:tc>
        <w:tc>
          <w:tcPr>
            <w:tcW w:w="2260" w:type="dxa"/>
            <w:vAlign w:val="bottom"/>
            <w:tcBorders>
              <w:right w:val="single" w:sz="8" w:color="auto"/>
            </w:tcBorders>
            <w:gridSpan w:val="5"/>
          </w:tcPr>
          <w:p>
            <w:pPr>
              <w:ind w:left="60"/>
              <w:spacing w:after="0" w:line="146" w:lineRule="exact"/>
              <w:rPr>
                <w:sz w:val="20"/>
                <w:szCs w:val="20"/>
                <w:color w:val="auto"/>
              </w:rPr>
            </w:pPr>
            <w:r>
              <w:rPr>
                <w:rFonts w:ascii="Arial" w:cs="Arial" w:eastAsia="Arial" w:hAnsi="Arial"/>
                <w:sz w:val="15"/>
                <w:szCs w:val="15"/>
                <w:color w:val="auto"/>
              </w:rPr>
              <w:t>As part of the Enabler of</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subsidiaries measure, reduce and offset</w:t>
            </w: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Environmental Impact, the</w:t>
            </w:r>
          </w:p>
        </w:tc>
        <w:tc>
          <w:tcPr>
            <w:tcW w:w="0" w:type="dxa"/>
            <w:vAlign w:val="bottom"/>
          </w:tcPr>
          <w:p>
            <w:pPr>
              <w:spacing w:after="0"/>
              <w:rPr>
                <w:sz w:val="1"/>
                <w:szCs w:val="1"/>
                <w:color w:val="auto"/>
              </w:rPr>
            </w:pPr>
          </w:p>
        </w:tc>
      </w:tr>
      <w:tr>
        <w:trPr>
          <w:trHeight w:val="191"/>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greenhouse gas emissions.</w:t>
            </w: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subsidiaries have coordinated</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the scope and methodology to</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be used to measure</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greenhouse gases and to</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share knowledge when</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establishing Environmental</w:t>
            </w:r>
          </w:p>
        </w:tc>
        <w:tc>
          <w:tcPr>
            <w:tcW w:w="0" w:type="dxa"/>
            <w:vAlign w:val="bottom"/>
          </w:tcPr>
          <w:p>
            <w:pPr>
              <w:spacing w:after="0"/>
              <w:rPr>
                <w:sz w:val="1"/>
                <w:szCs w:val="1"/>
                <w:color w:val="auto"/>
              </w:rPr>
            </w:pPr>
          </w:p>
        </w:tc>
      </w:tr>
      <w:tr>
        <w:trPr>
          <w:trHeight w:val="174"/>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5"/>
                <w:szCs w:val="15"/>
                <w:color w:val="auto"/>
              </w:rPr>
              <w:t>Management Plans.</w:t>
            </w:r>
          </w:p>
        </w:tc>
        <w:tc>
          <w:tcPr>
            <w:tcW w:w="0" w:type="dxa"/>
            <w:vAlign w:val="bottom"/>
          </w:tcPr>
          <w:p>
            <w:pPr>
              <w:spacing w:after="0"/>
              <w:rPr>
                <w:sz w:val="1"/>
                <w:szCs w:val="1"/>
                <w:color w:val="auto"/>
              </w:rPr>
            </w:pPr>
          </w:p>
        </w:tc>
      </w:tr>
      <w:tr>
        <w:trPr>
          <w:trHeight w:val="146"/>
        </w:trPr>
        <w:tc>
          <w:tcPr>
            <w:tcW w:w="31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5"/>
                <w:szCs w:val="15"/>
                <w:b w:val="1"/>
                <w:bCs w:val="1"/>
                <w:color w:val="auto"/>
              </w:rPr>
              <w:t>Establish corporate guidelines so that</w:t>
            </w:r>
          </w:p>
        </w:tc>
        <w:tc>
          <w:tcPr>
            <w:tcW w:w="2260" w:type="dxa"/>
            <w:vAlign w:val="bottom"/>
            <w:tcBorders>
              <w:right w:val="single" w:sz="8" w:color="auto"/>
            </w:tcBorders>
            <w:gridSpan w:val="5"/>
          </w:tcPr>
          <w:p>
            <w:pPr>
              <w:ind w:left="60"/>
              <w:spacing w:after="0" w:line="146" w:lineRule="exact"/>
              <w:rPr>
                <w:sz w:val="20"/>
                <w:szCs w:val="20"/>
                <w:color w:val="auto"/>
              </w:rPr>
            </w:pPr>
            <w:r>
              <w:rPr>
                <w:rFonts w:ascii="Arial" w:cs="Arial" w:eastAsia="Arial" w:hAnsi="Arial"/>
                <w:sz w:val="15"/>
                <w:szCs w:val="15"/>
                <w:color w:val="auto"/>
              </w:rPr>
              <w:t>Environmental Management</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each subsidiary can develop an</w:t>
            </w: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Plans have been developed</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Environmental Management Plan (EMP)</w:t>
            </w: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with all of the subsidiaries to</w:t>
            </w:r>
          </w:p>
        </w:tc>
        <w:tc>
          <w:tcPr>
            <w:tcW w:w="0" w:type="dxa"/>
            <w:vAlign w:val="bottom"/>
          </w:tcPr>
          <w:p>
            <w:pPr>
              <w:spacing w:after="0"/>
              <w:rPr>
                <w:sz w:val="1"/>
                <w:szCs w:val="1"/>
                <w:color w:val="auto"/>
              </w:rPr>
            </w:pPr>
          </w:p>
        </w:tc>
      </w:tr>
      <w:tr>
        <w:trPr>
          <w:trHeight w:val="191"/>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that responds to specific needs.</w:t>
            </w: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identify and implement</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measures to reduce carbon</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emissions. These efforts were</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aligned with the contents of</w:t>
            </w:r>
          </w:p>
        </w:tc>
        <w:tc>
          <w:tcPr>
            <w:tcW w:w="0" w:type="dxa"/>
            <w:vAlign w:val="bottom"/>
          </w:tcPr>
          <w:p>
            <w:pPr>
              <w:spacing w:after="0"/>
              <w:rPr>
                <w:sz w:val="1"/>
                <w:szCs w:val="1"/>
                <w:color w:val="auto"/>
              </w:rPr>
            </w:pPr>
          </w:p>
        </w:tc>
      </w:tr>
      <w:tr>
        <w:trPr>
          <w:trHeight w:val="173"/>
        </w:trPr>
        <w:tc>
          <w:tcPr>
            <w:tcW w:w="316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5"/>
          </w:tcPr>
          <w:p>
            <w:pPr>
              <w:ind w:left="60"/>
              <w:spacing w:after="0"/>
              <w:rPr>
                <w:sz w:val="20"/>
                <w:szCs w:val="20"/>
                <w:color w:val="auto"/>
              </w:rPr>
            </w:pPr>
            <w:r>
              <w:rPr>
                <w:rFonts w:ascii="Arial" w:cs="Arial" w:eastAsia="Arial" w:hAnsi="Arial"/>
                <w:sz w:val="15"/>
                <w:szCs w:val="15"/>
                <w:color w:val="auto"/>
              </w:rPr>
              <w:t>Credicorp’s Environmental</w:t>
            </w:r>
          </w:p>
        </w:tc>
        <w:tc>
          <w:tcPr>
            <w:tcW w:w="0" w:type="dxa"/>
            <w:vAlign w:val="bottom"/>
          </w:tcPr>
          <w:p>
            <w:pPr>
              <w:spacing w:after="0"/>
              <w:rPr>
                <w:sz w:val="1"/>
                <w:szCs w:val="1"/>
                <w:color w:val="auto"/>
              </w:rPr>
            </w:pPr>
          </w:p>
        </w:tc>
      </w:tr>
      <w:tr>
        <w:trPr>
          <w:trHeight w:val="174"/>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5"/>
                <w:szCs w:val="15"/>
                <w:color w:val="auto"/>
              </w:rPr>
              <w:t>Policy.</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At Credicorp, we have set an objective to reduce our net greenhouse gas emissions (GHG) by 10% a year at all of our subsidiaries, using 2022 as the base year. Our ultimate goal is to be carbon neutral at all of our operations in 2023.</w:t>
      </w:r>
    </w:p>
    <w:p>
      <w:pPr>
        <w:spacing w:after="0" w:line="332"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For this purpose, we have revised the scope of our GHG measurement to cover all of our subsidiaries’ operations and locations. This change meant that historic series were not comparable. Accordingly, 2022 was set as the new base year for the aforementioned measurement and for all of the environmental indicators covered in this section.</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105" w:right="319" w:bottom="1440" w:gutter="0" w:footer="0" w:header="0"/>
        </w:sectPr>
      </w:pPr>
    </w:p>
    <w:bookmarkStart w:id="134" w:name="page135"/>
    <w:bookmarkEnd w:id="134"/>
    <w:p>
      <w:pPr>
        <w:jc w:val="center"/>
        <w:ind w:left="8" w:right="100"/>
        <w:spacing w:after="0" w:line="282" w:lineRule="auto"/>
        <w:rPr>
          <w:sz w:val="20"/>
          <w:szCs w:val="20"/>
          <w:color w:val="auto"/>
        </w:rPr>
      </w:pPr>
      <w:r>
        <w:rPr>
          <w:rFonts w:ascii="Arial" w:cs="Arial" w:eastAsia="Arial" w:hAnsi="Arial"/>
          <w:sz w:val="15"/>
          <w:szCs w:val="15"/>
          <w:b w:val="1"/>
          <w:bCs w:val="1"/>
          <w:i w:val="1"/>
          <w:iCs w:val="1"/>
          <w:color w:val="3B72E1"/>
        </w:rPr>
        <w:t>CARBON NEUTRALITY COMMITMENT FOR OUR DIRECT OPERATIONS BY 2032</w:t>
      </w:r>
    </w:p>
    <w:p>
      <w:pPr>
        <w:spacing w:after="0" w:line="131"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In 2022, the roundtable has continued focusing on integrating the experiences and best practices of each of our subsidiaries, as well as the lessons learned, within the design and subsequent implementation of their environmental management plans (EMP). The subsidiaries’ plans of action, which are set in their EMP 2022, have focused on making material purchases; identifying the upgrade of equipment that requires economic investment; monitoring actions; measuring the efficacy of the practices implemented; and actions to create awareness and conduct training. The following initiatives have been identified in the ambits of energy, transportation and waste.</w:t>
      </w:r>
    </w:p>
    <w:p>
      <w:pPr>
        <w:spacing w:after="0" w:line="164" w:lineRule="exact"/>
        <w:rPr>
          <w:sz w:val="20"/>
          <w:szCs w:val="20"/>
          <w:color w:val="auto"/>
        </w:rPr>
      </w:pPr>
    </w:p>
    <w:p>
      <w:pPr>
        <w:ind w:left="828" w:hanging="274"/>
        <w:spacing w:after="0"/>
        <w:tabs>
          <w:tab w:leader="none" w:pos="828"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Installation of solar panels</w:t>
      </w:r>
    </w:p>
    <w:p>
      <w:pPr>
        <w:ind w:left="828" w:hanging="274"/>
        <w:spacing w:after="0"/>
        <w:tabs>
          <w:tab w:leader="none" w:pos="828" w:val="left"/>
        </w:tabs>
        <w:numPr>
          <w:ilvl w:val="0"/>
          <w:numId w:val="88"/>
        </w:numPr>
        <w:rPr>
          <w:rFonts w:ascii="Arial" w:cs="Arial" w:eastAsia="Arial" w:hAnsi="Arial"/>
          <w:sz w:val="15"/>
          <w:szCs w:val="15"/>
          <w:color w:val="auto"/>
        </w:rPr>
      </w:pPr>
      <w:r>
        <w:rPr>
          <w:rFonts w:ascii="Arial" w:cs="Arial" w:eastAsia="Arial" w:hAnsi="Arial"/>
          <w:sz w:val="15"/>
          <w:szCs w:val="15"/>
          <w:color w:val="auto"/>
        </w:rPr>
        <w:t>Energy efficiency, air conditioning and lighting</w:t>
      </w:r>
    </w:p>
    <w:p>
      <w:pPr>
        <w:ind w:left="828" w:hanging="274"/>
        <w:spacing w:after="0"/>
        <w:tabs>
          <w:tab w:leader="none" w:pos="828" w:val="left"/>
        </w:tabs>
        <w:numPr>
          <w:ilvl w:val="0"/>
          <w:numId w:val="88"/>
        </w:numPr>
        <w:rPr>
          <w:rFonts w:ascii="Arial" w:cs="Arial" w:eastAsia="Arial" w:hAnsi="Arial"/>
          <w:sz w:val="15"/>
          <w:szCs w:val="15"/>
          <w:color w:val="auto"/>
        </w:rPr>
      </w:pPr>
      <w:r>
        <w:rPr>
          <w:rFonts w:ascii="Arial" w:cs="Arial" w:eastAsia="Arial" w:hAnsi="Arial"/>
          <w:sz w:val="15"/>
          <w:szCs w:val="15"/>
          <w:color w:val="auto"/>
        </w:rPr>
        <w:t>Hybrid work modality</w:t>
      </w:r>
    </w:p>
    <w:p>
      <w:pPr>
        <w:ind w:left="828" w:hanging="274"/>
        <w:spacing w:after="0"/>
        <w:tabs>
          <w:tab w:leader="none" w:pos="828"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Incentive to share rids</w:t>
      </w:r>
    </w:p>
    <w:p>
      <w:pPr>
        <w:ind w:left="828" w:hanging="274"/>
        <w:spacing w:after="0"/>
        <w:tabs>
          <w:tab w:leader="none" w:pos="828"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Recycling plans</w:t>
      </w:r>
    </w:p>
    <w:p>
      <w:pPr>
        <w:ind w:left="828" w:hanging="274"/>
        <w:spacing w:after="0"/>
        <w:tabs>
          <w:tab w:leader="none" w:pos="828" w:val="left"/>
        </w:tabs>
        <w:numPr>
          <w:ilvl w:val="0"/>
          <w:numId w:val="88"/>
        </w:numPr>
        <w:rPr>
          <w:rFonts w:ascii="Arial" w:cs="Arial" w:eastAsia="Arial" w:hAnsi="Arial"/>
          <w:sz w:val="15"/>
          <w:szCs w:val="15"/>
          <w:color w:val="auto"/>
        </w:rPr>
      </w:pPr>
      <w:r>
        <w:rPr>
          <w:rFonts w:ascii="Arial" w:cs="Arial" w:eastAsia="Arial" w:hAnsi="Arial"/>
          <w:sz w:val="15"/>
          <w:szCs w:val="15"/>
          <w:color w:val="auto"/>
        </w:rPr>
        <w:t>Policies to reduce paper consumption</w:t>
      </w:r>
    </w:p>
    <w:p>
      <w:pPr>
        <w:spacing w:after="0" w:line="173" w:lineRule="exact"/>
        <w:rPr>
          <w:sz w:val="20"/>
          <w:szCs w:val="20"/>
          <w:color w:val="auto"/>
        </w:rPr>
      </w:pPr>
    </w:p>
    <w:p>
      <w:pPr>
        <w:jc w:val="both"/>
        <w:ind w:left="8"/>
        <w:spacing w:after="0" w:line="243" w:lineRule="auto"/>
        <w:rPr>
          <w:sz w:val="20"/>
          <w:szCs w:val="20"/>
          <w:color w:val="auto"/>
        </w:rPr>
      </w:pPr>
      <w:r>
        <w:rPr>
          <w:rFonts w:ascii="Arial" w:cs="Arial" w:eastAsia="Arial" w:hAnsi="Arial"/>
          <w:sz w:val="15"/>
          <w:szCs w:val="15"/>
          <w:color w:val="auto"/>
        </w:rPr>
        <w:t xml:space="preserve">Employees must be involved in the launch and roll out of these plans. Among our subsidiaries, </w:t>
      </w:r>
      <w:r>
        <w:rPr>
          <w:rFonts w:ascii="Arial" w:cs="Arial" w:eastAsia="Arial" w:hAnsi="Arial"/>
          <w:sz w:val="15"/>
          <w:szCs w:val="15"/>
          <w:b w:val="1"/>
          <w:bCs w:val="1"/>
          <w:color w:val="auto"/>
        </w:rPr>
        <w:t>PRIMA AFP</w:t>
      </w:r>
      <w:r>
        <w:rPr>
          <w:rFonts w:ascii="Arial" w:cs="Arial" w:eastAsia="Arial" w:hAnsi="Arial"/>
          <w:sz w:val="15"/>
          <w:szCs w:val="15"/>
          <w:color w:val="auto"/>
        </w:rPr>
        <w:t xml:space="preserve"> has been a forerunner in emphasizing employee participation from the get-go through campaigns to create awareness; educate workers about the Sustainability Strategy; and set the stage for effective action. Along these lines, PRIMA has held contests to promote sustainable mobility and offered workshops to create buy-in to ensure responsible electric energy consumption and effective recycling. These efforts also educate workers about measuring, reducing and neutralizing the carbon footprint.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28"/>
          <w:szCs w:val="28"/>
          <w:b w:val="1"/>
          <w:bCs w:val="1"/>
          <w:color w:val="auto"/>
        </w:rPr>
        <w:t>Greenhouse Gas Emissions (GHG)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343344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305-1, 305-2, 305-3, 305-5</w:t>
      </w:r>
    </w:p>
    <w:p>
      <w:pPr>
        <w:spacing w:after="0" w:line="183"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The annual measurement of our carbon emissions is key to ensuring operating ecoefficiency and is used as a basis for debate and proposal of objectives and goals to ensure the effective management of our operations’ carbon footprint.</w:t>
      </w:r>
    </w:p>
    <w:p>
      <w:pPr>
        <w:spacing w:after="0" w:line="155" w:lineRule="exact"/>
        <w:rPr>
          <w:sz w:val="20"/>
          <w:szCs w:val="20"/>
          <w:color w:val="auto"/>
        </w:rPr>
      </w:pPr>
    </w:p>
    <w:p>
      <w:pPr>
        <w:jc w:val="both"/>
        <w:ind w:left="8"/>
        <w:spacing w:after="0" w:line="247" w:lineRule="auto"/>
        <w:rPr>
          <w:sz w:val="20"/>
          <w:szCs w:val="20"/>
          <w:color w:val="auto"/>
        </w:rPr>
      </w:pPr>
      <w:r>
        <w:rPr>
          <w:rFonts w:ascii="Arial" w:cs="Arial" w:eastAsia="Arial" w:hAnsi="Arial"/>
          <w:sz w:val="15"/>
          <w:szCs w:val="15"/>
          <w:color w:val="auto"/>
        </w:rPr>
        <w:t xml:space="preserve">To measure our carbon footprint, we apply GHG Protocol developed by the World Resources Institute (WRI) and the World Business Council for Sustainable Development </w:t>
      </w:r>
      <w:r>
        <w:rPr>
          <w:rFonts w:ascii="Arial" w:cs="Arial" w:eastAsia="Arial" w:hAnsi="Arial"/>
          <w:sz w:val="15"/>
          <w:szCs w:val="15"/>
          <w:i w:val="1"/>
          <w:iCs w:val="1"/>
          <w:color w:val="auto"/>
        </w:rPr>
        <w:t>(WBCSD</w:t>
      </w:r>
      <w:r>
        <w:rPr>
          <w:rFonts w:ascii="Arial" w:cs="Arial" w:eastAsia="Arial" w:hAnsi="Arial"/>
          <w:sz w:val="15"/>
          <w:szCs w:val="15"/>
          <w:color w:val="auto"/>
        </w:rPr>
        <w:t>) as well as International Standard ISO 14064-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8834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8" w:hanging="8"/>
        <w:spacing w:after="0"/>
        <w:tabs>
          <w:tab w:leader="none" w:pos="209" w:val="left"/>
        </w:tabs>
        <w:numPr>
          <w:ilvl w:val="0"/>
          <w:numId w:val="89"/>
        </w:numPr>
        <w:rPr>
          <w:rFonts w:ascii="Arial" w:cs="Arial" w:eastAsia="Arial" w:hAnsi="Arial"/>
          <w:sz w:val="26"/>
          <w:szCs w:val="26"/>
          <w:color w:val="auto"/>
          <w:vertAlign w:val="superscript"/>
        </w:rPr>
      </w:pPr>
      <w:r>
        <w:rPr>
          <w:rFonts w:ascii="Arial" w:cs="Arial" w:eastAsia="Arial" w:hAnsi="Arial"/>
          <w:sz w:val="15"/>
          <w:szCs w:val="15"/>
          <w:color w:val="auto"/>
        </w:rPr>
        <w:t>In 2022, BCP Bolivia and Mibanco Colombia were integrated, as well as 100% of the operations of Pacífico Seguros, which carried out a partial measurement. Issues from operations in the US were incorporated into Credicorp Capital.</w:t>
      </w:r>
    </w:p>
    <w:p>
      <w:pPr>
        <w:spacing w:after="0" w:line="20" w:lineRule="exact"/>
        <w:rPr>
          <w:sz w:val="20"/>
          <w:szCs w:val="20"/>
          <w:color w:val="auto"/>
        </w:rPr>
      </w:pPr>
      <w:r>
        <w:rPr>
          <w:sz w:val="20"/>
          <w:szCs w:val="20"/>
          <w:color w:val="auto"/>
        </w:rPr>
        <w:br w:type="column"/>
      </w:r>
    </w:p>
    <w:p>
      <w:pPr>
        <w:jc w:val="both"/>
        <w:ind w:firstLine="9"/>
        <w:spacing w:after="0" w:line="248" w:lineRule="auto"/>
        <w:tabs>
          <w:tab w:leader="none" w:pos="145" w:val="left"/>
        </w:tabs>
        <w:numPr>
          <w:ilvl w:val="0"/>
          <w:numId w:val="90"/>
        </w:numPr>
        <w:rPr>
          <w:rFonts w:ascii="Arial" w:cs="Arial" w:eastAsia="Arial" w:hAnsi="Arial"/>
          <w:sz w:val="15"/>
          <w:szCs w:val="15"/>
          <w:color w:val="auto"/>
        </w:rPr>
      </w:pPr>
      <w:r>
        <w:rPr>
          <w:rFonts w:ascii="Arial" w:cs="Arial" w:eastAsia="Arial" w:hAnsi="Arial"/>
          <w:sz w:val="15"/>
          <w:szCs w:val="15"/>
          <w:color w:val="auto"/>
        </w:rPr>
        <w:t>2018. Our final result reflects the total of the GHG inventory at each of our subsidiaries, which are also audited by an independent third party to guarantee reliability.</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According to the methodologies mentioned, the calculation of the carbon footprint includes measuring the sources of emissions that are consolidated within through scopes of GHG emissions:</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06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Scope 1</w:t>
            </w:r>
          </w:p>
        </w:tc>
        <w:tc>
          <w:tcPr>
            <w:tcW w:w="178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Scope 2</w:t>
            </w:r>
          </w:p>
        </w:tc>
        <w:tc>
          <w:tcPr>
            <w:tcW w:w="258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Scope 3 (Operational)</w:t>
            </w:r>
          </w:p>
        </w:tc>
        <w:tc>
          <w:tcPr>
            <w:tcW w:w="0" w:type="dxa"/>
            <w:vAlign w:val="bottom"/>
          </w:tcPr>
          <w:p>
            <w:pPr>
              <w:spacing w:after="0"/>
              <w:rPr>
                <w:sz w:val="1"/>
                <w:szCs w:val="1"/>
                <w:color w:val="auto"/>
              </w:rPr>
            </w:pPr>
          </w:p>
        </w:tc>
      </w:tr>
      <w:tr>
        <w:trPr>
          <w:trHeight w:val="164"/>
        </w:trPr>
        <w:tc>
          <w:tcPr>
            <w:tcW w:w="106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Direct</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Indirect emissions of</w:t>
            </w:r>
          </w:p>
        </w:tc>
        <w:tc>
          <w:tcPr>
            <w:tcW w:w="25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Other indirect emissions generated</w:t>
            </w:r>
          </w:p>
        </w:tc>
        <w:tc>
          <w:tcPr>
            <w:tcW w:w="0" w:type="dxa"/>
            <w:vAlign w:val="bottom"/>
          </w:tcPr>
          <w:p>
            <w:pPr>
              <w:spacing w:after="0"/>
              <w:rPr>
                <w:sz w:val="1"/>
                <w:szCs w:val="1"/>
                <w:color w:val="auto"/>
              </w:rPr>
            </w:pPr>
          </w:p>
        </w:tc>
      </w:tr>
      <w:tr>
        <w:trPr>
          <w:trHeight w:val="8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Emissions</w:t>
            </w:r>
          </w:p>
        </w:tc>
        <w:tc>
          <w:tcPr>
            <w:tcW w:w="17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by operations (different from those</w:t>
            </w:r>
          </w:p>
        </w:tc>
        <w:tc>
          <w:tcPr>
            <w:tcW w:w="0" w:type="dxa"/>
            <w:vAlign w:val="bottom"/>
          </w:tcPr>
          <w:p>
            <w:pPr>
              <w:spacing w:after="0"/>
              <w:rPr>
                <w:sz w:val="1"/>
                <w:szCs w:val="1"/>
                <w:color w:val="auto"/>
              </w:rPr>
            </w:pPr>
          </w:p>
        </w:tc>
      </w:tr>
      <w:tr>
        <w:trPr>
          <w:trHeight w:val="92"/>
        </w:trPr>
        <w:tc>
          <w:tcPr>
            <w:tcW w:w="1060" w:type="dxa"/>
            <w:vAlign w:val="bottom"/>
            <w:tcBorders>
              <w:left w:val="single" w:sz="8" w:color="auto"/>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Energy consider</w:t>
            </w: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Cover</w:t>
            </w:r>
          </w:p>
        </w:tc>
        <w:tc>
          <w:tcPr>
            <w:tcW w:w="17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associated with electricity</w:t>
            </w:r>
          </w:p>
        </w:tc>
        <w:tc>
          <w:tcPr>
            <w:tcW w:w="0" w:type="dxa"/>
            <w:vAlign w:val="bottom"/>
          </w:tcPr>
          <w:p>
            <w:pPr>
              <w:spacing w:after="0"/>
              <w:rPr>
                <w:sz w:val="1"/>
                <w:szCs w:val="1"/>
                <w:color w:val="auto"/>
              </w:rPr>
            </w:pPr>
          </w:p>
        </w:tc>
      </w:tr>
      <w:tr>
        <w:trPr>
          <w:trHeight w:val="92"/>
        </w:trPr>
        <w:tc>
          <w:tcPr>
            <w:tcW w:w="1060" w:type="dxa"/>
            <w:vAlign w:val="bottom"/>
            <w:tcBorders>
              <w:left w:val="single" w:sz="8" w:color="auto"/>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emissions generated</w:t>
            </w: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emissions</w:t>
            </w:r>
          </w:p>
        </w:tc>
        <w:tc>
          <w:tcPr>
            <w:tcW w:w="17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provision).</w:t>
            </w:r>
          </w:p>
        </w:tc>
        <w:tc>
          <w:tcPr>
            <w:tcW w:w="0" w:type="dxa"/>
            <w:vAlign w:val="bottom"/>
          </w:tcPr>
          <w:p>
            <w:pPr>
              <w:spacing w:after="0"/>
              <w:rPr>
                <w:sz w:val="1"/>
                <w:szCs w:val="1"/>
                <w:color w:val="auto"/>
              </w:rPr>
            </w:pPr>
          </w:p>
        </w:tc>
      </w:tr>
      <w:tr>
        <w:trPr>
          <w:trHeight w:val="92"/>
        </w:trPr>
        <w:tc>
          <w:tcPr>
            <w:tcW w:w="1060" w:type="dxa"/>
            <w:vAlign w:val="bottom"/>
            <w:tcBorders>
              <w:left w:val="single" w:sz="8" w:color="auto"/>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by electricity that is</w:t>
            </w: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generated</w:t>
            </w:r>
          </w:p>
        </w:tc>
        <w:tc>
          <w:tcPr>
            <w:tcW w:w="17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This does not include emissions</w:t>
            </w:r>
          </w:p>
        </w:tc>
        <w:tc>
          <w:tcPr>
            <w:tcW w:w="0" w:type="dxa"/>
            <w:vAlign w:val="bottom"/>
          </w:tcPr>
          <w:p>
            <w:pPr>
              <w:spacing w:after="0"/>
              <w:rPr>
                <w:sz w:val="1"/>
                <w:szCs w:val="1"/>
                <w:color w:val="auto"/>
              </w:rPr>
            </w:pPr>
          </w:p>
        </w:tc>
      </w:tr>
      <w:tr>
        <w:trPr>
          <w:trHeight w:val="92"/>
        </w:trPr>
        <w:tc>
          <w:tcPr>
            <w:tcW w:w="1060" w:type="dxa"/>
            <w:vAlign w:val="bottom"/>
            <w:tcBorders>
              <w:left w:val="single" w:sz="8" w:color="auto"/>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acquired and</w:t>
            </w: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by each</w:t>
            </w:r>
          </w:p>
        </w:tc>
        <w:tc>
          <w:tcPr>
            <w:tcW w:w="17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associated with investments or</w:t>
            </w:r>
          </w:p>
        </w:tc>
        <w:tc>
          <w:tcPr>
            <w:tcW w:w="0" w:type="dxa"/>
            <w:vAlign w:val="bottom"/>
          </w:tcPr>
          <w:p>
            <w:pPr>
              <w:spacing w:after="0"/>
              <w:rPr>
                <w:sz w:val="1"/>
                <w:szCs w:val="1"/>
                <w:color w:val="auto"/>
              </w:rPr>
            </w:pPr>
          </w:p>
        </w:tc>
      </w:tr>
      <w:tr>
        <w:trPr>
          <w:trHeight w:val="92"/>
        </w:trPr>
        <w:tc>
          <w:tcPr>
            <w:tcW w:w="1060" w:type="dxa"/>
            <w:vAlign w:val="bottom"/>
            <w:tcBorders>
              <w:left w:val="single" w:sz="8" w:color="auto"/>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consumed by each</w:t>
            </w: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subsidiary.</w:t>
            </w:r>
          </w:p>
        </w:tc>
        <w:tc>
          <w:tcPr>
            <w:tcW w:w="17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financing.</w:t>
            </w:r>
          </w:p>
        </w:tc>
        <w:tc>
          <w:tcPr>
            <w:tcW w:w="0" w:type="dxa"/>
            <w:vAlign w:val="bottom"/>
          </w:tcPr>
          <w:p>
            <w:pPr>
              <w:spacing w:after="0"/>
              <w:rPr>
                <w:sz w:val="1"/>
                <w:szCs w:val="1"/>
                <w:color w:val="auto"/>
              </w:rPr>
            </w:pPr>
          </w:p>
        </w:tc>
      </w:tr>
      <w:tr>
        <w:trPr>
          <w:trHeight w:val="104"/>
        </w:trPr>
        <w:tc>
          <w:tcPr>
            <w:tcW w:w="106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subsidiary.</w:t>
            </w:r>
          </w:p>
        </w:tc>
        <w:tc>
          <w:tcPr>
            <w:tcW w:w="2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auto"/>
              <w:right w:val="single" w:sz="8" w:color="auto"/>
            </w:tcBorders>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auto"/>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As of 2022, all of the subsidiaries have measured 100% of their operations and their GHG calculations have been validated by specialized auditors. It is important to note that 2022 has been designated as the base year to measure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emissions as we move forward in our commitment to be carbon neutral by 2032</w:t>
      </w:r>
      <w:r>
        <w:rPr>
          <w:rFonts w:ascii="Arial" w:cs="Arial" w:eastAsia="Arial" w:hAnsi="Arial"/>
          <w:sz w:val="25"/>
          <w:szCs w:val="25"/>
          <w:color w:val="auto"/>
          <w:vertAlign w:val="superscript"/>
        </w:rPr>
        <w:t>40</w:t>
      </w:r>
      <w:r>
        <w:rPr>
          <w:rFonts w:ascii="Arial" w:cs="Arial" w:eastAsia="Arial" w:hAnsi="Arial"/>
          <w:sz w:val="15"/>
          <w:szCs w:val="15"/>
          <w:color w:val="auto"/>
        </w:rPr>
        <w:t>.</w:t>
      </w:r>
    </w:p>
    <w:tbl>
      <w:tblPr>
        <w:tblLayout w:type="fixed"/>
        <w:tblInd w:w="830" w:type="dxa"/>
        <w:tblCellMar>
          <w:top w:w="0" w:type="dxa"/>
          <w:left w:w="0" w:type="dxa"/>
          <w:bottom w:w="0" w:type="dxa"/>
          <w:right w:w="0" w:type="dxa"/>
        </w:tblCellMar>
      </w:tblPr>
      <w:tr>
        <w:trPr>
          <w:trHeight w:val="159"/>
        </w:trPr>
        <w:tc>
          <w:tcPr>
            <w:tcW w:w="2180" w:type="dxa"/>
            <w:vAlign w:val="bottom"/>
            <w:tcBorders>
              <w:top w:val="single" w:sz="8" w:color="BFBFBF"/>
              <w:left w:val="single" w:sz="8" w:color="BFBFBF"/>
              <w:right w:val="single" w:sz="8" w:color="BFBFBF"/>
            </w:tcBorders>
            <w:shd w:val="clear" w:color="auto" w:fill="F2F2F2"/>
          </w:tcPr>
          <w:p>
            <w:pPr>
              <w:spacing w:after="0"/>
              <w:rPr>
                <w:sz w:val="13"/>
                <w:szCs w:val="13"/>
                <w:color w:val="auto"/>
              </w:rPr>
            </w:pPr>
          </w:p>
        </w:tc>
        <w:tc>
          <w:tcPr>
            <w:tcW w:w="1620" w:type="dxa"/>
            <w:vAlign w:val="bottom"/>
            <w:tcBorders>
              <w:top w:val="single" w:sz="8" w:color="BFBFBF"/>
              <w:right w:val="single" w:sz="8" w:color="BFBFBF"/>
            </w:tcBorders>
            <w:shd w:val="clear" w:color="auto" w:fill="F2F2F2"/>
          </w:tcPr>
          <w:p>
            <w:pPr>
              <w:jc w:val="center"/>
              <w:spacing w:after="0" w:line="159" w:lineRule="exact"/>
              <w:rPr>
                <w:sz w:val="20"/>
                <w:szCs w:val="20"/>
                <w:color w:val="auto"/>
              </w:rPr>
            </w:pPr>
            <w:r>
              <w:rPr>
                <w:rFonts w:ascii="Arial" w:cs="Arial" w:eastAsia="Arial" w:hAnsi="Arial"/>
                <w:sz w:val="15"/>
                <w:szCs w:val="15"/>
                <w:b w:val="1"/>
                <w:bCs w:val="1"/>
                <w:color w:val="auto"/>
              </w:rPr>
              <w:t>GHG Emissions</w:t>
            </w:r>
          </w:p>
        </w:tc>
      </w:tr>
      <w:tr>
        <w:trPr>
          <w:trHeight w:val="173"/>
        </w:trPr>
        <w:tc>
          <w:tcPr>
            <w:tcW w:w="2180" w:type="dxa"/>
            <w:vAlign w:val="bottom"/>
            <w:tcBorders>
              <w:left w:val="single" w:sz="8" w:color="BFBFBF"/>
              <w:right w:val="single" w:sz="8" w:color="BFBFBF"/>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Scope</w:t>
            </w:r>
          </w:p>
        </w:tc>
        <w:tc>
          <w:tcPr>
            <w:tcW w:w="1620" w:type="dxa"/>
            <w:vAlign w:val="bottom"/>
            <w:tcBorders>
              <w:right w:val="single" w:sz="8" w:color="BFBFBF"/>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2022</w:t>
            </w:r>
          </w:p>
        </w:tc>
      </w:tr>
      <w:tr>
        <w:trPr>
          <w:trHeight w:val="192"/>
        </w:trPr>
        <w:tc>
          <w:tcPr>
            <w:tcW w:w="2180" w:type="dxa"/>
            <w:vAlign w:val="bottom"/>
            <w:tcBorders>
              <w:left w:val="single" w:sz="8" w:color="BFBFBF"/>
              <w:bottom w:val="single" w:sz="8" w:color="BFBFBF"/>
              <w:right w:val="single" w:sz="8" w:color="BFBFBF"/>
            </w:tcBorders>
            <w:shd w:val="clear" w:color="auto" w:fill="F2F2F2"/>
          </w:tcPr>
          <w:p>
            <w:pPr>
              <w:spacing w:after="0"/>
              <w:rPr>
                <w:sz w:val="16"/>
                <w:szCs w:val="16"/>
                <w:color w:val="auto"/>
              </w:rPr>
            </w:pPr>
          </w:p>
        </w:tc>
        <w:tc>
          <w:tcPr>
            <w:tcW w:w="1620" w:type="dxa"/>
            <w:vAlign w:val="bottom"/>
            <w:tcBorders>
              <w:bottom w:val="single" w:sz="8" w:color="BFBFBF"/>
              <w:right w:val="single" w:sz="8" w:color="BFBFBF"/>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(tCO2 eq)</w:t>
            </w:r>
          </w:p>
        </w:tc>
      </w:tr>
      <w:tr>
        <w:trPr>
          <w:trHeight w:val="164"/>
        </w:trPr>
        <w:tc>
          <w:tcPr>
            <w:tcW w:w="2180" w:type="dxa"/>
            <w:vAlign w:val="bottom"/>
            <w:tcBorders>
              <w:left w:val="single" w:sz="8" w:color="BFBFBF"/>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5"/>
                <w:szCs w:val="15"/>
                <w:color w:val="auto"/>
              </w:rPr>
              <w:t>Scope 1</w:t>
            </w:r>
          </w:p>
        </w:tc>
        <w:tc>
          <w:tcPr>
            <w:tcW w:w="1620" w:type="dxa"/>
            <w:vAlign w:val="bottom"/>
            <w:tcBorders>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5"/>
                <w:szCs w:val="15"/>
                <w:color w:val="auto"/>
                <w:w w:val="99"/>
              </w:rPr>
              <w:t>2,066.33</w:t>
            </w:r>
          </w:p>
        </w:tc>
      </w:tr>
      <w:tr>
        <w:trPr>
          <w:trHeight w:val="164"/>
        </w:trPr>
        <w:tc>
          <w:tcPr>
            <w:tcW w:w="2180" w:type="dxa"/>
            <w:vAlign w:val="bottom"/>
            <w:tcBorders>
              <w:left w:val="single" w:sz="8" w:color="BFBFBF"/>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5"/>
                <w:szCs w:val="15"/>
                <w:color w:val="auto"/>
              </w:rPr>
              <w:t>Scope 2</w:t>
            </w:r>
          </w:p>
        </w:tc>
        <w:tc>
          <w:tcPr>
            <w:tcW w:w="1620" w:type="dxa"/>
            <w:vAlign w:val="bottom"/>
            <w:tcBorders>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5"/>
                <w:szCs w:val="15"/>
                <w:color w:val="auto"/>
              </w:rPr>
              <w:t>16,078.64</w:t>
            </w:r>
          </w:p>
        </w:tc>
      </w:tr>
      <w:tr>
        <w:trPr>
          <w:trHeight w:val="164"/>
        </w:trPr>
        <w:tc>
          <w:tcPr>
            <w:tcW w:w="2180" w:type="dxa"/>
            <w:vAlign w:val="bottom"/>
            <w:tcBorders>
              <w:left w:val="single" w:sz="8" w:color="BFBFBF"/>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2"/>
                <w:szCs w:val="12"/>
                <w:color w:val="auto"/>
              </w:rPr>
              <w:t>Scope 3</w:t>
            </w:r>
            <w:r>
              <w:rPr>
                <w:rFonts w:ascii="Arial" w:cs="Arial" w:eastAsia="Arial" w:hAnsi="Arial"/>
                <w:sz w:val="19"/>
                <w:szCs w:val="19"/>
                <w:color w:val="auto"/>
                <w:vertAlign w:val="superscript"/>
              </w:rPr>
              <w:t>41</w:t>
            </w:r>
          </w:p>
        </w:tc>
        <w:tc>
          <w:tcPr>
            <w:tcW w:w="1620" w:type="dxa"/>
            <w:vAlign w:val="bottom"/>
            <w:tcBorders>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5"/>
                <w:szCs w:val="15"/>
                <w:color w:val="auto"/>
              </w:rPr>
              <w:t>25,150.51</w:t>
            </w:r>
          </w:p>
        </w:tc>
      </w:tr>
      <w:tr>
        <w:trPr>
          <w:trHeight w:val="164"/>
        </w:trPr>
        <w:tc>
          <w:tcPr>
            <w:tcW w:w="2180" w:type="dxa"/>
            <w:vAlign w:val="bottom"/>
            <w:tcBorders>
              <w:left w:val="single" w:sz="8" w:color="BFBFBF"/>
              <w:bottom w:val="single" w:sz="8" w:color="BFBFBF"/>
              <w:right w:val="single" w:sz="8" w:color="BFBFBF"/>
            </w:tcBorders>
            <w:shd w:val="clear" w:color="auto" w:fill="F2F2F2"/>
          </w:tcPr>
          <w:p>
            <w:pPr>
              <w:jc w:val="center"/>
              <w:spacing w:after="0" w:line="164" w:lineRule="exact"/>
              <w:rPr>
                <w:sz w:val="20"/>
                <w:szCs w:val="20"/>
                <w:color w:val="auto"/>
              </w:rPr>
            </w:pPr>
            <w:r>
              <w:rPr>
                <w:rFonts w:ascii="Arial" w:cs="Arial" w:eastAsia="Arial" w:hAnsi="Arial"/>
                <w:sz w:val="15"/>
                <w:szCs w:val="15"/>
                <w:b w:val="1"/>
                <w:bCs w:val="1"/>
                <w:color w:val="auto"/>
              </w:rPr>
              <w:t>Total</w:t>
            </w:r>
          </w:p>
        </w:tc>
        <w:tc>
          <w:tcPr>
            <w:tcW w:w="1620" w:type="dxa"/>
            <w:vAlign w:val="bottom"/>
            <w:tcBorders>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5"/>
                <w:szCs w:val="15"/>
                <w:b w:val="1"/>
                <w:bCs w:val="1"/>
                <w:color w:val="auto"/>
              </w:rPr>
              <w:t>43,295.48</w:t>
            </w:r>
          </w:p>
        </w:tc>
      </w:tr>
    </w:tbl>
    <w:p>
      <w:pPr>
        <w:spacing w:after="0" w:line="345"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To achieve these targets, each subsidiary has contributed to reducing their carbon footprint through well-targeted initiatives. For example, </w:t>
      </w:r>
      <w:r>
        <w:rPr>
          <w:rFonts w:ascii="Arial" w:cs="Arial" w:eastAsia="Arial" w:hAnsi="Arial"/>
          <w:sz w:val="15"/>
          <w:szCs w:val="15"/>
          <w:b w:val="1"/>
          <w:bCs w:val="1"/>
          <w:color w:val="auto"/>
        </w:rPr>
        <w:t>BCP</w:t>
      </w:r>
      <w:r>
        <w:rPr>
          <w:rFonts w:ascii="Arial" w:cs="Arial" w:eastAsia="Arial" w:hAnsi="Arial"/>
          <w:sz w:val="15"/>
          <w:szCs w:val="15"/>
          <w:color w:val="auto"/>
        </w:rPr>
        <w:t xml:space="preserve"> has installed solar panels at 45 branches and at three offices while </w:t>
      </w:r>
      <w:r>
        <w:rPr>
          <w:rFonts w:ascii="Arial" w:cs="Arial" w:eastAsia="Arial" w:hAnsi="Arial"/>
          <w:sz w:val="15"/>
          <w:szCs w:val="15"/>
          <w:b w:val="1"/>
          <w:bCs w:val="1"/>
          <w:color w:val="auto"/>
        </w:rPr>
        <w:t>Mibanco</w:t>
      </w:r>
      <w:r>
        <w:rPr>
          <w:rFonts w:ascii="Arial" w:cs="Arial" w:eastAsia="Arial" w:hAnsi="Arial"/>
          <w:sz w:val="15"/>
          <w:szCs w:val="15"/>
          <w:color w:val="auto"/>
        </w:rPr>
        <w:t xml:space="preserve"> expanded the number of branches with photovoltaic installations to 22. </w:t>
      </w:r>
      <w:r>
        <w:rPr>
          <w:rFonts w:ascii="Arial" w:cs="Arial" w:eastAsia="Arial" w:hAnsi="Arial"/>
          <w:sz w:val="15"/>
          <w:szCs w:val="15"/>
          <w:b w:val="1"/>
          <w:bCs w:val="1"/>
          <w:color w:val="auto"/>
        </w:rPr>
        <w:t>Prima</w:t>
      </w:r>
      <w:r>
        <w:rPr>
          <w:rFonts w:ascii="Arial" w:cs="Arial" w:eastAsia="Arial" w:hAnsi="Arial"/>
          <w:sz w:val="15"/>
          <w:szCs w:val="15"/>
          <w:color w:val="auto"/>
        </w:rPr>
        <w:t xml:space="preserve"> </w:t>
      </w:r>
      <w:r>
        <w:rPr>
          <w:rFonts w:ascii="Arial" w:cs="Arial" w:eastAsia="Arial" w:hAnsi="Arial"/>
          <w:sz w:val="15"/>
          <w:szCs w:val="15"/>
          <w:b w:val="1"/>
          <w:bCs w:val="1"/>
          <w:color w:val="auto"/>
        </w:rPr>
        <w:t>AFP</w:t>
      </w:r>
      <w:r>
        <w:rPr>
          <w:rFonts w:ascii="Arial" w:cs="Arial" w:eastAsia="Arial" w:hAnsi="Arial"/>
          <w:sz w:val="15"/>
          <w:szCs w:val="15"/>
          <w:color w:val="auto"/>
        </w:rPr>
        <w:t>, in turn, implemented a hybrid format in 2021 that contemplated on-site</w:t>
      </w:r>
      <w:r>
        <w:rPr>
          <w:rFonts w:ascii="Arial" w:cs="Arial" w:eastAsia="Arial" w:hAnsi="Arial"/>
          <w:sz w:val="15"/>
          <w:szCs w:val="15"/>
          <w:b w:val="1"/>
          <w:bCs w:val="1"/>
          <w:color w:val="auto"/>
        </w:rPr>
        <w:t xml:space="preserve"> </w:t>
      </w:r>
      <w:r>
        <w:rPr>
          <w:rFonts w:ascii="Arial" w:cs="Arial" w:eastAsia="Arial" w:hAnsi="Arial"/>
          <w:sz w:val="15"/>
          <w:szCs w:val="15"/>
          <w:color w:val="auto"/>
        </w:rPr>
        <w:t>work for 1-4 days a week. This plan, which remained in effect in 2022, has cut workers’ travel to offices and branches by one day, which has reduced emissions generated by kilometers traveled and subsequently, cut associated CO</w:t>
      </w:r>
      <w:r>
        <w:rPr>
          <w:rFonts w:ascii="Arial" w:cs="Arial" w:eastAsia="Arial" w:hAnsi="Arial"/>
          <w:sz w:val="12"/>
          <w:szCs w:val="12"/>
          <w:color w:val="auto"/>
        </w:rPr>
        <w:t>2</w:t>
      </w:r>
      <w:r>
        <w:rPr>
          <w:rFonts w:ascii="Arial" w:cs="Arial" w:eastAsia="Arial" w:hAnsi="Arial"/>
          <w:sz w:val="15"/>
          <w:szCs w:val="15"/>
          <w:color w:val="auto"/>
        </w:rPr>
        <w:t xml:space="preserve"> emissions.</w:t>
      </w:r>
    </w:p>
    <w:p>
      <w:pPr>
        <w:spacing w:after="0" w:line="230" w:lineRule="exact"/>
        <w:rPr>
          <w:sz w:val="20"/>
          <w:szCs w:val="20"/>
          <w:color w:val="auto"/>
        </w:rPr>
      </w:pPr>
    </w:p>
    <w:p>
      <w:pPr>
        <w:ind w:left="200" w:hanging="191"/>
        <w:spacing w:after="0"/>
        <w:tabs>
          <w:tab w:leader="none" w:pos="200" w:val="left"/>
        </w:tabs>
        <w:numPr>
          <w:ilvl w:val="0"/>
          <w:numId w:val="91"/>
        </w:numPr>
        <w:rPr>
          <w:rFonts w:ascii="Arial" w:cs="Arial" w:eastAsia="Arial" w:hAnsi="Arial"/>
          <w:sz w:val="25"/>
          <w:szCs w:val="25"/>
          <w:color w:val="auto"/>
          <w:vertAlign w:val="superscript"/>
        </w:rPr>
      </w:pPr>
      <w:r>
        <w:rPr>
          <w:rFonts w:ascii="Arial" w:cs="Arial" w:eastAsia="Arial" w:hAnsi="Arial"/>
          <w:sz w:val="15"/>
          <w:szCs w:val="15"/>
          <w:color w:val="auto"/>
        </w:rPr>
        <w:t>Does not include investment issuances or financing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122" w:right="319" w:bottom="1440" w:gutter="0" w:footer="0" w:header="0"/>
        </w:sectPr>
      </w:pPr>
    </w:p>
    <w:bookmarkStart w:id="135" w:name="page136"/>
    <w:bookmarkEnd w:id="135"/>
    <w:p>
      <w:pPr>
        <w:jc w:val="both"/>
        <w:ind w:left="8"/>
        <w:spacing w:after="0" w:line="217" w:lineRule="auto"/>
        <w:rPr>
          <w:sz w:val="20"/>
          <w:szCs w:val="20"/>
          <w:color w:val="auto"/>
        </w:rPr>
      </w:pPr>
      <w:r>
        <w:rPr>
          <w:rFonts w:ascii="Arial" w:cs="Arial" w:eastAsia="Arial" w:hAnsi="Arial"/>
          <w:sz w:val="15"/>
          <w:szCs w:val="15"/>
          <w:color w:val="auto"/>
        </w:rPr>
        <w:t xml:space="preserve">In Peru, our subsidiaries adhere to the national </w:t>
      </w:r>
      <w:r>
        <w:rPr>
          <w:rFonts w:ascii="Arial" w:cs="Arial" w:eastAsia="Arial" w:hAnsi="Arial"/>
          <w:sz w:val="15"/>
          <w:szCs w:val="15"/>
          <w:u w:val="single" w:color="auto"/>
          <w:color w:val="0563C9"/>
        </w:rPr>
        <w:t>Carbon Footprint Program</w:t>
      </w:r>
      <w:r>
        <w:rPr>
          <w:rFonts w:ascii="Arial" w:cs="Arial" w:eastAsia="Arial" w:hAnsi="Arial"/>
          <w:sz w:val="15"/>
          <w:szCs w:val="15"/>
          <w:color w:val="auto"/>
        </w:rPr>
        <w:t xml:space="preserve"> of the Ministry of the Environment, which awards up to 4 stars for more advanced management of GHG emissions</w:t>
      </w:r>
      <w:r>
        <w:rPr>
          <w:rFonts w:ascii="Arial" w:cs="Arial" w:eastAsia="Arial" w:hAnsi="Arial"/>
          <w:sz w:val="25"/>
          <w:szCs w:val="25"/>
          <w:color w:val="auto"/>
          <w:vertAlign w:val="superscript"/>
        </w:rPr>
        <w:t>42</w:t>
      </w:r>
      <w:r>
        <w:rPr>
          <w:rFonts w:ascii="Arial" w:cs="Arial" w:eastAsia="Arial" w:hAnsi="Arial"/>
          <w:sz w:val="15"/>
          <w:szCs w:val="15"/>
          <w:color w:val="auto"/>
        </w:rPr>
        <w:t>. In 2022, Prima AFP was awarded 4 stars; BCP, 3; and Pacífico Seguros, Credicorp Capital and Mibanco, 2 two</w:t>
      </w:r>
      <w:r>
        <w:rPr>
          <w:rFonts w:ascii="Arial" w:cs="Arial" w:eastAsia="Arial" w:hAnsi="Arial"/>
          <w:sz w:val="25"/>
          <w:szCs w:val="25"/>
          <w:color w:val="auto"/>
          <w:vertAlign w:val="superscript"/>
        </w:rPr>
        <w:t>43</w:t>
      </w:r>
      <w:r>
        <w:rPr>
          <w:rFonts w:ascii="Arial" w:cs="Arial" w:eastAsia="Arial" w:hAnsi="Arial"/>
          <w:sz w:val="15"/>
          <w:szCs w:val="15"/>
          <w:color w:val="auto"/>
        </w:rPr>
        <w:t>.</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other GHG metrics, see the corresponding annex.</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8"/>
          <w:szCs w:val="28"/>
          <w:b w:val="1"/>
          <w:bCs w:val="1"/>
          <w:color w:val="auto"/>
        </w:rPr>
        <w:t>Energy: Electricity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343344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302-1, 302-2</w:t>
      </w:r>
    </w:p>
    <w:p>
      <w:pPr>
        <w:spacing w:after="0" w:line="183"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As part of our annual measurement of our carbon footprint, we monitor of our energy consumption, which is comprised of fuel consumption in own vehicles or through electric generators and kitchens, and electricity consumption at offices, branches and ATMs.</w:t>
      </w:r>
    </w:p>
    <w:p>
      <w:pPr>
        <w:spacing w:after="0" w:line="157"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In 2022, our total energy consumption stood at 78,371 MWh, 95% of which corresponds to electricity consumption and the rest to fuel consumption. Given that electricity consumption is generally our largest source of GHG emissions, we have taken different actions over the past few years to increase our energy efficiency, including changing incandescent lighting to LED lighting at offices and branches and gradually implementing initiatives in our computer centers. In addition to our pilot programs to generate electric energy through solar panels (</w:t>
      </w:r>
      <w:r>
        <w:rPr>
          <w:rFonts w:ascii="Arial" w:cs="Arial" w:eastAsia="Arial" w:hAnsi="Arial"/>
          <w:sz w:val="15"/>
          <w:szCs w:val="15"/>
          <w:b w:val="1"/>
          <w:bCs w:val="1"/>
          <w:color w:val="auto"/>
        </w:rPr>
        <w:t>BCP and Mibanco</w:t>
      </w:r>
      <w:r>
        <w:rPr>
          <w:rFonts w:ascii="Arial" w:cs="Arial" w:eastAsia="Arial" w:hAnsi="Arial"/>
          <w:sz w:val="15"/>
          <w:szCs w:val="15"/>
          <w:color w:val="auto"/>
        </w:rPr>
        <w:t>), we have taken steps to improve energy efficiency in our air conditioning systems (through inverters). Finally, we have conducted campaigns to encourage employees to turn off unnecessary lighting and use air conditioning responsibly and have also rolled out campaigns to promote energy savings at offices and branches.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other Energy metrics, please see the corresponding Annex.</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8"/>
          <w:szCs w:val="28"/>
          <w:b w:val="1"/>
          <w:bCs w:val="1"/>
          <w:color w:val="auto"/>
        </w:rPr>
        <w:t>Water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343344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7"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303-1, 303-2, 303-5</w:t>
      </w:r>
    </w:p>
    <w:p>
      <w:pPr>
        <w:spacing w:after="0" w:line="191" w:lineRule="exact"/>
        <w:rPr>
          <w:sz w:val="20"/>
          <w:szCs w:val="20"/>
          <w:color w:val="auto"/>
        </w:rPr>
      </w:pPr>
    </w:p>
    <w:p>
      <w:pPr>
        <w:jc w:val="both"/>
        <w:ind w:left="8"/>
        <w:spacing w:after="0" w:line="215" w:lineRule="auto"/>
        <w:rPr>
          <w:sz w:val="20"/>
          <w:szCs w:val="20"/>
          <w:color w:val="auto"/>
        </w:rPr>
      </w:pPr>
      <w:r>
        <w:rPr>
          <w:rFonts w:ascii="Arial" w:cs="Arial" w:eastAsia="Arial" w:hAnsi="Arial"/>
          <w:sz w:val="15"/>
          <w:szCs w:val="15"/>
          <w:color w:val="auto"/>
        </w:rPr>
        <w:t>Water scarcity is a global phenomenon and Peru is no exception. The most pressing problem is in the city of Lima</w:t>
      </w:r>
      <w:r>
        <w:rPr>
          <w:rFonts w:ascii="Arial" w:cs="Arial" w:eastAsia="Arial" w:hAnsi="Arial"/>
          <w:sz w:val="25"/>
          <w:szCs w:val="25"/>
          <w:color w:val="auto"/>
          <w:vertAlign w:val="superscript"/>
        </w:rPr>
        <w:t>44</w:t>
      </w:r>
      <w:r>
        <w:rPr>
          <w:rFonts w:ascii="Arial" w:cs="Arial" w:eastAsia="Arial" w:hAnsi="Arial"/>
          <w:sz w:val="15"/>
          <w:szCs w:val="15"/>
          <w:color w:val="auto"/>
        </w:rPr>
        <w:t>, which concentrates the highest consumption. To combat this problem, our environmental commitment includes measuring and monitoring our use of this resource on annual basis as we incorporate efficient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8834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57" w:lineRule="exact"/>
        <w:rPr>
          <w:sz w:val="20"/>
          <w:szCs w:val="20"/>
          <w:color w:val="auto"/>
        </w:rPr>
      </w:pPr>
    </w:p>
    <w:p>
      <w:pPr>
        <w:jc w:val="both"/>
        <w:ind w:left="8" w:hanging="8"/>
        <w:spacing w:after="0" w:line="193" w:lineRule="auto"/>
        <w:tabs>
          <w:tab w:leader="none" w:pos="197" w:val="left"/>
        </w:tabs>
        <w:numPr>
          <w:ilvl w:val="0"/>
          <w:numId w:val="92"/>
        </w:numPr>
        <w:rPr>
          <w:rFonts w:ascii="Arial" w:cs="Arial" w:eastAsia="Arial" w:hAnsi="Arial"/>
          <w:sz w:val="26"/>
          <w:szCs w:val="26"/>
          <w:color w:val="auto"/>
          <w:vertAlign w:val="superscript"/>
        </w:rPr>
      </w:pPr>
      <w:r>
        <w:rPr>
          <w:rFonts w:ascii="Arial" w:cs="Arial" w:eastAsia="Arial" w:hAnsi="Arial"/>
          <w:sz w:val="15"/>
          <w:szCs w:val="15"/>
          <w:color w:val="auto"/>
        </w:rPr>
        <w:t>1 star for emissions measurement; 2 stars for the audited measurement; 3 stars for reduction of emissions compared to the previous year; and 4 stars for offsetting.</w:t>
      </w:r>
    </w:p>
    <w:p>
      <w:pPr>
        <w:ind w:left="188" w:hanging="188"/>
        <w:spacing w:after="0" w:line="183" w:lineRule="auto"/>
        <w:tabs>
          <w:tab w:leader="none" w:pos="188" w:val="left"/>
        </w:tabs>
        <w:numPr>
          <w:ilvl w:val="0"/>
          <w:numId w:val="92"/>
        </w:numPr>
        <w:rPr>
          <w:rFonts w:ascii="Arial" w:cs="Arial" w:eastAsia="Arial" w:hAnsi="Arial"/>
          <w:sz w:val="21"/>
          <w:szCs w:val="21"/>
          <w:color w:val="auto"/>
          <w:vertAlign w:val="superscript"/>
        </w:rPr>
      </w:pPr>
      <w:r>
        <w:rPr>
          <w:rFonts w:ascii="Arial" w:cs="Arial" w:eastAsia="Arial" w:hAnsi="Arial"/>
          <w:sz w:val="13"/>
          <w:szCs w:val="13"/>
          <w:color w:val="auto"/>
        </w:rPr>
        <w:t>Awards in 2022 based on performance in 2021.</w:t>
      </w:r>
    </w:p>
    <w:p>
      <w:pPr>
        <w:spacing w:after="0" w:line="20" w:lineRule="exact"/>
        <w:rPr>
          <w:sz w:val="20"/>
          <w:szCs w:val="20"/>
          <w:color w:val="auto"/>
        </w:rPr>
      </w:pPr>
      <w:r>
        <w:rPr>
          <w:sz w:val="20"/>
          <w:szCs w:val="20"/>
          <w:color w:val="auto"/>
        </w:rPr>
        <w:br w:type="column"/>
      </w:r>
    </w:p>
    <w:p>
      <w:pPr>
        <w:jc w:val="both"/>
        <w:spacing w:after="0" w:line="219" w:lineRule="auto"/>
        <w:rPr>
          <w:sz w:val="20"/>
          <w:szCs w:val="20"/>
          <w:color w:val="auto"/>
        </w:rPr>
      </w:pPr>
      <w:r>
        <w:rPr>
          <w:rFonts w:ascii="Arial" w:cs="Arial" w:eastAsia="Arial" w:hAnsi="Arial"/>
          <w:sz w:val="15"/>
          <w:szCs w:val="15"/>
          <w:color w:val="auto"/>
        </w:rPr>
        <w:t>technologies to contribute to the responsible use of water at our subsidiaries. In 2022, we consumed 732,627 m</w:t>
      </w:r>
      <w:r>
        <w:rPr>
          <w:rFonts w:ascii="Arial" w:cs="Arial" w:eastAsia="Arial" w:hAnsi="Arial"/>
          <w:sz w:val="25"/>
          <w:szCs w:val="25"/>
          <w:color w:val="auto"/>
          <w:vertAlign w:val="superscript"/>
        </w:rPr>
        <w:t>3</w:t>
      </w:r>
      <w:r>
        <w:rPr>
          <w:rFonts w:ascii="Arial" w:cs="Arial" w:eastAsia="Arial" w:hAnsi="Arial"/>
          <w:sz w:val="15"/>
          <w:szCs w:val="15"/>
          <w:color w:val="auto"/>
        </w:rPr>
        <w:t>. We receive water from supplier companies, which also provide the sewage systems that process the effluents from our operations. To improve how efficiently we use water, we have launched a number of initiatives, which range from creating awareness of savings (</w:t>
      </w:r>
      <w:r>
        <w:rPr>
          <w:rFonts w:ascii="Arial" w:cs="Arial" w:eastAsia="Arial" w:hAnsi="Arial"/>
          <w:sz w:val="15"/>
          <w:szCs w:val="15"/>
          <w:b w:val="1"/>
          <w:bCs w:val="1"/>
          <w:color w:val="auto"/>
        </w:rPr>
        <w:t>BCP</w:t>
      </w:r>
      <w:r>
        <w:rPr>
          <w:rFonts w:ascii="Arial" w:cs="Arial" w:eastAsia="Arial" w:hAnsi="Arial"/>
          <w:sz w:val="15"/>
          <w:szCs w:val="15"/>
          <w:color w:val="auto"/>
        </w:rPr>
        <w:t>) to installing water sensors (</w:t>
      </w:r>
      <w:r>
        <w:rPr>
          <w:rFonts w:ascii="Arial" w:cs="Arial" w:eastAsia="Arial" w:hAnsi="Arial"/>
          <w:sz w:val="15"/>
          <w:szCs w:val="15"/>
          <w:b w:val="1"/>
          <w:bCs w:val="1"/>
          <w:color w:val="auto"/>
        </w:rPr>
        <w:t>Mibanco</w:t>
      </w:r>
      <w:r>
        <w:rPr>
          <w:rFonts w:ascii="Arial" w:cs="Arial" w:eastAsia="Arial" w:hAnsi="Arial"/>
          <w:sz w:val="15"/>
          <w:szCs w:val="15"/>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For other Water metrics, consult the corresponding section in the Annex.</w:t>
      </w:r>
    </w:p>
    <w:p>
      <w:pPr>
        <w:spacing w:after="0" w:line="14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Wastes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343344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306-1, 306-2, 306-3, 306-4, 306-5</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Total generation of solid wastes stood at 1,304 tons in 2022. Credicorp and its subsidiaries developed different initiatives to reduce waste generation, which range from reducing consumption of materials (mainly paper); digitalizing products and processes; creating partnerships to collect and recycle wastes; and installing segregated bins for recycling.</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All of our main subsidiaries are on track to improving their solid waste management. BCP and Pacifico Seguros have contributed to reducing waste generation through their Paperless campaigns, which have reduced total consumption of paper (mainly relative to policy issuances) by 30 million sheets of paper over the last few years. </w:t>
      </w:r>
      <w:r>
        <w:rPr>
          <w:rFonts w:ascii="Arial" w:cs="Arial" w:eastAsia="Arial" w:hAnsi="Arial"/>
          <w:sz w:val="15"/>
          <w:szCs w:val="15"/>
          <w:b w:val="1"/>
          <w:bCs w:val="1"/>
          <w:color w:val="auto"/>
        </w:rPr>
        <w:t>Mibanco</w:t>
      </w:r>
      <w:r>
        <w:rPr>
          <w:rFonts w:ascii="Arial" w:cs="Arial" w:eastAsia="Arial" w:hAnsi="Arial"/>
          <w:sz w:val="15"/>
          <w:szCs w:val="15"/>
          <w:color w:val="auto"/>
        </w:rPr>
        <w:t xml:space="preserve"> has also implemented diverse recycling actions; valuations of solid wastes, which included conducting recyclethon events for PET plastics in conjunction with the startup TUECO; activities with the NGO </w:t>
      </w:r>
      <w:r>
        <w:rPr>
          <w:rFonts w:ascii="Arial" w:cs="Arial" w:eastAsia="Arial" w:hAnsi="Arial"/>
          <w:sz w:val="15"/>
          <w:szCs w:val="15"/>
          <w:i w:val="1"/>
          <w:iCs w:val="1"/>
          <w:color w:val="auto"/>
        </w:rPr>
        <w:t>Ciudad Saludable</w:t>
      </w:r>
      <w:r>
        <w:rPr>
          <w:rFonts w:ascii="Arial" w:cs="Arial" w:eastAsia="Arial" w:hAnsi="Arial"/>
          <w:sz w:val="15"/>
          <w:szCs w:val="15"/>
          <w:color w:val="auto"/>
        </w:rPr>
        <w:t xml:space="preserve"> (plastics, paper and cardboard) and Ecology Service (paper, cardboard and PET); and an alliance to recycle paper with the Asociación de Ayuda al Niño Quemado (ANIQUEM). In total, Mibanco Service (has recycled more than 47 thousand tons of solid waste. Lastly, Prima AFP and Pacifico Seguros have entered into a partnership with the Municipality of San Isidro and its Recycle San Isidro Program, which collects recyclable material for distribution to recycling associations that have been formalized (according to Law N</w:t>
      </w:r>
      <w:r>
        <w:rPr>
          <w:rFonts w:ascii="Arial" w:cs="Arial" w:eastAsia="Arial" w:hAnsi="Arial"/>
          <w:sz w:val="15"/>
          <w:szCs w:val="15"/>
          <w:u w:val="single" w:color="auto"/>
          <w:color w:val="auto"/>
        </w:rPr>
        <w:t>º</w:t>
      </w:r>
      <w:r>
        <w:rPr>
          <w:rFonts w:ascii="Arial" w:cs="Arial" w:eastAsia="Arial" w:hAnsi="Arial"/>
          <w:sz w:val="15"/>
          <w:szCs w:val="15"/>
          <w:color w:val="auto"/>
        </w:rPr>
        <w:t xml:space="preserve"> 29.419 and its regulation and Ordinance N</w:t>
      </w:r>
      <w:r>
        <w:rPr>
          <w:rFonts w:ascii="Arial" w:cs="Arial" w:eastAsia="Arial" w:hAnsi="Arial"/>
          <w:sz w:val="15"/>
          <w:szCs w:val="15"/>
          <w:u w:val="single" w:color="auto"/>
          <w:color w:val="auto"/>
        </w:rPr>
        <w:t>º</w:t>
      </w:r>
      <w:r>
        <w:rPr>
          <w:rFonts w:ascii="Arial" w:cs="Arial" w:eastAsia="Arial" w:hAnsi="Arial"/>
          <w:sz w:val="15"/>
          <w:szCs w:val="15"/>
          <w:color w:val="auto"/>
        </w:rPr>
        <w:t xml:space="preserve"> 392-MSI). Pacifico Seguros is also working with organizations that create social impact, such as RECIDAR, which promotes practices for reutilization to extend the useful life of objects, which are donated to vulnerable families.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For other Waste metrics, see the corresponding Annex.</w:t>
      </w:r>
    </w:p>
    <w:p>
      <w:pPr>
        <w:spacing w:after="0" w:line="173" w:lineRule="exact"/>
        <w:rPr>
          <w:sz w:val="20"/>
          <w:szCs w:val="20"/>
          <w:color w:val="auto"/>
        </w:rPr>
      </w:pPr>
    </w:p>
    <w:p>
      <w:pPr>
        <w:ind w:right="20" w:firstLine="9"/>
        <w:spacing w:after="0" w:line="201" w:lineRule="auto"/>
        <w:tabs>
          <w:tab w:leader="none" w:pos="189"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According to information from the World Resources Institute (WRI), Peru is considered an area of medium-high water stress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312" w:right="319" w:bottom="1440" w:gutter="0" w:footer="0" w:header="0"/>
        </w:sectPr>
      </w:pPr>
    </w:p>
    <w:bookmarkStart w:id="136" w:name="page137"/>
    <w:bookmarkEnd w:id="136"/>
    <w:p>
      <w:pPr>
        <w:spacing w:after="0"/>
        <w:rPr>
          <w:sz w:val="20"/>
          <w:szCs w:val="20"/>
          <w:color w:val="auto"/>
        </w:rPr>
      </w:pPr>
      <w:r>
        <w:rPr>
          <w:rFonts w:ascii="Arial" w:cs="Arial" w:eastAsia="Arial" w:hAnsi="Arial"/>
          <w:sz w:val="25"/>
          <w:szCs w:val="25"/>
          <w:b w:val="1"/>
          <w:bCs w:val="1"/>
          <w:color w:val="auto"/>
        </w:rPr>
        <w:t>Chapter 3</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343344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SDG </w:t>
      </w:r>
      <w:r>
        <w:rPr>
          <w:rFonts w:ascii="Arial" w:cs="Arial" w:eastAsia="Arial" w:hAnsi="Arial"/>
          <w:sz w:val="15"/>
          <w:szCs w:val="15"/>
          <w:i w:val="1"/>
          <w:iCs w:val="1"/>
          <w:color w:val="auto"/>
        </w:rPr>
        <w:t>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3B72E1"/>
        </w:rPr>
        <w:t>OUR CULTURE IS BASED ON INTEGRITY, RESPECT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3B72E1"/>
        </w:rPr>
        <w:t>TRANSPARENCY</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Under the third pillar of our sustainability strategy of “Empowering our people to thrive”, we have the ambition to 'improve our </w:t>
      </w:r>
      <w:r>
        <w:rPr>
          <w:rFonts w:ascii="Arial" w:cs="Arial" w:eastAsia="Arial" w:hAnsi="Arial"/>
          <w:sz w:val="15"/>
          <w:szCs w:val="15"/>
          <w:b w:val="1"/>
          <w:bCs w:val="1"/>
          <w:color w:val="auto"/>
        </w:rPr>
        <w:t>governance structures</w:t>
      </w:r>
      <w:r>
        <w:rPr>
          <w:rFonts w:ascii="Arial" w:cs="Arial" w:eastAsia="Arial" w:hAnsi="Arial"/>
          <w:sz w:val="15"/>
          <w:szCs w:val="15"/>
          <w:color w:val="auto"/>
        </w:rPr>
        <w:t xml:space="preserve"> and encourage people to </w:t>
      </w:r>
      <w:r>
        <w:rPr>
          <w:rFonts w:ascii="Arial" w:cs="Arial" w:eastAsia="Arial" w:hAnsi="Arial"/>
          <w:sz w:val="15"/>
          <w:szCs w:val="15"/>
          <w:b w:val="1"/>
          <w:bCs w:val="1"/>
          <w:color w:val="auto"/>
        </w:rPr>
        <w:t>do the right thing</w:t>
      </w:r>
      <w:r>
        <w:rPr>
          <w:rFonts w:ascii="Arial" w:cs="Arial" w:eastAsia="Arial" w:hAnsi="Arial"/>
          <w:sz w:val="15"/>
          <w:szCs w:val="15"/>
          <w:color w:val="auto"/>
        </w:rPr>
        <w:t>. Our strategy reflects Credicorp’s commitment to promote a culture based on values and is supported by systems, guidelines, roles and teams that ensure on-target and efficient decision making.</w:t>
      </w:r>
    </w:p>
    <w:p>
      <w:pPr>
        <w:spacing w:after="0" w:line="334"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materiality analysis conducted, both Credicorp and its stakeholders considered “Corporate Governance” and “Business Ethics and Anti-corruption” material (this issue was ranked most important by the corporation). The section that follows provides details on our corporate governance enabler</w:t>
      </w:r>
      <w:r>
        <w:rPr>
          <w:rFonts w:ascii="Arial" w:cs="Arial" w:eastAsia="Arial" w:hAnsi="Arial"/>
          <w:sz w:val="15"/>
          <w:szCs w:val="15"/>
          <w:b w:val="1"/>
          <w:bCs w:val="1"/>
          <w:color w:val="auto"/>
        </w:rPr>
        <w:t>─</w:t>
      </w:r>
      <w:r>
        <w:rPr>
          <w:rFonts w:ascii="Arial" w:cs="Arial" w:eastAsia="Arial" w:hAnsi="Arial"/>
          <w:sz w:val="15"/>
          <w:szCs w:val="15"/>
          <w:color w:val="auto"/>
        </w:rPr>
        <w:t xml:space="preserve"> which covers the aforementioned issues and sustainability governance</w:t>
      </w:r>
      <w:r>
        <w:rPr>
          <w:rFonts w:ascii="Arial" w:cs="Arial" w:eastAsia="Arial" w:hAnsi="Arial"/>
          <w:sz w:val="15"/>
          <w:szCs w:val="15"/>
          <w:b w:val="1"/>
          <w:bCs w:val="1"/>
          <w:color w:val="auto"/>
        </w:rPr>
        <w:t>─</w:t>
      </w:r>
      <w:r>
        <w:rPr>
          <w:rFonts w:ascii="Arial" w:cs="Arial" w:eastAsia="Arial" w:hAnsi="Arial"/>
          <w:sz w:val="15"/>
          <w:szCs w:val="15"/>
          <w:color w:val="auto"/>
        </w:rPr>
        <w:t xml:space="preserve"> and includes information on our corporate policies; assessment of human rights; and systems for control and corporate management, all of which ensure that our operating model works according to plan and along sustainable lines.</w:t>
      </w:r>
    </w:p>
    <w:p>
      <w:pPr>
        <w:spacing w:after="0" w:line="12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342582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189" w:lineRule="exact"/>
        <w:rPr>
          <w:sz w:val="20"/>
          <w:szCs w:val="20"/>
          <w:color w:val="auto"/>
        </w:rPr>
      </w:pPr>
    </w:p>
    <w:p>
      <w:pPr>
        <w:ind w:right="580"/>
        <w:spacing w:after="0" w:line="253" w:lineRule="auto"/>
        <w:rPr>
          <w:sz w:val="20"/>
          <w:szCs w:val="20"/>
          <w:color w:val="auto"/>
        </w:rPr>
      </w:pPr>
      <w:r>
        <w:rPr>
          <w:rFonts w:ascii="Arial" w:cs="Arial" w:eastAsia="Arial" w:hAnsi="Arial"/>
          <w:sz w:val="15"/>
          <w:szCs w:val="15"/>
          <w:b w:val="1"/>
          <w:bCs w:val="1"/>
          <w:color w:val="auto"/>
        </w:rPr>
        <w:t xml:space="preserve">Material Issue </w:t>
      </w:r>
      <w:r>
        <w:rPr>
          <w:rFonts w:ascii="Arial" w:cs="Arial" w:eastAsia="Arial" w:hAnsi="Arial"/>
          <w:sz w:val="15"/>
          <w:szCs w:val="15"/>
          <w:color w:val="auto"/>
        </w:rPr>
        <w:t>Corporate Governance, Inclusion of diversity and Equal</w:t>
      </w:r>
      <w:r>
        <w:rPr>
          <w:rFonts w:ascii="Arial" w:cs="Arial" w:eastAsia="Arial" w:hAnsi="Arial"/>
          <w:sz w:val="15"/>
          <w:szCs w:val="15"/>
          <w:b w:val="1"/>
          <w:bCs w:val="1"/>
          <w:color w:val="auto"/>
        </w:rPr>
        <w:t xml:space="preserve"> </w:t>
      </w:r>
      <w:r>
        <w:rPr>
          <w:rFonts w:ascii="Arial" w:cs="Arial" w:eastAsia="Arial" w:hAnsi="Arial"/>
          <w:sz w:val="15"/>
          <w:szCs w:val="15"/>
          <w:color w:val="auto"/>
        </w:rPr>
        <w:t>Opportunities</w:t>
      </w:r>
    </w:p>
    <w:p>
      <w:pPr>
        <w:ind w:right="940"/>
        <w:spacing w:after="0" w:line="258" w:lineRule="auto"/>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2-9, 2-10, 2-11, 2-12, 2-13, 2-17, 2-18, 2-19, 2-20, 3-3, 405-1</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constantly strive to align our Corporate Governance framework with best international practices. Credicorp is listed on the New York Stock Exchange (NYSE) and complies with all aspect of the Sarbanes-Oxley law. This law is considered one of the world’s best frameworks of reference for Corporate Governance practices.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In 2020, we began integrating sustainability in our strategy and in the management of all of our businesses. Over time, we have introduced elements to determine and insert roles and responsibilities for the design and execution of our </w:t>
      </w:r>
      <w:r>
        <w:rPr>
          <w:rFonts w:ascii="Arial" w:cs="Arial" w:eastAsia="Arial" w:hAnsi="Arial"/>
          <w:sz w:val="15"/>
          <w:szCs w:val="15"/>
          <w:u w:val="single" w:color="auto"/>
          <w:color w:val="0563C9"/>
        </w:rPr>
        <w:t>Sustainability Strategy</w:t>
      </w:r>
      <w:r>
        <w:rPr>
          <w:rFonts w:ascii="Arial" w:cs="Arial" w:eastAsia="Arial" w:hAnsi="Arial"/>
          <w:sz w:val="15"/>
          <w:szCs w:val="15"/>
          <w:color w:val="auto"/>
        </w:rPr>
        <w:t xml:space="preserve"> </w:t>
      </w:r>
      <w:r>
        <w:rPr>
          <w:rFonts w:ascii="Arial" w:cs="Arial" w:eastAsia="Arial" w:hAnsi="Arial"/>
          <w:sz w:val="15"/>
          <w:szCs w:val="15"/>
          <w:color w:val="201F1E"/>
        </w:rPr>
        <w:t>in our corporate governance structure at the</w:t>
      </w:r>
      <w:r>
        <w:rPr>
          <w:rFonts w:ascii="Arial" w:cs="Arial" w:eastAsia="Arial" w:hAnsi="Arial"/>
          <w:sz w:val="15"/>
          <w:szCs w:val="15"/>
          <w:color w:val="auto"/>
        </w:rPr>
        <w:t xml:space="preserve"> </w:t>
      </w:r>
      <w:r>
        <w:rPr>
          <w:rFonts w:ascii="Arial" w:cs="Arial" w:eastAsia="Arial" w:hAnsi="Arial"/>
          <w:sz w:val="15"/>
          <w:szCs w:val="15"/>
          <w:color w:val="201F1E"/>
        </w:rPr>
        <w:t>corporate and subsidiary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152640" cy="146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Milestones 2022- Corporate policies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-2366645</wp:posOffset>
            </wp:positionV>
            <wp:extent cx="3074670" cy="21374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74670" cy="2137410"/>
                    </a:xfrm>
                    <a:prstGeom prst="rect">
                      <a:avLst/>
                    </a:prstGeom>
                    <a:noFill/>
                  </pic:spPr>
                </pic:pic>
              </a:graphicData>
            </a:graphic>
          </wp:anchor>
        </w:drawing>
      </w:r>
    </w:p>
    <w:p>
      <w:pPr>
        <w:jc w:val="both"/>
        <w:spacing w:after="0" w:line="249" w:lineRule="auto"/>
        <w:rPr>
          <w:sz w:val="20"/>
          <w:szCs w:val="20"/>
          <w:color w:val="auto"/>
        </w:rPr>
      </w:pPr>
      <w:r>
        <w:rPr>
          <w:rFonts w:ascii="Arial" w:cs="Arial" w:eastAsia="Arial" w:hAnsi="Arial"/>
          <w:sz w:val="15"/>
          <w:szCs w:val="15"/>
          <w:color w:val="auto"/>
        </w:rPr>
        <w:t>Based on these criteria and aligned with our vision to be a sustainable financial leader, in 2022 we took the following actions on the Corporate Governance front at the Group level:</w:t>
      </w:r>
    </w:p>
    <w:p>
      <w:pPr>
        <w:spacing w:after="0" w:line="155" w:lineRule="exact"/>
        <w:rPr>
          <w:sz w:val="20"/>
          <w:szCs w:val="20"/>
          <w:color w:val="auto"/>
        </w:rPr>
      </w:pPr>
    </w:p>
    <w:p>
      <w:pPr>
        <w:jc w:val="both"/>
        <w:ind w:left="420" w:right="20" w:hanging="203"/>
        <w:spacing w:after="0"/>
        <w:tabs>
          <w:tab w:leader="none" w:pos="420" w:val="left"/>
        </w:tabs>
        <w:numPr>
          <w:ilvl w:val="0"/>
          <w:numId w:val="94"/>
        </w:numPr>
        <w:rPr>
          <w:rFonts w:ascii="Arial" w:cs="Arial" w:eastAsia="Arial" w:hAnsi="Arial"/>
          <w:sz w:val="15"/>
          <w:szCs w:val="15"/>
          <w:b w:val="1"/>
          <w:bCs w:val="1"/>
          <w:color w:val="auto"/>
        </w:rPr>
      </w:pPr>
      <w:r>
        <w:rPr>
          <w:rFonts w:ascii="Arial" w:cs="Arial" w:eastAsia="Arial" w:hAnsi="Arial"/>
          <w:sz w:val="15"/>
          <w:szCs w:val="15"/>
          <w:color w:val="auto"/>
        </w:rPr>
        <w:t xml:space="preserve">Credicorp’s </w:t>
      </w:r>
      <w:r>
        <w:rPr>
          <w:rFonts w:ascii="Arial" w:cs="Arial" w:eastAsia="Arial" w:hAnsi="Arial"/>
          <w:sz w:val="15"/>
          <w:szCs w:val="15"/>
          <w:u w:val="single" w:color="auto"/>
          <w:color w:val="0563C9"/>
        </w:rPr>
        <w:t>Code of Ethics</w:t>
      </w:r>
      <w:r>
        <w:rPr>
          <w:rFonts w:ascii="Arial" w:cs="Arial" w:eastAsia="Arial" w:hAnsi="Arial"/>
          <w:sz w:val="15"/>
          <w:szCs w:val="15"/>
          <w:color w:val="auto"/>
        </w:rPr>
        <w:t xml:space="preserve"> was updated to place more emphasis on employees’ relations with Credicorp’s stakeholders. This change includes a declaration of our commitment to human rights. The new Code will also provide illustrative examples that cover recurring situations that emerge on the business front. For more information consult the </w:t>
      </w:r>
      <w:r>
        <w:rPr>
          <w:rFonts w:ascii="Arial" w:cs="Arial" w:eastAsia="Arial" w:hAnsi="Arial"/>
          <w:sz w:val="15"/>
          <w:szCs w:val="15"/>
          <w:b w:val="1"/>
          <w:bCs w:val="1"/>
          <w:color w:val="auto"/>
        </w:rPr>
        <w:t>Code of Ethics</w:t>
      </w:r>
      <w:r>
        <w:rPr>
          <w:rFonts w:ascii="Arial" w:cs="Arial" w:eastAsia="Arial" w:hAnsi="Arial"/>
          <w:sz w:val="15"/>
          <w:szCs w:val="15"/>
          <w:color w:val="auto"/>
        </w:rPr>
        <w:t xml:space="preserve"> section.</w:t>
      </w:r>
    </w:p>
    <w:p>
      <w:pPr>
        <w:spacing w:after="0" w:line="2" w:lineRule="exact"/>
        <w:rPr>
          <w:rFonts w:ascii="Arial" w:cs="Arial" w:eastAsia="Arial" w:hAnsi="Arial"/>
          <w:sz w:val="15"/>
          <w:szCs w:val="15"/>
          <w:b w:val="1"/>
          <w:bCs w:val="1"/>
          <w:color w:val="auto"/>
        </w:rPr>
      </w:pPr>
    </w:p>
    <w:p>
      <w:pPr>
        <w:jc w:val="both"/>
        <w:ind w:left="420" w:right="20" w:hanging="203"/>
        <w:spacing w:after="0" w:line="249" w:lineRule="auto"/>
        <w:tabs>
          <w:tab w:leader="none" w:pos="420" w:val="left"/>
        </w:tabs>
        <w:numPr>
          <w:ilvl w:val="0"/>
          <w:numId w:val="94"/>
        </w:numPr>
        <w:rPr>
          <w:rFonts w:ascii="Arial" w:cs="Arial" w:eastAsia="Arial" w:hAnsi="Arial"/>
          <w:sz w:val="15"/>
          <w:szCs w:val="15"/>
          <w:color w:val="auto"/>
        </w:rPr>
      </w:pPr>
      <w:r>
        <w:rPr>
          <w:rFonts w:ascii="Arial" w:cs="Arial" w:eastAsia="Arial" w:hAnsi="Arial"/>
          <w:sz w:val="15"/>
          <w:szCs w:val="15"/>
          <w:b w:val="1"/>
          <w:bCs w:val="1"/>
          <w:color w:val="auto"/>
        </w:rPr>
        <w:t xml:space="preserve">The Internal Code of Conduct </w:t>
      </w:r>
      <w:r>
        <w:rPr>
          <w:rFonts w:ascii="Arial" w:cs="Arial" w:eastAsia="Arial" w:hAnsi="Arial"/>
          <w:sz w:val="15"/>
          <w:szCs w:val="15"/>
          <w:color w:val="auto"/>
        </w:rPr>
        <w:t>regarding disclosure of material events</w:t>
      </w:r>
      <w:r>
        <w:rPr>
          <w:rFonts w:ascii="Arial" w:cs="Arial" w:eastAsia="Arial" w:hAnsi="Arial"/>
          <w:sz w:val="15"/>
          <w:szCs w:val="15"/>
          <w:b w:val="1"/>
          <w:bCs w:val="1"/>
          <w:color w:val="auto"/>
        </w:rPr>
        <w:t xml:space="preserve"> </w:t>
      </w:r>
      <w:r>
        <w:rPr>
          <w:rFonts w:ascii="Arial" w:cs="Arial" w:eastAsia="Arial" w:hAnsi="Arial"/>
          <w:sz w:val="15"/>
          <w:szCs w:val="15"/>
          <w:color w:val="auto"/>
        </w:rPr>
        <w:t>and confidential information was updated to introduce improvements in definitions and in the scope of application; indicate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134</w:t>
      </w:r>
    </w:p>
    <w:p>
      <w:pPr>
        <w:sectPr>
          <w:pgSz w:w="11900" w:h="16838" w:orient="portrait"/>
          <w:cols w:equalWidth="0" w:num="2">
            <w:col w:w="5400" w:space="440"/>
            <w:col w:w="5420"/>
          </w:cols>
          <w:pgMar w:left="320" w:top="106" w:right="319" w:bottom="1440" w:gutter="0" w:footer="0" w:header="0"/>
        </w:sectPr>
      </w:pPr>
    </w:p>
    <w:bookmarkStart w:id="137" w:name="page138"/>
    <w:bookmarkEnd w:id="137"/>
    <w:p>
      <w:pPr>
        <w:ind w:left="400" w:right="20"/>
        <w:spacing w:after="0"/>
        <w:rPr>
          <w:sz w:val="20"/>
          <w:szCs w:val="20"/>
          <w:color w:val="auto"/>
        </w:rPr>
      </w:pPr>
      <w:r>
        <w:rPr>
          <w:rFonts w:ascii="Arial" w:cs="Arial" w:eastAsia="Arial" w:hAnsi="Arial"/>
          <w:sz w:val="15"/>
          <w:szCs w:val="15"/>
          <w:color w:val="auto"/>
        </w:rPr>
        <w:t>responsibilities of individuals possessing privileged information; establish the parties responsible for determining Material Events; among others.</w:t>
      </w:r>
    </w:p>
    <w:p>
      <w:pPr>
        <w:jc w:val="both"/>
        <w:ind w:left="400" w:right="20" w:hanging="200"/>
        <w:spacing w:after="0"/>
        <w:tabs>
          <w:tab w:leader="none" w:pos="4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A comprehensive review was conducted of the </w:t>
      </w:r>
      <w:r>
        <w:rPr>
          <w:rFonts w:ascii="Arial" w:cs="Arial" w:eastAsia="Arial" w:hAnsi="Arial"/>
          <w:sz w:val="15"/>
          <w:szCs w:val="15"/>
          <w:b w:val="1"/>
          <w:bCs w:val="1"/>
          <w:color w:val="auto"/>
        </w:rPr>
        <w:t>Guidelines for the</w:t>
      </w:r>
      <w:r>
        <w:rPr>
          <w:rFonts w:ascii="Arial" w:cs="Arial" w:eastAsia="Arial" w:hAnsi="Arial"/>
          <w:sz w:val="15"/>
          <w:szCs w:val="15"/>
          <w:color w:val="auto"/>
        </w:rPr>
        <w:t xml:space="preserve"> </w:t>
      </w:r>
      <w:r>
        <w:rPr>
          <w:rFonts w:ascii="Arial" w:cs="Arial" w:eastAsia="Arial" w:hAnsi="Arial"/>
          <w:sz w:val="15"/>
          <w:szCs w:val="15"/>
          <w:b w:val="1"/>
          <w:bCs w:val="1"/>
          <w:color w:val="auto"/>
        </w:rPr>
        <w:t>Group’s Corporate Governance Policy</w:t>
      </w:r>
      <w:r>
        <w:rPr>
          <w:rFonts w:ascii="Arial" w:cs="Arial" w:eastAsia="Arial" w:hAnsi="Arial"/>
          <w:sz w:val="15"/>
          <w:szCs w:val="15"/>
          <w:color w:val="auto"/>
        </w:rPr>
        <w:t>. These changes reflect the</w:t>
      </w:r>
      <w:r>
        <w:rPr>
          <w:rFonts w:ascii="Arial" w:cs="Arial" w:eastAsia="Arial" w:hAnsi="Arial"/>
          <w:sz w:val="15"/>
          <w:szCs w:val="15"/>
          <w:b w:val="1"/>
          <w:bCs w:val="1"/>
          <w:color w:val="auto"/>
        </w:rPr>
        <w:t xml:space="preserve"> </w:t>
      </w:r>
      <w:r>
        <w:rPr>
          <w:rFonts w:ascii="Arial" w:cs="Arial" w:eastAsia="Arial" w:hAnsi="Arial"/>
          <w:sz w:val="15"/>
          <w:szCs w:val="15"/>
          <w:color w:val="auto"/>
        </w:rPr>
        <w:t>opportunities for improvement identified after the guidelines’ launch with the Group’s key management units.</w:t>
      </w:r>
    </w:p>
    <w:p>
      <w:pPr>
        <w:spacing w:after="0" w:line="1" w:lineRule="exact"/>
        <w:rPr>
          <w:rFonts w:ascii="Arial" w:cs="Arial" w:eastAsia="Arial" w:hAnsi="Arial"/>
          <w:sz w:val="15"/>
          <w:szCs w:val="15"/>
          <w:color w:val="auto"/>
        </w:rPr>
      </w:pPr>
    </w:p>
    <w:p>
      <w:pPr>
        <w:jc w:val="both"/>
        <w:ind w:left="400" w:right="20" w:hanging="200"/>
        <w:spacing w:after="0"/>
        <w:tabs>
          <w:tab w:leader="none" w:pos="4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We stablished </w:t>
      </w:r>
      <w:r>
        <w:rPr>
          <w:rFonts w:ascii="Arial" w:cs="Arial" w:eastAsia="Arial" w:hAnsi="Arial"/>
          <w:sz w:val="15"/>
          <w:szCs w:val="15"/>
          <w:u w:val="single" w:color="auto"/>
          <w:color w:val="0563C9"/>
        </w:rPr>
        <w:t>Credicorp’s Sustainability Policy</w:t>
      </w:r>
      <w:r>
        <w:rPr>
          <w:rFonts w:ascii="Arial" w:cs="Arial" w:eastAsia="Arial" w:hAnsi="Arial"/>
          <w:sz w:val="15"/>
          <w:szCs w:val="15"/>
          <w:color w:val="auto"/>
        </w:rPr>
        <w:t>, which regulates the environmental and social impact of our direct operations; the environmental and social impact of our products and services; and Credicorp’s corporate governance. The objective is to set the bases to integrate sustainability across the company.</w:t>
      </w:r>
    </w:p>
    <w:p>
      <w:pPr>
        <w:spacing w:after="0" w:line="2" w:lineRule="exact"/>
        <w:rPr>
          <w:rFonts w:ascii="Arial" w:cs="Arial" w:eastAsia="Arial" w:hAnsi="Arial"/>
          <w:sz w:val="15"/>
          <w:szCs w:val="15"/>
          <w:color w:val="auto"/>
        </w:rPr>
      </w:pPr>
    </w:p>
    <w:p>
      <w:pPr>
        <w:jc w:val="both"/>
        <w:ind w:left="400" w:right="20" w:hanging="200"/>
        <w:spacing w:after="0"/>
        <w:tabs>
          <w:tab w:leader="none" w:pos="4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We stablished </w:t>
      </w:r>
      <w:r>
        <w:rPr>
          <w:rFonts w:ascii="Arial" w:cs="Arial" w:eastAsia="Arial" w:hAnsi="Arial"/>
          <w:sz w:val="15"/>
          <w:szCs w:val="15"/>
          <w:u w:val="single" w:color="auto"/>
          <w:color w:val="0563C9"/>
        </w:rPr>
        <w:t>Credicorp’s Corporate Policy for Human Rights</w:t>
      </w:r>
      <w:r>
        <w:rPr>
          <w:rFonts w:ascii="Arial" w:cs="Arial" w:eastAsia="Arial" w:hAnsi="Arial"/>
          <w:sz w:val="15"/>
          <w:szCs w:val="15"/>
          <w:color w:val="auto"/>
        </w:rPr>
        <w:t>, whose purpose is to set forth the Holding’s commitment to protecting the human rights established in the Corporate Code of Ethics. This policy was developed using the framework of the Guiding Principles on Business and Human Rights of the United Nations (UN) and considers standards and commitments from the International Labor Organization (ILO), the Organization for Cooperation and Economic Development (OCED), the Equator Principles, among others.</w:t>
      </w:r>
    </w:p>
    <w:p>
      <w:pPr>
        <w:spacing w:after="0" w:line="3" w:lineRule="exact"/>
        <w:rPr>
          <w:rFonts w:ascii="Arial" w:cs="Arial" w:eastAsia="Arial" w:hAnsi="Arial"/>
          <w:sz w:val="15"/>
          <w:szCs w:val="15"/>
          <w:color w:val="auto"/>
        </w:rPr>
      </w:pPr>
    </w:p>
    <w:p>
      <w:pPr>
        <w:jc w:val="both"/>
        <w:ind w:left="400" w:right="20" w:hanging="200"/>
        <w:spacing w:after="0" w:line="245" w:lineRule="auto"/>
        <w:tabs>
          <w:tab w:leader="none" w:pos="4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We approved our </w:t>
      </w:r>
      <w:r>
        <w:rPr>
          <w:rFonts w:ascii="Arial" w:cs="Arial" w:eastAsia="Arial" w:hAnsi="Arial"/>
          <w:sz w:val="15"/>
          <w:szCs w:val="15"/>
          <w:u w:val="single" w:color="auto"/>
          <w:color w:val="0563C9"/>
        </w:rPr>
        <w:t>Corporate Policy for Responsible and Sustainable</w:t>
      </w:r>
      <w:r>
        <w:rPr>
          <w:rFonts w:ascii="Arial" w:cs="Arial" w:eastAsia="Arial" w:hAnsi="Arial"/>
          <w:sz w:val="15"/>
          <w:szCs w:val="15"/>
          <w:color w:val="auto"/>
        </w:rPr>
        <w:t xml:space="preserve"> </w:t>
      </w:r>
      <w:r>
        <w:rPr>
          <w:rFonts w:ascii="Arial" w:cs="Arial" w:eastAsia="Arial" w:hAnsi="Arial"/>
          <w:sz w:val="15"/>
          <w:szCs w:val="15"/>
          <w:u w:val="single" w:color="auto"/>
          <w:color w:val="0563C9"/>
        </w:rPr>
        <w:t>Investment</w:t>
      </w:r>
      <w:r>
        <w:rPr>
          <w:rFonts w:ascii="Arial" w:cs="Arial" w:eastAsia="Arial" w:hAnsi="Arial"/>
          <w:sz w:val="15"/>
          <w:szCs w:val="15"/>
          <w:color w:val="000000"/>
        </w:rPr>
        <w:t>, whose objective is to consolidate and disclose information</w:t>
      </w:r>
      <w:r>
        <w:rPr>
          <w:rFonts w:ascii="Arial" w:cs="Arial" w:eastAsia="Arial" w:hAnsi="Arial"/>
          <w:sz w:val="15"/>
          <w:szCs w:val="15"/>
          <w:color w:val="0563C9"/>
        </w:rPr>
        <w:t xml:space="preserve"> </w:t>
      </w:r>
      <w:r>
        <w:rPr>
          <w:rFonts w:ascii="Arial" w:cs="Arial" w:eastAsia="Arial" w:hAnsi="Arial"/>
          <w:sz w:val="15"/>
          <w:szCs w:val="15"/>
          <w:color w:val="000000"/>
        </w:rPr>
        <w:t>on the understanding and commitment that Credicorp and its subsidiaries share with regard to the Holding’s strategic position on sustainable and responsible investments.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Structure</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an entity that lists on the NYSE and Lima stock exchanges, Credicorp has developed the following corporate governance structure: 1) Shareholders’ Meeting; 2) Board of Directors; and 3) Board Committees: Audit Committee, Risk Committee, Sustainability Committee and the Remuneration and Nominations Committee.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General Shareholders’ Meeting is held every year to:</w:t>
      </w:r>
    </w:p>
    <w:p>
      <w:pPr>
        <w:ind w:left="540" w:right="160" w:hanging="271"/>
        <w:spacing w:after="0"/>
        <w:tabs>
          <w:tab w:leader="none" w:pos="540" w:val="left"/>
        </w:tabs>
        <w:numPr>
          <w:ilvl w:val="0"/>
          <w:numId w:val="96"/>
        </w:numPr>
        <w:rPr>
          <w:rFonts w:ascii="Arial" w:cs="Arial" w:eastAsia="Arial" w:hAnsi="Arial"/>
          <w:sz w:val="15"/>
          <w:szCs w:val="15"/>
          <w:color w:val="E93CAC"/>
        </w:rPr>
      </w:pPr>
      <w:r>
        <w:rPr>
          <w:rFonts w:ascii="Arial" w:cs="Arial" w:eastAsia="Arial" w:hAnsi="Arial"/>
          <w:sz w:val="15"/>
          <w:szCs w:val="15"/>
          <w:color w:val="auto"/>
        </w:rPr>
        <w:t>Receive the annual report of auditors and financial statements for the fiscal year,</w:t>
      </w:r>
    </w:p>
    <w:p>
      <w:pPr>
        <w:ind w:left="540" w:hanging="271"/>
        <w:spacing w:after="0"/>
        <w:tabs>
          <w:tab w:leader="none" w:pos="540" w:val="left"/>
        </w:tabs>
        <w:numPr>
          <w:ilvl w:val="0"/>
          <w:numId w:val="96"/>
        </w:numPr>
        <w:rPr>
          <w:rFonts w:ascii="Arial" w:cs="Arial" w:eastAsia="Arial" w:hAnsi="Arial"/>
          <w:sz w:val="15"/>
          <w:szCs w:val="15"/>
          <w:color w:val="E93CAC"/>
        </w:rPr>
      </w:pPr>
      <w:r>
        <w:rPr>
          <w:rFonts w:ascii="Arial" w:cs="Arial" w:eastAsia="Arial" w:hAnsi="Arial"/>
          <w:sz w:val="15"/>
          <w:szCs w:val="15"/>
          <w:color w:val="auto"/>
        </w:rPr>
        <w:t>Select directors (periods of 3 years) and determine their compensation,</w:t>
      </w:r>
    </w:p>
    <w:p>
      <w:pPr>
        <w:ind w:left="540" w:hanging="271"/>
        <w:spacing w:after="0"/>
        <w:tabs>
          <w:tab w:leader="none" w:pos="540" w:val="left"/>
        </w:tabs>
        <w:numPr>
          <w:ilvl w:val="0"/>
          <w:numId w:val="96"/>
        </w:numPr>
        <w:rPr>
          <w:rFonts w:ascii="Arial" w:cs="Arial" w:eastAsia="Arial" w:hAnsi="Arial"/>
          <w:sz w:val="15"/>
          <w:szCs w:val="15"/>
          <w:color w:val="E93CAC"/>
        </w:rPr>
      </w:pPr>
      <w:r>
        <w:rPr>
          <w:rFonts w:ascii="Arial" w:cs="Arial" w:eastAsia="Arial" w:hAnsi="Arial"/>
          <w:sz w:val="15"/>
          <w:szCs w:val="15"/>
          <w:color w:val="auto"/>
        </w:rPr>
        <w:t>Designate external auditors for the fiscal year and</w:t>
      </w:r>
    </w:p>
    <w:p>
      <w:pPr>
        <w:ind w:left="540" w:hanging="271"/>
        <w:spacing w:after="0"/>
        <w:tabs>
          <w:tab w:leader="none" w:pos="540" w:val="left"/>
        </w:tabs>
        <w:numPr>
          <w:ilvl w:val="0"/>
          <w:numId w:val="96"/>
        </w:numPr>
        <w:rPr>
          <w:rFonts w:ascii="Arial" w:cs="Arial" w:eastAsia="Arial" w:hAnsi="Arial"/>
          <w:sz w:val="15"/>
          <w:szCs w:val="15"/>
          <w:color w:val="E93CAC"/>
        </w:rPr>
      </w:pPr>
      <w:r>
        <w:rPr>
          <w:rFonts w:ascii="Arial" w:cs="Arial" w:eastAsia="Arial" w:hAnsi="Arial"/>
          <w:sz w:val="15"/>
          <w:szCs w:val="15"/>
          <w:color w:val="auto"/>
        </w:rPr>
        <w:t>Resolve any other matter submitted to the Meeting for consideration.</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For more information regarding calls to Meeting, shareholder participation and procedures to follow before and after Meetings, please see our </w:t>
      </w:r>
      <w:r>
        <w:rPr>
          <w:rFonts w:ascii="Arial" w:cs="Arial" w:eastAsia="Arial" w:hAnsi="Arial"/>
          <w:sz w:val="15"/>
          <w:szCs w:val="15"/>
          <w:u w:val="single" w:color="auto"/>
          <w:color w:val="0563C9"/>
        </w:rPr>
        <w:t>Shareholders’</w:t>
      </w:r>
      <w:r>
        <w:rPr>
          <w:rFonts w:ascii="Arial" w:cs="Arial" w:eastAsia="Arial" w:hAnsi="Arial"/>
          <w:sz w:val="15"/>
          <w:szCs w:val="15"/>
          <w:color w:val="auto"/>
        </w:rPr>
        <w:t xml:space="preserve"> </w:t>
      </w:r>
      <w:r>
        <w:rPr>
          <w:rFonts w:ascii="Arial" w:cs="Arial" w:eastAsia="Arial" w:hAnsi="Arial"/>
          <w:sz w:val="15"/>
          <w:szCs w:val="15"/>
          <w:u w:val="single" w:color="auto"/>
          <w:color w:val="0563C9"/>
        </w:rPr>
        <w:t>Guide</w:t>
      </w:r>
      <w:r>
        <w:rPr>
          <w:rFonts w:ascii="Arial" w:cs="Arial" w:eastAsia="Arial" w:hAnsi="Arial"/>
          <w:sz w:val="15"/>
          <w:szCs w:val="15"/>
          <w:color w:val="000000"/>
        </w:rPr>
        <w: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Board</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Board is in charge of overseeing the management and operations of Credicorp’s businesses. The conduct of its members is guided by principles of loyalty, good faith and diligence, which reflects its role in ensuring that long term benefits are generated for the Company and its stakeholders. The Board meets at least once every</w:t>
      </w:r>
    </w:p>
    <w:p>
      <w:pPr>
        <w:spacing w:after="0" w:line="20" w:lineRule="exact"/>
        <w:rPr>
          <w:sz w:val="20"/>
          <w:szCs w:val="20"/>
          <w:color w:val="auto"/>
        </w:rPr>
      </w:pPr>
      <w:r>
        <w:rPr>
          <w:sz w:val="20"/>
          <w:szCs w:val="20"/>
          <w:color w:val="auto"/>
        </w:rPr>
        <w:br w:type="column"/>
      </w:r>
    </w:p>
    <w:p>
      <w:pPr>
        <w:jc w:val="both"/>
        <w:spacing w:after="0" w:line="245" w:lineRule="auto"/>
        <w:rPr>
          <w:sz w:val="20"/>
          <w:szCs w:val="20"/>
          <w:color w:val="auto"/>
        </w:rPr>
      </w:pPr>
      <w:r>
        <w:rPr>
          <w:rFonts w:ascii="Arial" w:cs="Arial" w:eastAsia="Arial" w:hAnsi="Arial"/>
          <w:sz w:val="15"/>
          <w:szCs w:val="15"/>
          <w:color w:val="auto"/>
        </w:rPr>
        <w:t>two months. Quorum for the Board’s sessions is achieved with the presence of the majority of its members and agreements are adopted with the favorable vote of the majority of members attending the session. In 2022, eight Board meetings were held. All of the sessions were attended by all of the Board’s members.</w:t>
      </w: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Board coordinates with General Management to set the dates for sessions and the agenda for the same. The Board also proposes new issues to discuss based on pertinent developments within and outside the Group.</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Board is responsible for following up on and controlling potential conflicts of interest among the Board, members of the Board and its shareholders. Directors must abstain from participating in the deliberation and vote on matters that may constitute a conflict of interest with the Company. The minutes of the Committee and Board will make explicit mention of the abstentions.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For more details on the Board’s functions and the guidelines and policies that regulate conflicts of interest, please see </w:t>
      </w:r>
      <w:r>
        <w:rPr>
          <w:rFonts w:ascii="Arial" w:cs="Arial" w:eastAsia="Arial" w:hAnsi="Arial"/>
          <w:sz w:val="15"/>
          <w:szCs w:val="15"/>
          <w:u w:val="single" w:color="auto"/>
          <w:color w:val="0563C9"/>
        </w:rPr>
        <w:t>Rules of the Board</w:t>
      </w:r>
      <w:r>
        <w:rPr>
          <w:rFonts w:ascii="Arial" w:cs="Arial" w:eastAsia="Arial" w:hAnsi="Arial"/>
          <w:sz w:val="15"/>
          <w:szCs w:val="15"/>
          <w:color w:val="auto"/>
        </w:rPr>
        <w:t xml:space="preserve"> and our </w:t>
      </w:r>
      <w:r>
        <w:rPr>
          <w:rFonts w:ascii="Arial" w:cs="Arial" w:eastAsia="Arial" w:hAnsi="Arial"/>
          <w:sz w:val="15"/>
          <w:szCs w:val="15"/>
          <w:u w:val="single" w:color="auto"/>
          <w:color w:val="0563C9"/>
        </w:rPr>
        <w:t>Credicorp’s</w:t>
      </w:r>
      <w:r>
        <w:rPr>
          <w:rFonts w:ascii="Arial" w:cs="Arial" w:eastAsia="Arial" w:hAnsi="Arial"/>
          <w:sz w:val="15"/>
          <w:szCs w:val="15"/>
          <w:color w:val="auto"/>
        </w:rPr>
        <w:t xml:space="preserve"> </w:t>
      </w:r>
      <w:r>
        <w:rPr>
          <w:rFonts w:ascii="Arial" w:cs="Arial" w:eastAsia="Arial" w:hAnsi="Arial"/>
          <w:sz w:val="15"/>
          <w:szCs w:val="15"/>
          <w:u w:val="single" w:color="auto"/>
          <w:color w:val="0563C9"/>
        </w:rPr>
        <w:t>Code of Ethics</w:t>
      </w:r>
      <w:r>
        <w:rPr>
          <w:rFonts w:ascii="Arial" w:cs="Arial" w:eastAsia="Arial" w:hAnsi="Arial"/>
          <w:sz w:val="15"/>
          <w:szCs w:val="15"/>
          <w:color w:val="000000"/>
        </w:rPr>
        <w: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Composition of the Board as of 2022</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In accordance with our Corporate Governance Policy, the Board is comprised of nine directors, who are selected by the General Shareholders’ Meetings for a period of three years and subject to reelection. The Board must have no fewer than three independent directors and, whenever possible, the majority of its members should be independent. Additionally, we seek to ensure that our Boards have at least two women independent directors. In 2023, a nominations process will be conducted to choose nominees to Credicorp’s Board (the last process was in 2020).</w:t>
      </w:r>
    </w:p>
    <w:p>
      <w:pPr>
        <w:spacing w:after="0" w:line="141" w:lineRule="exact"/>
        <w:rPr>
          <w:sz w:val="20"/>
          <w:szCs w:val="20"/>
          <w:color w:val="auto"/>
        </w:rPr>
      </w:pPr>
    </w:p>
    <w:p>
      <w:pPr>
        <w:ind w:left="240" w:right="240" w:firstLine="20"/>
        <w:spacing w:after="0" w:line="283" w:lineRule="auto"/>
        <w:rPr>
          <w:sz w:val="20"/>
          <w:szCs w:val="20"/>
          <w:color w:val="auto"/>
        </w:rPr>
      </w:pPr>
      <w:r>
        <w:rPr>
          <w:rFonts w:ascii="Arial" w:cs="Arial" w:eastAsia="Arial" w:hAnsi="Arial"/>
          <w:sz w:val="15"/>
          <w:szCs w:val="15"/>
          <w:b w:val="1"/>
          <w:bCs w:val="1"/>
          <w:i w:val="1"/>
          <w:iCs w:val="1"/>
          <w:color w:val="3B72E1"/>
        </w:rPr>
        <w:t>WE HAVE INDEPENDENT BODIES FOR GOVERNANCE THAT HAVE EXTENSIVE AND VARIED KNOWLEDGE AS WELL AS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83185</wp:posOffset>
            </wp:positionV>
            <wp:extent cx="2562225" cy="9588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562225" cy="95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As indicated, our board is characterized by both independence and gender diversity. Additionally, its members possess a diverse knowledge set and deep local and international experience in banking and finance, insurance, legal matters, business management and private capital. Members also demonstrate solid capacities on the digital, transformation, commercial, marketing, education and sustainability fronts and are immersed in issues relative to corporate governance and gender equity.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40" w:right="319" w:bottom="1440" w:gutter="0" w:footer="0" w:header="0"/>
        </w:sectPr>
      </w:pPr>
    </w:p>
    <w:bookmarkStart w:id="138" w:name="page139"/>
    <w:bookmarkEnd w:id="138"/>
    <w:p>
      <w:pPr>
        <w:spacing w:after="0" w:line="18"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For more information about the criteria and processes to choose our Directors, please visit our Corporate Governance Policy which is available in our webpage section “</w:t>
      </w:r>
      <w:r>
        <w:rPr>
          <w:rFonts w:ascii="Arial" w:cs="Arial" w:eastAsia="Arial" w:hAnsi="Arial"/>
          <w:sz w:val="15"/>
          <w:szCs w:val="15"/>
          <w:u w:val="single" w:color="auto"/>
          <w:color w:val="0563C9"/>
        </w:rPr>
        <w:t>Corporate Governance Documents</w:t>
      </w:r>
      <w:r>
        <w:rPr>
          <w:rFonts w:ascii="Arial" w:cs="Arial" w:eastAsia="Arial" w:hAnsi="Arial"/>
          <w:sz w:val="15"/>
          <w:szCs w:val="15"/>
          <w:color w:val="auto"/>
        </w:rPr>
        <w:t xml:space="preserve">” and in section 6.C. of our </w:t>
      </w:r>
      <w:r>
        <w:rPr>
          <w:rFonts w:ascii="Arial" w:cs="Arial" w:eastAsia="Arial" w:hAnsi="Arial"/>
          <w:sz w:val="15"/>
          <w:szCs w:val="15"/>
          <w:u w:val="single" w:color="auto"/>
          <w:color w:val="0563C9"/>
        </w:rPr>
        <w:t>2021 20F Form</w:t>
      </w:r>
      <w:r>
        <w:rPr>
          <w:rFonts w:ascii="Arial" w:cs="Arial" w:eastAsia="Arial" w:hAnsi="Arial"/>
          <w:sz w:val="15"/>
          <w:szCs w:val="15"/>
          <w:color w:val="auto"/>
        </w:rPr>
        <w:t>.</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Independence, Diversity and Competencies of the Board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562225" cy="1054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6222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8"/>
        <w:spacing w:after="0" w:line="243" w:lineRule="auto"/>
        <w:rPr>
          <w:sz w:val="20"/>
          <w:szCs w:val="20"/>
          <w:color w:val="auto"/>
        </w:rPr>
      </w:pPr>
      <w:r>
        <w:rPr>
          <w:rFonts w:ascii="Arial" w:cs="Arial" w:eastAsia="Arial" w:hAnsi="Arial"/>
          <w:sz w:val="15"/>
          <w:szCs w:val="15"/>
          <w:color w:val="auto"/>
        </w:rPr>
        <w:t>Luis Romero Belismelis, Chairman of the Board at Credicorp, is responsible, among other issues, for ensuring the Group’s effective governance and performance. He is also in charge of leading and managing measures to ensure that Credicorp meets its obligations. Mr. Romero is a Peruvian businessman with extensive experience managing companies in the consumer and services industries. He has led different subsidiaries of Grupo Romero and Credicorp as either director or member of executive management.</w:t>
      </w:r>
    </w:p>
    <w:p>
      <w:pPr>
        <w:spacing w:after="0" w:line="145" w:lineRule="exact"/>
        <w:rPr>
          <w:sz w:val="20"/>
          <w:szCs w:val="20"/>
          <w:color w:val="auto"/>
        </w:rPr>
      </w:pPr>
    </w:p>
    <w:p>
      <w:pPr>
        <w:jc w:val="both"/>
        <w:ind w:left="8"/>
        <w:spacing w:after="0" w:line="280" w:lineRule="auto"/>
        <w:rPr>
          <w:sz w:val="20"/>
          <w:szCs w:val="20"/>
          <w:color w:val="auto"/>
        </w:rPr>
      </w:pPr>
      <w:r>
        <w:rPr>
          <w:rFonts w:ascii="Arial" w:cs="Arial" w:eastAsia="Arial" w:hAnsi="Arial"/>
          <w:sz w:val="15"/>
          <w:szCs w:val="15"/>
          <w:color w:val="auto"/>
        </w:rPr>
        <w:t xml:space="preserve">The Corporate Secretary is </w:t>
      </w:r>
      <w:r>
        <w:rPr>
          <w:rFonts w:ascii="Arial" w:cs="Arial" w:eastAsia="Arial" w:hAnsi="Arial"/>
          <w:sz w:val="15"/>
          <w:szCs w:val="15"/>
          <w:i w:val="1"/>
          <w:iCs w:val="1"/>
          <w:color w:val="auto"/>
        </w:rPr>
        <w:t>Conyers Corporate Services Ltd.</w:t>
      </w:r>
      <w:r>
        <w:rPr>
          <w:rFonts w:ascii="Arial" w:cs="Arial" w:eastAsia="Arial" w:hAnsi="Arial"/>
          <w:sz w:val="15"/>
          <w:szCs w:val="15"/>
          <w:color w:val="auto"/>
        </w:rPr>
        <w:t xml:space="preserve"> (Bermuda) and the Deputy Secretary is Mr. Guillermo Morales Valentín.</w:t>
      </w:r>
    </w:p>
    <w:p>
      <w:pPr>
        <w:spacing w:after="0" w:line="132"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The program for sustainability training includes two fronts to educate the highest bodies of governance. For further detail, see the section “Integrating Sustainability – Change Management – Integrating sustainability in the DNA or our leaders and employees”</w:t>
      </w:r>
    </w:p>
    <w:p>
      <w:pPr>
        <w:spacing w:after="0" w:line="157"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 xml:space="preserve">For more information on our Board, see section </w:t>
      </w:r>
      <w:r>
        <w:rPr>
          <w:rFonts w:ascii="Arial" w:cs="Arial" w:eastAsia="Arial" w:hAnsi="Arial"/>
          <w:sz w:val="15"/>
          <w:szCs w:val="15"/>
          <w:u w:val="single" w:color="auto"/>
          <w:color w:val="0563C9"/>
        </w:rPr>
        <w:t>“CG Documents”</w:t>
      </w:r>
      <w:r>
        <w:rPr>
          <w:rFonts w:ascii="Arial" w:cs="Arial" w:eastAsia="Arial" w:hAnsi="Arial"/>
          <w:sz w:val="15"/>
          <w:szCs w:val="15"/>
          <w:color w:val="auto"/>
        </w:rPr>
        <w:t xml:space="preserve"> on Credicorp’s web page and document </w:t>
      </w:r>
      <w:r>
        <w:rPr>
          <w:rFonts w:ascii="Arial" w:cs="Arial" w:eastAsia="Arial" w:hAnsi="Arial"/>
          <w:sz w:val="15"/>
          <w:szCs w:val="15"/>
          <w:u w:val="single" w:color="auto"/>
          <w:color w:val="0563C9"/>
        </w:rPr>
        <w:t>Form 20-F 2021</w:t>
      </w:r>
      <w:r>
        <w:rPr>
          <w:rFonts w:ascii="Arial" w:cs="Arial" w:eastAsia="Arial" w:hAnsi="Arial"/>
          <w:sz w:val="15"/>
          <w:szCs w:val="15"/>
          <w:color w:val="auto"/>
        </w:rPr>
        <w:t xml:space="preserve">, sections 6.A and 6.C. More information on our directors’ experience can be found </w:t>
      </w:r>
      <w:r>
        <w:rPr>
          <w:rFonts w:ascii="Arial" w:cs="Arial" w:eastAsia="Arial" w:hAnsi="Arial"/>
          <w:sz w:val="15"/>
          <w:szCs w:val="15"/>
          <w:u w:val="single" w:color="auto"/>
          <w:color w:val="0563C9"/>
        </w:rPr>
        <w:t>here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68834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204" w:lineRule="exact"/>
        <w:rPr>
          <w:sz w:val="20"/>
          <w:szCs w:val="20"/>
          <w:color w:val="auto"/>
        </w:rPr>
      </w:pPr>
    </w:p>
    <w:p>
      <w:pPr>
        <w:jc w:val="both"/>
        <w:ind w:left="8" w:hanging="8"/>
        <w:spacing w:after="0" w:line="197" w:lineRule="auto"/>
        <w:tabs>
          <w:tab w:leader="none" w:pos="220" w:val="left"/>
        </w:tabs>
        <w:numPr>
          <w:ilvl w:val="0"/>
          <w:numId w:val="97"/>
        </w:numPr>
        <w:rPr>
          <w:rFonts w:ascii="Arial" w:cs="Arial" w:eastAsia="Arial" w:hAnsi="Arial"/>
          <w:sz w:val="26"/>
          <w:szCs w:val="26"/>
          <w:color w:val="auto"/>
          <w:vertAlign w:val="superscript"/>
        </w:rPr>
      </w:pPr>
      <w:r>
        <w:rPr>
          <w:rFonts w:ascii="Arial" w:cs="Arial" w:eastAsia="Arial" w:hAnsi="Arial"/>
          <w:sz w:val="15"/>
          <w:szCs w:val="15"/>
          <w:color w:val="auto"/>
        </w:rPr>
        <w:t xml:space="preserve">For more information about the independence criteria of the Credicorp’s Board of Directors please review the section 2 of our </w:t>
      </w:r>
      <w:r>
        <w:rPr>
          <w:rFonts w:ascii="Arial" w:cs="Arial" w:eastAsia="Arial" w:hAnsi="Arial"/>
          <w:sz w:val="15"/>
          <w:szCs w:val="15"/>
          <w:u w:val="single" w:color="auto"/>
          <w:color w:val="0563C9"/>
        </w:rPr>
        <w:t>“Corporate Governance</w:t>
      </w:r>
      <w:r>
        <w:rPr>
          <w:rFonts w:ascii="Arial" w:cs="Arial" w:eastAsia="Arial" w:hAnsi="Arial"/>
          <w:sz w:val="15"/>
          <w:szCs w:val="15"/>
          <w:color w:val="auto"/>
        </w:rPr>
        <w:t xml:space="preserve"> </w:t>
      </w:r>
      <w:r>
        <w:rPr>
          <w:rFonts w:ascii="Arial" w:cs="Arial" w:eastAsia="Arial" w:hAnsi="Arial"/>
          <w:sz w:val="15"/>
          <w:szCs w:val="15"/>
          <w:u w:val="single" w:color="auto"/>
          <w:color w:val="0563C9"/>
        </w:rPr>
        <w:t>Policy”</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E93CAC"/>
        </w:rPr>
        <w:t>Board Committees</w:t>
      </w:r>
    </w:p>
    <w:p>
      <w:pPr>
        <w:spacing w:after="0" w:line="18" w:lineRule="exact"/>
        <w:rPr>
          <w:sz w:val="20"/>
          <w:szCs w:val="20"/>
          <w:color w:val="auto"/>
        </w:rPr>
      </w:pPr>
    </w:p>
    <w:p>
      <w:pPr>
        <w:jc w:val="both"/>
        <w:spacing w:after="0" w:line="219" w:lineRule="auto"/>
        <w:rPr>
          <w:sz w:val="20"/>
          <w:szCs w:val="20"/>
          <w:color w:val="auto"/>
        </w:rPr>
      </w:pPr>
      <w:r>
        <w:rPr>
          <w:rFonts w:ascii="Arial" w:cs="Arial" w:eastAsia="Arial" w:hAnsi="Arial"/>
          <w:sz w:val="15"/>
          <w:szCs w:val="15"/>
          <w:color w:val="auto"/>
        </w:rPr>
        <w:t>Currently, Credicorp’s Board has four committees, whose configuration reflects our efforts to ensure higher levels of diversity; better distribution of capacities across committees; and increase each committee’s level of Independence. Three of the four committees are presided by independent directors</w:t>
      </w:r>
      <w:r>
        <w:rPr>
          <w:rFonts w:ascii="Arial" w:cs="Arial" w:eastAsia="Arial" w:hAnsi="Arial"/>
          <w:sz w:val="25"/>
          <w:szCs w:val="25"/>
          <w:color w:val="auto"/>
          <w:vertAlign w:val="superscript"/>
        </w:rPr>
        <w:t>45</w:t>
      </w:r>
      <w:r>
        <w:rPr>
          <w:rFonts w:ascii="Arial" w:cs="Arial" w:eastAsia="Arial" w:hAnsi="Arial"/>
          <w:sz w:val="15"/>
          <w:szCs w:val="15"/>
          <w:color w:val="auto"/>
        </w:rPr>
        <w:t xml:space="preserve"> and all Committees have at least one female director. Our current committees are configured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2562225" cy="10172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62225" cy="101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Assessment of the Board’s Performance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Board members conduct an directors’ annual self-assessment of their performance and that of the Board. The Board and the internal auditor are informed of the results of the self-assessment. The criteria of self-assessment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00" w:type="dxa"/>
            <w:vAlign w:val="bottom"/>
            <w:shd w:val="clear" w:color="auto" w:fill="5275B5"/>
          </w:tcPr>
          <w:p>
            <w:pPr>
              <w:jc w:val="center"/>
              <w:spacing w:after="0"/>
              <w:rPr>
                <w:sz w:val="20"/>
                <w:szCs w:val="20"/>
                <w:color w:val="auto"/>
              </w:rPr>
            </w:pPr>
            <w:r>
              <w:rPr>
                <w:rFonts w:ascii="Arial" w:cs="Arial" w:eastAsia="Arial" w:hAnsi="Arial"/>
                <w:sz w:val="15"/>
                <w:szCs w:val="15"/>
                <w:color w:val="FFFFFF"/>
              </w:rPr>
              <w:t>Individual assessment of</w:t>
            </w:r>
          </w:p>
        </w:tc>
        <w:tc>
          <w:tcPr>
            <w:tcW w:w="220" w:type="dxa"/>
            <w:vAlign w:val="bottom"/>
          </w:tcPr>
          <w:p>
            <w:pPr>
              <w:spacing w:after="0"/>
              <w:rPr>
                <w:sz w:val="18"/>
                <w:szCs w:val="18"/>
                <w:color w:val="auto"/>
              </w:rPr>
            </w:pPr>
          </w:p>
        </w:tc>
        <w:tc>
          <w:tcPr>
            <w:tcW w:w="2580" w:type="dxa"/>
            <w:vAlign w:val="bottom"/>
            <w:shd w:val="clear" w:color="auto" w:fill="5275B5"/>
          </w:tcPr>
          <w:p>
            <w:pPr>
              <w:ind w:left="120"/>
              <w:spacing w:after="0"/>
              <w:rPr>
                <w:sz w:val="20"/>
                <w:szCs w:val="20"/>
                <w:color w:val="auto"/>
              </w:rPr>
            </w:pPr>
            <w:r>
              <w:rPr>
                <w:rFonts w:ascii="Arial" w:cs="Arial" w:eastAsia="Arial" w:hAnsi="Arial"/>
                <w:sz w:val="15"/>
                <w:szCs w:val="15"/>
                <w:color w:val="FFFFFF"/>
              </w:rPr>
              <w:t>Assessment of the collegiate body</w:t>
            </w:r>
          </w:p>
        </w:tc>
      </w:tr>
      <w:tr>
        <w:trPr>
          <w:trHeight w:val="200"/>
        </w:trPr>
        <w:tc>
          <w:tcPr>
            <w:tcW w:w="2600" w:type="dxa"/>
            <w:vAlign w:val="bottom"/>
            <w:tcBorders>
              <w:bottom w:val="single" w:sz="8" w:color="5275B5"/>
            </w:tcBorders>
            <w:shd w:val="clear" w:color="auto" w:fill="5275B5"/>
          </w:tcPr>
          <w:p>
            <w:pPr>
              <w:jc w:val="center"/>
              <w:spacing w:after="0"/>
              <w:rPr>
                <w:sz w:val="20"/>
                <w:szCs w:val="20"/>
                <w:color w:val="auto"/>
              </w:rPr>
            </w:pPr>
            <w:r>
              <w:rPr>
                <w:rFonts w:ascii="Arial" w:cs="Arial" w:eastAsia="Arial" w:hAnsi="Arial"/>
                <w:sz w:val="15"/>
                <w:szCs w:val="15"/>
                <w:color w:val="FFFFFF"/>
              </w:rPr>
              <w:t>performance</w:t>
            </w:r>
          </w:p>
        </w:tc>
        <w:tc>
          <w:tcPr>
            <w:tcW w:w="220" w:type="dxa"/>
            <w:vAlign w:val="bottom"/>
          </w:tcPr>
          <w:p>
            <w:pPr>
              <w:spacing w:after="0"/>
              <w:rPr>
                <w:sz w:val="17"/>
                <w:szCs w:val="17"/>
                <w:color w:val="auto"/>
              </w:rPr>
            </w:pPr>
          </w:p>
        </w:tc>
        <w:tc>
          <w:tcPr>
            <w:tcW w:w="2580" w:type="dxa"/>
            <w:vAlign w:val="bottom"/>
            <w:tcBorders>
              <w:bottom w:val="single" w:sz="8" w:color="5275B5"/>
            </w:tcBorders>
            <w:shd w:val="clear" w:color="auto" w:fill="5275B5"/>
          </w:tcPr>
          <w:p>
            <w:pPr>
              <w:spacing w:after="0"/>
              <w:rPr>
                <w:sz w:val="17"/>
                <w:szCs w:val="17"/>
                <w:color w:val="auto"/>
              </w:rPr>
            </w:pPr>
          </w:p>
        </w:tc>
      </w:tr>
      <w:tr>
        <w:trPr>
          <w:trHeight w:val="218"/>
        </w:trPr>
        <w:tc>
          <w:tcPr>
            <w:tcW w:w="2600" w:type="dxa"/>
            <w:vAlign w:val="bottom"/>
            <w:shd w:val="clear" w:color="auto" w:fill="D6DBE7"/>
          </w:tcPr>
          <w:p>
            <w:pPr>
              <w:ind w:left="60"/>
              <w:spacing w:after="0"/>
              <w:rPr>
                <w:sz w:val="20"/>
                <w:szCs w:val="20"/>
                <w:color w:val="auto"/>
              </w:rPr>
            </w:pPr>
            <w:r>
              <w:rPr>
                <w:rFonts w:ascii="Arial" w:cs="Arial" w:eastAsia="Arial" w:hAnsi="Arial"/>
                <w:sz w:val="15"/>
                <w:szCs w:val="15"/>
                <w:color w:val="auto"/>
              </w:rPr>
              <w:t>● Involvement and participation</w:t>
            </w:r>
          </w:p>
        </w:tc>
        <w:tc>
          <w:tcPr>
            <w:tcW w:w="220" w:type="dxa"/>
            <w:vAlign w:val="bottom"/>
          </w:tcPr>
          <w:p>
            <w:pPr>
              <w:spacing w:after="0"/>
              <w:rPr>
                <w:sz w:val="18"/>
                <w:szCs w:val="18"/>
                <w:color w:val="auto"/>
              </w:rPr>
            </w:pPr>
          </w:p>
        </w:tc>
        <w:tc>
          <w:tcPr>
            <w:tcW w:w="2580" w:type="dxa"/>
            <w:vAlign w:val="bottom"/>
            <w:shd w:val="clear" w:color="auto" w:fill="D6DBE7"/>
          </w:tcPr>
          <w:p>
            <w:pPr>
              <w:ind w:left="40"/>
              <w:spacing w:after="0"/>
              <w:rPr>
                <w:sz w:val="20"/>
                <w:szCs w:val="20"/>
                <w:color w:val="auto"/>
              </w:rPr>
            </w:pPr>
            <w:r>
              <w:rPr>
                <w:rFonts w:ascii="Arial" w:cs="Arial" w:eastAsia="Arial" w:hAnsi="Arial"/>
                <w:sz w:val="15"/>
                <w:szCs w:val="15"/>
                <w:color w:val="auto"/>
              </w:rPr>
              <w:t>● Board meetings and Operativity</w:t>
            </w:r>
          </w:p>
        </w:tc>
      </w:tr>
      <w:tr>
        <w:trPr>
          <w:trHeight w:val="173"/>
        </w:trPr>
        <w:tc>
          <w:tcPr>
            <w:tcW w:w="2600" w:type="dxa"/>
            <w:vAlign w:val="bottom"/>
            <w:shd w:val="clear" w:color="auto" w:fill="D6DBE7"/>
          </w:tcPr>
          <w:p>
            <w:pPr>
              <w:ind w:left="60"/>
              <w:spacing w:after="0"/>
              <w:rPr>
                <w:sz w:val="20"/>
                <w:szCs w:val="20"/>
                <w:color w:val="auto"/>
              </w:rPr>
            </w:pPr>
            <w:r>
              <w:rPr>
                <w:rFonts w:ascii="Arial" w:cs="Arial" w:eastAsia="Arial" w:hAnsi="Arial"/>
                <w:sz w:val="15"/>
                <w:szCs w:val="15"/>
                <w:color w:val="auto"/>
              </w:rPr>
              <w:t>● Contribution to achieving</w:t>
            </w:r>
          </w:p>
        </w:tc>
        <w:tc>
          <w:tcPr>
            <w:tcW w:w="220" w:type="dxa"/>
            <w:vAlign w:val="bottom"/>
          </w:tcPr>
          <w:p>
            <w:pPr>
              <w:spacing w:after="0"/>
              <w:rPr>
                <w:sz w:val="15"/>
                <w:szCs w:val="15"/>
                <w:color w:val="auto"/>
              </w:rPr>
            </w:pPr>
          </w:p>
        </w:tc>
        <w:tc>
          <w:tcPr>
            <w:tcW w:w="2580" w:type="dxa"/>
            <w:vAlign w:val="bottom"/>
            <w:shd w:val="clear" w:color="auto" w:fill="D6DBE7"/>
          </w:tcPr>
          <w:p>
            <w:pPr>
              <w:ind w:left="40"/>
              <w:spacing w:after="0"/>
              <w:rPr>
                <w:sz w:val="20"/>
                <w:szCs w:val="20"/>
                <w:color w:val="auto"/>
              </w:rPr>
            </w:pPr>
            <w:r>
              <w:rPr>
                <w:rFonts w:ascii="Arial" w:cs="Arial" w:eastAsia="Arial" w:hAnsi="Arial"/>
                <w:sz w:val="15"/>
                <w:szCs w:val="15"/>
                <w:color w:val="auto"/>
              </w:rPr>
              <w:t>● Board dynamic</w:t>
            </w:r>
          </w:p>
        </w:tc>
      </w:tr>
      <w:tr>
        <w:trPr>
          <w:trHeight w:val="173"/>
        </w:trPr>
        <w:tc>
          <w:tcPr>
            <w:tcW w:w="2600" w:type="dxa"/>
            <w:vAlign w:val="bottom"/>
            <w:shd w:val="clear" w:color="auto" w:fill="D6DBE7"/>
          </w:tcPr>
          <w:p>
            <w:pPr>
              <w:ind w:left="180"/>
              <w:spacing w:after="0"/>
              <w:rPr>
                <w:sz w:val="20"/>
                <w:szCs w:val="20"/>
                <w:color w:val="auto"/>
              </w:rPr>
            </w:pPr>
            <w:r>
              <w:rPr>
                <w:rFonts w:ascii="Arial" w:cs="Arial" w:eastAsia="Arial" w:hAnsi="Arial"/>
                <w:sz w:val="15"/>
                <w:szCs w:val="15"/>
                <w:color w:val="auto"/>
              </w:rPr>
              <w:t>institutional objectives</w:t>
            </w:r>
          </w:p>
        </w:tc>
        <w:tc>
          <w:tcPr>
            <w:tcW w:w="220" w:type="dxa"/>
            <w:vAlign w:val="bottom"/>
          </w:tcPr>
          <w:p>
            <w:pPr>
              <w:spacing w:after="0"/>
              <w:rPr>
                <w:sz w:val="15"/>
                <w:szCs w:val="15"/>
                <w:color w:val="auto"/>
              </w:rPr>
            </w:pPr>
          </w:p>
        </w:tc>
        <w:tc>
          <w:tcPr>
            <w:tcW w:w="2580" w:type="dxa"/>
            <w:vAlign w:val="bottom"/>
            <w:shd w:val="clear" w:color="auto" w:fill="D6DBE7"/>
          </w:tcPr>
          <w:p>
            <w:pPr>
              <w:ind w:left="40"/>
              <w:spacing w:after="0"/>
              <w:rPr>
                <w:sz w:val="20"/>
                <w:szCs w:val="20"/>
                <w:color w:val="auto"/>
              </w:rPr>
            </w:pPr>
            <w:r>
              <w:rPr>
                <w:rFonts w:ascii="Arial" w:cs="Arial" w:eastAsia="Arial" w:hAnsi="Arial"/>
                <w:sz w:val="15"/>
                <w:szCs w:val="15"/>
                <w:color w:val="auto"/>
              </w:rPr>
              <w:t>● Directors' knowledge of</w:t>
            </w:r>
          </w:p>
        </w:tc>
      </w:tr>
      <w:tr>
        <w:trPr>
          <w:trHeight w:val="173"/>
        </w:trPr>
        <w:tc>
          <w:tcPr>
            <w:tcW w:w="2600" w:type="dxa"/>
            <w:vAlign w:val="bottom"/>
            <w:shd w:val="clear" w:color="auto" w:fill="D6DBE7"/>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shd w:val="clear" w:color="auto" w:fill="D6DBE7"/>
          </w:tcPr>
          <w:p>
            <w:pPr>
              <w:ind w:left="180"/>
              <w:spacing w:after="0"/>
              <w:rPr>
                <w:sz w:val="20"/>
                <w:szCs w:val="20"/>
                <w:color w:val="auto"/>
              </w:rPr>
            </w:pPr>
            <w:r>
              <w:rPr>
                <w:rFonts w:ascii="Arial" w:cs="Arial" w:eastAsia="Arial" w:hAnsi="Arial"/>
                <w:sz w:val="15"/>
                <w:szCs w:val="15"/>
                <w:color w:val="auto"/>
              </w:rPr>
              <w:t>Credicorp's Strategy, Purpose,</w:t>
            </w:r>
          </w:p>
        </w:tc>
      </w:tr>
      <w:tr>
        <w:trPr>
          <w:trHeight w:val="173"/>
        </w:trPr>
        <w:tc>
          <w:tcPr>
            <w:tcW w:w="2600" w:type="dxa"/>
            <w:vAlign w:val="bottom"/>
            <w:shd w:val="clear" w:color="auto" w:fill="D6DBE7"/>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shd w:val="clear" w:color="auto" w:fill="D6DBE7"/>
          </w:tcPr>
          <w:p>
            <w:pPr>
              <w:ind w:left="180"/>
              <w:spacing w:after="0"/>
              <w:rPr>
                <w:sz w:val="20"/>
                <w:szCs w:val="20"/>
                <w:color w:val="auto"/>
              </w:rPr>
            </w:pPr>
            <w:r>
              <w:rPr>
                <w:rFonts w:ascii="Arial" w:cs="Arial" w:eastAsia="Arial" w:hAnsi="Arial"/>
                <w:sz w:val="15"/>
                <w:szCs w:val="15"/>
                <w:color w:val="auto"/>
              </w:rPr>
              <w:t>Vision, Statutes, Rules and other</w:t>
            </w:r>
          </w:p>
        </w:tc>
      </w:tr>
      <w:tr>
        <w:trPr>
          <w:trHeight w:val="185"/>
        </w:trPr>
        <w:tc>
          <w:tcPr>
            <w:tcW w:w="2600" w:type="dxa"/>
            <w:vAlign w:val="bottom"/>
            <w:shd w:val="clear" w:color="auto" w:fill="D6DBE7"/>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shd w:val="clear" w:color="auto" w:fill="D6DBE7"/>
          </w:tcPr>
          <w:p>
            <w:pPr>
              <w:ind w:left="180"/>
              <w:spacing w:after="0"/>
              <w:rPr>
                <w:sz w:val="20"/>
                <w:szCs w:val="20"/>
                <w:color w:val="auto"/>
              </w:rPr>
            </w:pPr>
            <w:r>
              <w:rPr>
                <w:rFonts w:ascii="Arial" w:cs="Arial" w:eastAsia="Arial" w:hAnsi="Arial"/>
                <w:sz w:val="15"/>
                <w:szCs w:val="15"/>
                <w:color w:val="auto"/>
              </w:rPr>
              <w:t>relevant matters.</w:t>
            </w:r>
          </w:p>
        </w:tc>
      </w:tr>
      <w:tr>
        <w:trPr>
          <w:trHeight w:val="35"/>
        </w:trPr>
        <w:tc>
          <w:tcPr>
            <w:tcW w:w="2600" w:type="dxa"/>
            <w:vAlign w:val="bottom"/>
            <w:shd w:val="clear" w:color="auto" w:fill="D6DBE7"/>
          </w:tcPr>
          <w:p>
            <w:pPr>
              <w:spacing w:after="0"/>
              <w:rPr>
                <w:sz w:val="3"/>
                <w:szCs w:val="3"/>
                <w:color w:val="auto"/>
              </w:rPr>
            </w:pPr>
          </w:p>
        </w:tc>
        <w:tc>
          <w:tcPr>
            <w:tcW w:w="220" w:type="dxa"/>
            <w:vAlign w:val="bottom"/>
          </w:tcPr>
          <w:p>
            <w:pPr>
              <w:spacing w:after="0"/>
              <w:rPr>
                <w:sz w:val="3"/>
                <w:szCs w:val="3"/>
                <w:color w:val="auto"/>
              </w:rPr>
            </w:pPr>
          </w:p>
        </w:tc>
        <w:tc>
          <w:tcPr>
            <w:tcW w:w="2580" w:type="dxa"/>
            <w:vAlign w:val="bottom"/>
            <w:shd w:val="clear" w:color="auto" w:fill="D6DBE7"/>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294" w:right="319" w:bottom="1440" w:gutter="0" w:footer="0" w:header="0"/>
        </w:sectPr>
      </w:pPr>
    </w:p>
    <w:bookmarkStart w:id="139" w:name="page140"/>
    <w:bookmarkEnd w:id="139"/>
    <w:p>
      <w:pPr>
        <w:spacing w:after="0" w:line="30" w:lineRule="exact"/>
        <w:rPr>
          <w:sz w:val="20"/>
          <w:szCs w:val="20"/>
          <w:color w:val="auto"/>
        </w:rPr>
      </w:pPr>
    </w:p>
    <w:p>
      <w:pPr>
        <w:jc w:val="both"/>
        <w:ind w:left="8"/>
        <w:spacing w:after="0" w:line="258" w:lineRule="auto"/>
        <w:rPr>
          <w:sz w:val="20"/>
          <w:szCs w:val="20"/>
          <w:color w:val="auto"/>
        </w:rPr>
      </w:pPr>
      <w:r>
        <w:rPr>
          <w:rFonts w:ascii="Arial" w:cs="Arial" w:eastAsia="Arial" w:hAnsi="Arial"/>
          <w:sz w:val="15"/>
          <w:szCs w:val="15"/>
          <w:color w:val="auto"/>
        </w:rPr>
        <w:t>It is important to note that the Board takes the measures needed to incorporate the recommendations made by directors in their self-assessments.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FF66CC"/>
        </w:rPr>
        <w:t>Executive Management</w:t>
      </w:r>
    </w:p>
    <w:p>
      <w:pPr>
        <w:spacing w:after="0" w:line="191"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The Board has the power to delegate its authority to supervise the company’s daily management to one or more officers. Each of the members of Executive Management at Credicorp has vast experience and a long trajectory within the Group.</w:t>
      </w:r>
    </w:p>
    <w:p>
      <w:pPr>
        <w:spacing w:after="0" w:line="138" w:lineRule="exact"/>
        <w:rPr>
          <w:sz w:val="20"/>
          <w:szCs w:val="20"/>
          <w:color w:val="auto"/>
        </w:rPr>
      </w:pPr>
    </w:p>
    <w:tbl>
      <w:tblPr>
        <w:tblLayout w:type="fixed"/>
        <w:tblInd w:w="18" w:type="dxa"/>
        <w:tblCellMar>
          <w:top w:w="0" w:type="dxa"/>
          <w:left w:w="0" w:type="dxa"/>
          <w:bottom w:w="0" w:type="dxa"/>
          <w:right w:w="0" w:type="dxa"/>
        </w:tblCellMar>
      </w:tblPr>
      <w:tr>
        <w:trPr>
          <w:trHeight w:val="166"/>
        </w:trPr>
        <w:tc>
          <w:tcPr>
            <w:tcW w:w="2160" w:type="dxa"/>
            <w:vAlign w:val="bottom"/>
            <w:tcBorders>
              <w:top w:val="single" w:sz="8" w:color="B4C6E7"/>
              <w:left w:val="single" w:sz="8" w:color="B4C6E7"/>
              <w:right w:val="single" w:sz="8" w:color="B4C6E7"/>
            </w:tcBorders>
          </w:tcPr>
          <w:p>
            <w:pPr>
              <w:spacing w:after="0"/>
              <w:rPr>
                <w:sz w:val="14"/>
                <w:szCs w:val="14"/>
                <w:color w:val="auto"/>
              </w:rPr>
            </w:pPr>
          </w:p>
        </w:tc>
        <w:tc>
          <w:tcPr>
            <w:tcW w:w="1900" w:type="dxa"/>
            <w:vAlign w:val="bottom"/>
            <w:tcBorders>
              <w:top w:val="single" w:sz="8" w:color="B4C6E7"/>
              <w:right w:val="single" w:sz="8" w:color="B4C6E7"/>
            </w:tcBorders>
          </w:tcPr>
          <w:p>
            <w:pPr>
              <w:spacing w:after="0"/>
              <w:rPr>
                <w:sz w:val="14"/>
                <w:szCs w:val="14"/>
                <w:color w:val="auto"/>
              </w:rPr>
            </w:pPr>
          </w:p>
        </w:tc>
        <w:tc>
          <w:tcPr>
            <w:tcW w:w="1340" w:type="dxa"/>
            <w:vAlign w:val="bottom"/>
            <w:tcBorders>
              <w:top w:val="single" w:sz="8" w:color="B4C6E7"/>
              <w:right w:val="single" w:sz="8" w:color="B4C6E7"/>
            </w:tcBorders>
          </w:tcPr>
          <w:p>
            <w:pPr>
              <w:ind w:left="80"/>
              <w:spacing w:after="0" w:line="166" w:lineRule="exact"/>
              <w:rPr>
                <w:sz w:val="20"/>
                <w:szCs w:val="20"/>
                <w:color w:val="auto"/>
              </w:rPr>
            </w:pPr>
            <w:r>
              <w:rPr>
                <w:rFonts w:ascii="Arial" w:cs="Arial" w:eastAsia="Arial" w:hAnsi="Arial"/>
                <w:sz w:val="15"/>
                <w:szCs w:val="15"/>
                <w:b w:val="1"/>
                <w:bCs w:val="1"/>
                <w:color w:val="auto"/>
              </w:rPr>
              <w:t>Years of</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right w:val="single" w:sz="8" w:color="B4C6E7"/>
            </w:tcBorders>
          </w:tcPr>
          <w:p>
            <w:pPr>
              <w:spacing w:after="0"/>
              <w:rPr>
                <w:sz w:val="14"/>
                <w:szCs w:val="14"/>
                <w:color w:val="auto"/>
              </w:rPr>
            </w:pPr>
          </w:p>
        </w:tc>
        <w:tc>
          <w:tcPr>
            <w:tcW w:w="1900" w:type="dxa"/>
            <w:vAlign w:val="bottom"/>
            <w:tcBorders>
              <w:right w:val="single" w:sz="8" w:color="B4C6E7"/>
            </w:tcBorders>
          </w:tcPr>
          <w:p>
            <w:pPr>
              <w:spacing w:after="0"/>
              <w:rPr>
                <w:sz w:val="14"/>
                <w:szCs w:val="14"/>
                <w:color w:val="auto"/>
              </w:rPr>
            </w:pPr>
          </w:p>
        </w:tc>
        <w:tc>
          <w:tcPr>
            <w:tcW w:w="1340" w:type="dxa"/>
            <w:vAlign w:val="bottom"/>
            <w:tcBorders>
              <w:right w:val="single" w:sz="8" w:color="B4C6E7"/>
            </w:tcBorders>
          </w:tcPr>
          <w:p>
            <w:pPr>
              <w:ind w:left="80"/>
              <w:spacing w:after="0" w:line="164" w:lineRule="exact"/>
              <w:rPr>
                <w:sz w:val="20"/>
                <w:szCs w:val="20"/>
                <w:color w:val="auto"/>
              </w:rPr>
            </w:pPr>
            <w:r>
              <w:rPr>
                <w:rFonts w:ascii="Arial" w:cs="Arial" w:eastAsia="Arial" w:hAnsi="Arial"/>
                <w:sz w:val="15"/>
                <w:szCs w:val="15"/>
                <w:b w:val="1"/>
                <w:bCs w:val="1"/>
                <w:color w:val="auto"/>
              </w:rPr>
              <w:t>service to</w:t>
            </w:r>
          </w:p>
        </w:tc>
        <w:tc>
          <w:tcPr>
            <w:tcW w:w="0" w:type="dxa"/>
            <w:vAlign w:val="bottom"/>
          </w:tcPr>
          <w:p>
            <w:pPr>
              <w:spacing w:after="0"/>
              <w:rPr>
                <w:sz w:val="1"/>
                <w:szCs w:val="1"/>
                <w:color w:val="auto"/>
              </w:rPr>
            </w:pPr>
          </w:p>
        </w:tc>
      </w:tr>
      <w:tr>
        <w:trPr>
          <w:trHeight w:val="204"/>
        </w:trPr>
        <w:tc>
          <w:tcPr>
            <w:tcW w:w="2160" w:type="dxa"/>
            <w:vAlign w:val="bottom"/>
            <w:tcBorders>
              <w:left w:val="single" w:sz="8" w:color="B4C6E7"/>
              <w:bottom w:val="single" w:sz="8" w:color="B4C6E7"/>
              <w:right w:val="single" w:sz="8" w:color="B4C6E7"/>
            </w:tcBorders>
          </w:tcPr>
          <w:p>
            <w:pPr>
              <w:ind w:left="80"/>
              <w:spacing w:after="0"/>
              <w:rPr>
                <w:sz w:val="20"/>
                <w:szCs w:val="20"/>
                <w:color w:val="auto"/>
              </w:rPr>
            </w:pPr>
            <w:r>
              <w:rPr>
                <w:rFonts w:ascii="Arial" w:cs="Arial" w:eastAsia="Arial" w:hAnsi="Arial"/>
                <w:sz w:val="15"/>
                <w:szCs w:val="15"/>
                <w:b w:val="1"/>
                <w:bCs w:val="1"/>
                <w:color w:val="auto"/>
              </w:rPr>
              <w:t>Name</w:t>
            </w: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b w:val="1"/>
                <w:bCs w:val="1"/>
                <w:color w:val="auto"/>
              </w:rPr>
              <w:t>Position</w:t>
            </w:r>
          </w:p>
        </w:tc>
        <w:tc>
          <w:tcPr>
            <w:tcW w:w="1340" w:type="dxa"/>
            <w:vAlign w:val="bottom"/>
            <w:tcBorders>
              <w:bottom w:val="single" w:sz="8" w:color="B4C6E7"/>
              <w:right w:val="single" w:sz="8" w:color="B4C6E7"/>
            </w:tcBorders>
          </w:tcPr>
          <w:p>
            <w:pPr>
              <w:ind w:left="80"/>
              <w:spacing w:after="0" w:line="201" w:lineRule="exact"/>
              <w:rPr>
                <w:sz w:val="20"/>
                <w:szCs w:val="20"/>
                <w:color w:val="auto"/>
              </w:rPr>
            </w:pPr>
            <w:r>
              <w:rPr>
                <w:rFonts w:ascii="Arial" w:cs="Arial" w:eastAsia="Arial" w:hAnsi="Arial"/>
                <w:sz w:val="14"/>
                <w:szCs w:val="14"/>
                <w:b w:val="1"/>
                <w:bCs w:val="1"/>
                <w:color w:val="auto"/>
              </w:rPr>
              <w:t>the Group</w:t>
            </w:r>
            <w:r>
              <w:rPr>
                <w:rFonts w:ascii="Arial" w:cs="Arial" w:eastAsia="Arial" w:hAnsi="Arial"/>
                <w:sz w:val="23"/>
                <w:szCs w:val="23"/>
                <w:b w:val="1"/>
                <w:bCs w:val="1"/>
                <w:color w:val="auto"/>
                <w:vertAlign w:val="superscript"/>
              </w:rPr>
              <w:t>46</w:t>
            </w:r>
          </w:p>
        </w:tc>
        <w:tc>
          <w:tcPr>
            <w:tcW w:w="0" w:type="dxa"/>
            <w:vAlign w:val="bottom"/>
          </w:tcPr>
          <w:p>
            <w:pPr>
              <w:spacing w:after="0"/>
              <w:rPr>
                <w:sz w:val="1"/>
                <w:szCs w:val="1"/>
                <w:color w:val="auto"/>
              </w:rPr>
            </w:pPr>
          </w:p>
        </w:tc>
      </w:tr>
      <w:tr>
        <w:trPr>
          <w:trHeight w:val="173"/>
        </w:trPr>
        <w:tc>
          <w:tcPr>
            <w:tcW w:w="2160" w:type="dxa"/>
            <w:vAlign w:val="bottom"/>
            <w:tcBorders>
              <w:left w:val="single" w:sz="8" w:color="B4C6E7"/>
              <w:bottom w:val="single" w:sz="8" w:color="B4C6E7"/>
              <w:right w:val="single" w:sz="8" w:color="B4C6E7"/>
            </w:tcBorders>
          </w:tcPr>
          <w:p>
            <w:pPr>
              <w:ind w:left="80"/>
              <w:spacing w:after="0"/>
              <w:rPr>
                <w:sz w:val="20"/>
                <w:szCs w:val="20"/>
                <w:color w:val="auto"/>
              </w:rPr>
            </w:pPr>
            <w:r>
              <w:rPr>
                <w:rFonts w:ascii="Arial" w:cs="Arial" w:eastAsia="Arial" w:hAnsi="Arial"/>
                <w:sz w:val="15"/>
                <w:szCs w:val="15"/>
                <w:b w:val="1"/>
                <w:bCs w:val="1"/>
                <w:color w:val="auto"/>
              </w:rPr>
              <w:t>Luis Romero Belismelis</w:t>
            </w: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Executive Chairman</w:t>
            </w:r>
          </w:p>
        </w:tc>
        <w:tc>
          <w:tcPr>
            <w:tcW w:w="1340" w:type="dxa"/>
            <w:vAlign w:val="bottom"/>
            <w:tcBorders>
              <w:bottom w:val="single" w:sz="8" w:color="B4C6E7"/>
              <w:right w:val="single" w:sz="8" w:color="B4C6E7"/>
            </w:tcBorders>
          </w:tcPr>
          <w:p>
            <w:pPr>
              <w:jc w:val="center"/>
              <w:spacing w:after="0" w:line="173" w:lineRule="exact"/>
              <w:rPr>
                <w:sz w:val="20"/>
                <w:szCs w:val="20"/>
                <w:color w:val="auto"/>
              </w:rPr>
            </w:pPr>
            <w:r>
              <w:rPr>
                <w:rFonts w:ascii="Arial" w:cs="Arial" w:eastAsia="Arial" w:hAnsi="Arial"/>
                <w:sz w:val="20"/>
                <w:szCs w:val="20"/>
                <w:color w:val="auto"/>
                <w:vertAlign w:val="subscript"/>
              </w:rPr>
              <w:t>2</w:t>
            </w:r>
            <w:r>
              <w:rPr>
                <w:rFonts w:ascii="Arial" w:cs="Arial" w:eastAsia="Arial" w:hAnsi="Arial"/>
                <w:sz w:val="10"/>
                <w:szCs w:val="10"/>
                <w:color w:val="auto"/>
              </w:rPr>
              <w:t xml:space="preserve"> 47</w:t>
            </w:r>
          </w:p>
        </w:tc>
        <w:tc>
          <w:tcPr>
            <w:tcW w:w="0" w:type="dxa"/>
            <w:vAlign w:val="bottom"/>
          </w:tcPr>
          <w:p>
            <w:pPr>
              <w:spacing w:after="0"/>
              <w:rPr>
                <w:sz w:val="1"/>
                <w:szCs w:val="1"/>
                <w:color w:val="auto"/>
              </w:rPr>
            </w:pPr>
          </w:p>
        </w:tc>
      </w:tr>
      <w:tr>
        <w:trPr>
          <w:trHeight w:val="136"/>
        </w:trPr>
        <w:tc>
          <w:tcPr>
            <w:tcW w:w="2160" w:type="dxa"/>
            <w:vAlign w:val="bottom"/>
            <w:tcBorders>
              <w:left w:val="single" w:sz="8" w:color="B4C6E7"/>
              <w:right w:val="single" w:sz="8" w:color="B4C6E7"/>
            </w:tcBorders>
          </w:tcPr>
          <w:p>
            <w:pPr>
              <w:ind w:left="80"/>
              <w:spacing w:after="0" w:line="136" w:lineRule="exact"/>
              <w:rPr>
                <w:sz w:val="20"/>
                <w:szCs w:val="20"/>
                <w:color w:val="auto"/>
              </w:rPr>
            </w:pPr>
            <w:r>
              <w:rPr>
                <w:rFonts w:ascii="Arial" w:cs="Arial" w:eastAsia="Arial" w:hAnsi="Arial"/>
                <w:sz w:val="15"/>
                <w:szCs w:val="15"/>
                <w:b w:val="1"/>
                <w:bCs w:val="1"/>
                <w:color w:val="auto"/>
              </w:rPr>
              <w:t>Gianfranco Ferrari de las</w:t>
            </w:r>
          </w:p>
        </w:tc>
        <w:tc>
          <w:tcPr>
            <w:tcW w:w="1900" w:type="dxa"/>
            <w:vAlign w:val="bottom"/>
            <w:tcBorders>
              <w:right w:val="single" w:sz="8" w:color="B4C6E7"/>
            </w:tcBorders>
          </w:tcPr>
          <w:p>
            <w:pPr>
              <w:spacing w:after="0"/>
              <w:rPr>
                <w:sz w:val="11"/>
                <w:szCs w:val="11"/>
                <w:color w:val="auto"/>
              </w:rPr>
            </w:pPr>
          </w:p>
        </w:tc>
        <w:tc>
          <w:tcPr>
            <w:tcW w:w="1340" w:type="dxa"/>
            <w:vAlign w:val="bottom"/>
            <w:tcBorders>
              <w:right w:val="single" w:sz="8" w:color="B4C6E7"/>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160" w:type="dxa"/>
            <w:vAlign w:val="bottom"/>
            <w:tcBorders>
              <w:left w:val="single" w:sz="8" w:color="B4C6E7"/>
              <w:bottom w:val="single" w:sz="8" w:color="B4C6E7"/>
              <w:right w:val="single" w:sz="8" w:color="B4C6E7"/>
            </w:tcBorders>
          </w:tcPr>
          <w:p>
            <w:pPr>
              <w:ind w:left="80"/>
              <w:spacing w:after="0" w:line="201" w:lineRule="exact"/>
              <w:rPr>
                <w:sz w:val="20"/>
                <w:szCs w:val="20"/>
                <w:color w:val="auto"/>
              </w:rPr>
            </w:pPr>
            <w:r>
              <w:rPr>
                <w:rFonts w:ascii="Arial" w:cs="Arial" w:eastAsia="Arial" w:hAnsi="Arial"/>
                <w:sz w:val="14"/>
                <w:szCs w:val="14"/>
                <w:b w:val="1"/>
                <w:bCs w:val="1"/>
                <w:color w:val="auto"/>
              </w:rPr>
              <w:t>Casas</w:t>
            </w:r>
            <w:r>
              <w:rPr>
                <w:rFonts w:ascii="Arial" w:cs="Arial" w:eastAsia="Arial" w:hAnsi="Arial"/>
                <w:sz w:val="23"/>
                <w:szCs w:val="23"/>
                <w:b w:val="1"/>
                <w:bCs w:val="1"/>
                <w:color w:val="auto"/>
                <w:vertAlign w:val="superscript"/>
              </w:rPr>
              <w:t>48</w:t>
            </w: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CEO</w:t>
            </w:r>
          </w:p>
        </w:tc>
        <w:tc>
          <w:tcPr>
            <w:tcW w:w="1340" w:type="dxa"/>
            <w:vAlign w:val="bottom"/>
            <w:tcBorders>
              <w:bottom w:val="single" w:sz="8" w:color="B4C6E7"/>
              <w:right w:val="single" w:sz="8" w:color="B4C6E7"/>
            </w:tcBorders>
          </w:tcPr>
          <w:p>
            <w:pPr>
              <w:jc w:val="center"/>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b w:val="1"/>
                <w:bCs w:val="1"/>
                <w:color w:val="auto"/>
              </w:rPr>
              <w:t>Reynaldo Llosa Benavides</w:t>
            </w:r>
          </w:p>
        </w:tc>
        <w:tc>
          <w:tcPr>
            <w:tcW w:w="1900" w:type="dxa"/>
            <w:vAlign w:val="bottom"/>
            <w:tcBorders>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Chief Risk Officer</w:t>
            </w:r>
          </w:p>
        </w:tc>
        <w:tc>
          <w:tcPr>
            <w:tcW w:w="1340" w:type="dxa"/>
            <w:vAlign w:val="bottom"/>
            <w:tcBorders>
              <w:bottom w:val="single" w:sz="8" w:color="B4C6E7"/>
              <w:right w:val="single" w:sz="8" w:color="B4C6E7"/>
            </w:tcBorders>
          </w:tcPr>
          <w:p>
            <w:pPr>
              <w:jc w:val="center"/>
              <w:spacing w:after="0" w:line="164"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b w:val="1"/>
                <w:bCs w:val="1"/>
                <w:color w:val="auto"/>
              </w:rPr>
              <w:t>César Ríos</w:t>
            </w:r>
          </w:p>
        </w:tc>
        <w:tc>
          <w:tcPr>
            <w:tcW w:w="1900" w:type="dxa"/>
            <w:vAlign w:val="bottom"/>
            <w:tcBorders>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Chief Finance Officer</w:t>
            </w:r>
          </w:p>
        </w:tc>
        <w:tc>
          <w:tcPr>
            <w:tcW w:w="1340" w:type="dxa"/>
            <w:vAlign w:val="bottom"/>
            <w:tcBorders>
              <w:bottom w:val="single" w:sz="8" w:color="B4C6E7"/>
              <w:right w:val="single" w:sz="8" w:color="B4C6E7"/>
            </w:tcBorders>
          </w:tcPr>
          <w:p>
            <w:pPr>
              <w:jc w:val="center"/>
              <w:spacing w:after="0" w:line="164"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b w:val="1"/>
                <w:bCs w:val="1"/>
                <w:color w:val="auto"/>
              </w:rPr>
              <w:t>Alejandro Perez-Reyes</w:t>
            </w:r>
          </w:p>
        </w:tc>
        <w:tc>
          <w:tcPr>
            <w:tcW w:w="1900" w:type="dxa"/>
            <w:vAlign w:val="bottom"/>
            <w:tcBorders>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Chief Operating Officer</w:t>
            </w:r>
          </w:p>
        </w:tc>
        <w:tc>
          <w:tcPr>
            <w:tcW w:w="1340" w:type="dxa"/>
            <w:vAlign w:val="bottom"/>
            <w:tcBorders>
              <w:bottom w:val="single" w:sz="8" w:color="B4C6E7"/>
              <w:right w:val="single" w:sz="8" w:color="B4C6E7"/>
            </w:tcBorders>
          </w:tcPr>
          <w:p>
            <w:pPr>
              <w:jc w:val="center"/>
              <w:spacing w:after="0" w:line="164"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2"/>
                <w:szCs w:val="12"/>
                <w:b w:val="1"/>
                <w:bCs w:val="1"/>
                <w:color w:val="auto"/>
              </w:rPr>
              <w:t>Francesca Raffo</w:t>
            </w:r>
            <w:r>
              <w:rPr>
                <w:rFonts w:ascii="Arial" w:cs="Arial" w:eastAsia="Arial" w:hAnsi="Arial"/>
                <w:sz w:val="19"/>
                <w:szCs w:val="19"/>
                <w:b w:val="1"/>
                <w:bCs w:val="1"/>
                <w:color w:val="auto"/>
                <w:vertAlign w:val="superscript"/>
              </w:rPr>
              <w:t>49</w:t>
            </w:r>
          </w:p>
        </w:tc>
        <w:tc>
          <w:tcPr>
            <w:tcW w:w="1900" w:type="dxa"/>
            <w:vAlign w:val="bottom"/>
            <w:tcBorders>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Chief Innovation Officer</w:t>
            </w:r>
          </w:p>
        </w:tc>
        <w:tc>
          <w:tcPr>
            <w:tcW w:w="1340" w:type="dxa"/>
            <w:vAlign w:val="bottom"/>
            <w:tcBorders>
              <w:bottom w:val="single" w:sz="8" w:color="B4C6E7"/>
              <w:right w:val="single" w:sz="8" w:color="B4C6E7"/>
            </w:tcBorders>
          </w:tcPr>
          <w:p>
            <w:pPr>
              <w:jc w:val="center"/>
              <w:spacing w:after="0" w:line="164"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right w:val="single" w:sz="8" w:color="B4C6E7"/>
            </w:tcBorders>
            <w:vMerge w:val="restart"/>
          </w:tcPr>
          <w:p>
            <w:pPr>
              <w:ind w:left="80"/>
              <w:spacing w:after="0"/>
              <w:rPr>
                <w:sz w:val="20"/>
                <w:szCs w:val="20"/>
                <w:color w:val="auto"/>
              </w:rPr>
            </w:pPr>
            <w:r>
              <w:rPr>
                <w:rFonts w:ascii="Arial" w:cs="Arial" w:eastAsia="Arial" w:hAnsi="Arial"/>
                <w:sz w:val="15"/>
                <w:szCs w:val="15"/>
                <w:b w:val="1"/>
                <w:bCs w:val="1"/>
                <w:color w:val="auto"/>
              </w:rPr>
              <w:t>Diego Cavero</w:t>
            </w:r>
            <w:r>
              <w:rPr>
                <w:rFonts w:ascii="Arial" w:cs="Arial" w:eastAsia="Arial" w:hAnsi="Arial"/>
                <w:sz w:val="25"/>
                <w:szCs w:val="25"/>
                <w:b w:val="1"/>
                <w:bCs w:val="1"/>
                <w:color w:val="auto"/>
                <w:vertAlign w:val="superscript"/>
              </w:rPr>
              <w:t>50</w:t>
            </w:r>
          </w:p>
        </w:tc>
        <w:tc>
          <w:tcPr>
            <w:tcW w:w="1900" w:type="dxa"/>
            <w:vAlign w:val="bottom"/>
            <w:tcBorders>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Head of Universal</w:t>
            </w:r>
          </w:p>
        </w:tc>
        <w:tc>
          <w:tcPr>
            <w:tcW w:w="1340" w:type="dxa"/>
            <w:vAlign w:val="bottom"/>
            <w:tcBorders>
              <w:right w:val="single" w:sz="8" w:color="B4C6E7"/>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60" w:type="dxa"/>
            <w:vAlign w:val="bottom"/>
            <w:tcBorders>
              <w:left w:val="single" w:sz="8" w:color="B4C6E7"/>
              <w:bottom w:val="single" w:sz="8" w:color="B4C6E7"/>
              <w:right w:val="single" w:sz="8" w:color="B4C6E7"/>
            </w:tcBorders>
            <w:vMerge w:val="continue"/>
          </w:tcPr>
          <w:p>
            <w:pPr>
              <w:spacing w:after="0"/>
              <w:rPr>
                <w:sz w:val="15"/>
                <w:szCs w:val="15"/>
                <w:color w:val="auto"/>
              </w:rPr>
            </w:pP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Banking</w:t>
            </w:r>
          </w:p>
        </w:tc>
        <w:tc>
          <w:tcPr>
            <w:tcW w:w="1340" w:type="dxa"/>
            <w:vAlign w:val="bottom"/>
            <w:tcBorders>
              <w:bottom w:val="single" w:sz="8" w:color="B4C6E7"/>
              <w:right w:val="single" w:sz="8" w:color="B4C6E7"/>
            </w:tcBorders>
          </w:tcPr>
          <w:p>
            <w:pPr>
              <w:jc w:val="center"/>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b w:val="1"/>
                <w:bCs w:val="1"/>
                <w:color w:val="auto"/>
              </w:rPr>
              <w:t>Javier Ichazo</w:t>
            </w:r>
          </w:p>
        </w:tc>
        <w:tc>
          <w:tcPr>
            <w:tcW w:w="1900" w:type="dxa"/>
            <w:vAlign w:val="bottom"/>
            <w:tcBorders>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Head of Microfinance</w:t>
            </w:r>
          </w:p>
        </w:tc>
        <w:tc>
          <w:tcPr>
            <w:tcW w:w="1340" w:type="dxa"/>
            <w:vAlign w:val="bottom"/>
            <w:tcBorders>
              <w:bottom w:val="single" w:sz="8" w:color="B4C6E7"/>
              <w:right w:val="single" w:sz="8" w:color="B4C6E7"/>
            </w:tcBorders>
          </w:tcPr>
          <w:p>
            <w:pPr>
              <w:jc w:val="center"/>
              <w:spacing w:after="0" w:line="164"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right w:val="single" w:sz="8" w:color="B4C6E7"/>
            </w:tcBorders>
            <w:vMerge w:val="restart"/>
          </w:tcPr>
          <w:p>
            <w:pPr>
              <w:ind w:left="80"/>
              <w:spacing w:after="0"/>
              <w:rPr>
                <w:sz w:val="20"/>
                <w:szCs w:val="20"/>
                <w:color w:val="auto"/>
              </w:rPr>
            </w:pPr>
            <w:r>
              <w:rPr>
                <w:rFonts w:ascii="Arial" w:cs="Arial" w:eastAsia="Arial" w:hAnsi="Arial"/>
                <w:sz w:val="15"/>
                <w:szCs w:val="15"/>
                <w:b w:val="1"/>
                <w:bCs w:val="1"/>
                <w:color w:val="auto"/>
              </w:rPr>
              <w:t>Cesar Rivera Wilson</w:t>
            </w:r>
            <w:r>
              <w:rPr>
                <w:rFonts w:ascii="Arial" w:cs="Arial" w:eastAsia="Arial" w:hAnsi="Arial"/>
                <w:sz w:val="25"/>
                <w:szCs w:val="25"/>
                <w:b w:val="1"/>
                <w:bCs w:val="1"/>
                <w:color w:val="auto"/>
                <w:vertAlign w:val="superscript"/>
              </w:rPr>
              <w:t>51</w:t>
            </w:r>
          </w:p>
        </w:tc>
        <w:tc>
          <w:tcPr>
            <w:tcW w:w="1900" w:type="dxa"/>
            <w:vAlign w:val="bottom"/>
            <w:tcBorders>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Head of Insurance and</w:t>
            </w:r>
          </w:p>
        </w:tc>
        <w:tc>
          <w:tcPr>
            <w:tcW w:w="1340" w:type="dxa"/>
            <w:vAlign w:val="bottom"/>
            <w:tcBorders>
              <w:right w:val="single" w:sz="8" w:color="B4C6E7"/>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60" w:type="dxa"/>
            <w:vAlign w:val="bottom"/>
            <w:tcBorders>
              <w:left w:val="single" w:sz="8" w:color="B4C6E7"/>
              <w:bottom w:val="single" w:sz="8" w:color="B4C6E7"/>
              <w:right w:val="single" w:sz="8" w:color="B4C6E7"/>
            </w:tcBorders>
            <w:vMerge w:val="continue"/>
          </w:tcPr>
          <w:p>
            <w:pPr>
              <w:spacing w:after="0"/>
              <w:rPr>
                <w:sz w:val="15"/>
                <w:szCs w:val="15"/>
                <w:color w:val="auto"/>
              </w:rPr>
            </w:pP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Pensions</w:t>
            </w:r>
          </w:p>
        </w:tc>
        <w:tc>
          <w:tcPr>
            <w:tcW w:w="1340" w:type="dxa"/>
            <w:vAlign w:val="bottom"/>
            <w:tcBorders>
              <w:bottom w:val="single" w:sz="8" w:color="B4C6E7"/>
              <w:right w:val="single" w:sz="8" w:color="B4C6E7"/>
            </w:tcBorders>
          </w:tcPr>
          <w:p>
            <w:pPr>
              <w:jc w:val="center"/>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right w:val="single" w:sz="8" w:color="B4C6E7"/>
            </w:tcBorders>
            <w:vMerge w:val="restart"/>
          </w:tcPr>
          <w:p>
            <w:pPr>
              <w:ind w:left="80"/>
              <w:spacing w:after="0"/>
              <w:rPr>
                <w:sz w:val="20"/>
                <w:szCs w:val="20"/>
                <w:color w:val="auto"/>
              </w:rPr>
            </w:pPr>
            <w:r>
              <w:rPr>
                <w:rFonts w:ascii="Arial" w:cs="Arial" w:eastAsia="Arial" w:hAnsi="Arial"/>
                <w:sz w:val="15"/>
                <w:szCs w:val="15"/>
                <w:b w:val="1"/>
                <w:bCs w:val="1"/>
                <w:color w:val="auto"/>
              </w:rPr>
              <w:t>Eduardo Montero</w:t>
            </w:r>
          </w:p>
        </w:tc>
        <w:tc>
          <w:tcPr>
            <w:tcW w:w="1900" w:type="dxa"/>
            <w:vAlign w:val="bottom"/>
            <w:tcBorders>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Head of Investment</w:t>
            </w:r>
          </w:p>
        </w:tc>
        <w:tc>
          <w:tcPr>
            <w:tcW w:w="1340" w:type="dxa"/>
            <w:vAlign w:val="bottom"/>
            <w:tcBorders>
              <w:right w:val="single" w:sz="8" w:color="B4C6E7"/>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60" w:type="dxa"/>
            <w:vAlign w:val="bottom"/>
            <w:tcBorders>
              <w:left w:val="single" w:sz="8" w:color="B4C6E7"/>
              <w:bottom w:val="single" w:sz="8" w:color="B4C6E7"/>
              <w:right w:val="single" w:sz="8" w:color="B4C6E7"/>
            </w:tcBorders>
            <w:vMerge w:val="continue"/>
          </w:tcPr>
          <w:p>
            <w:pPr>
              <w:spacing w:after="0"/>
              <w:rPr>
                <w:sz w:val="15"/>
                <w:szCs w:val="15"/>
                <w:color w:val="auto"/>
              </w:rPr>
            </w:pP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Banking</w:t>
            </w:r>
          </w:p>
        </w:tc>
        <w:tc>
          <w:tcPr>
            <w:tcW w:w="1340" w:type="dxa"/>
            <w:vAlign w:val="bottom"/>
            <w:tcBorders>
              <w:bottom w:val="single" w:sz="8" w:color="B4C6E7"/>
              <w:right w:val="single" w:sz="8" w:color="B4C6E7"/>
            </w:tcBorders>
          </w:tcPr>
          <w:p>
            <w:pPr>
              <w:jc w:val="center"/>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b w:val="1"/>
                <w:bCs w:val="1"/>
                <w:color w:val="auto"/>
              </w:rPr>
              <w:t>José Esposito Li-Carrillo</w:t>
            </w:r>
          </w:p>
        </w:tc>
        <w:tc>
          <w:tcPr>
            <w:tcW w:w="1900" w:type="dxa"/>
            <w:vAlign w:val="bottom"/>
            <w:tcBorders>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Chief Audit Executive</w:t>
            </w:r>
          </w:p>
        </w:tc>
        <w:tc>
          <w:tcPr>
            <w:tcW w:w="1340" w:type="dxa"/>
            <w:vAlign w:val="bottom"/>
            <w:tcBorders>
              <w:bottom w:val="single" w:sz="8" w:color="B4C6E7"/>
              <w:right w:val="single" w:sz="8" w:color="B4C6E7"/>
            </w:tcBorders>
          </w:tcPr>
          <w:p>
            <w:pPr>
              <w:jc w:val="center"/>
              <w:spacing w:after="0" w:line="164"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b w:val="1"/>
                <w:bCs w:val="1"/>
                <w:color w:val="auto"/>
              </w:rPr>
              <w:t>Bárbara Falero</w:t>
            </w:r>
          </w:p>
        </w:tc>
        <w:tc>
          <w:tcPr>
            <w:tcW w:w="1900" w:type="dxa"/>
            <w:vAlign w:val="bottom"/>
            <w:tcBorders>
              <w:bottom w:val="single" w:sz="8" w:color="B4C6E7"/>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Chief Compliance Officer</w:t>
            </w:r>
          </w:p>
        </w:tc>
        <w:tc>
          <w:tcPr>
            <w:tcW w:w="1340" w:type="dxa"/>
            <w:vAlign w:val="bottom"/>
            <w:tcBorders>
              <w:bottom w:val="single" w:sz="8" w:color="B4C6E7"/>
              <w:right w:val="single" w:sz="8" w:color="B4C6E7"/>
            </w:tcBorders>
          </w:tcPr>
          <w:p>
            <w:pPr>
              <w:jc w:val="center"/>
              <w:spacing w:after="0" w:line="164"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36"/>
        </w:trPr>
        <w:tc>
          <w:tcPr>
            <w:tcW w:w="2160" w:type="dxa"/>
            <w:vAlign w:val="bottom"/>
            <w:tcBorders>
              <w:left w:val="single" w:sz="8" w:color="B4C6E7"/>
              <w:right w:val="single" w:sz="8" w:color="B4C6E7"/>
            </w:tcBorders>
          </w:tcPr>
          <w:p>
            <w:pPr>
              <w:ind w:left="80"/>
              <w:spacing w:after="0" w:line="136" w:lineRule="exact"/>
              <w:rPr>
                <w:sz w:val="20"/>
                <w:szCs w:val="20"/>
                <w:color w:val="auto"/>
              </w:rPr>
            </w:pPr>
            <w:r>
              <w:rPr>
                <w:rFonts w:ascii="Arial" w:cs="Arial" w:eastAsia="Arial" w:hAnsi="Arial"/>
                <w:sz w:val="15"/>
                <w:szCs w:val="15"/>
                <w:b w:val="1"/>
                <w:bCs w:val="1"/>
                <w:color w:val="auto"/>
              </w:rPr>
              <w:t>Guillermo Morales</w:t>
            </w:r>
          </w:p>
        </w:tc>
        <w:tc>
          <w:tcPr>
            <w:tcW w:w="1900" w:type="dxa"/>
            <w:vAlign w:val="bottom"/>
            <w:tcBorders>
              <w:right w:val="single" w:sz="8" w:color="B4C6E7"/>
            </w:tcBorders>
          </w:tcPr>
          <w:p>
            <w:pPr>
              <w:ind w:left="80"/>
              <w:spacing w:after="0" w:line="136" w:lineRule="exact"/>
              <w:rPr>
                <w:sz w:val="20"/>
                <w:szCs w:val="20"/>
                <w:color w:val="auto"/>
              </w:rPr>
            </w:pPr>
            <w:r>
              <w:rPr>
                <w:rFonts w:ascii="Arial" w:cs="Arial" w:eastAsia="Arial" w:hAnsi="Arial"/>
                <w:sz w:val="15"/>
                <w:szCs w:val="15"/>
                <w:color w:val="auto"/>
              </w:rPr>
              <w:t>Head-Legal and Deputy</w:t>
            </w:r>
          </w:p>
        </w:tc>
        <w:tc>
          <w:tcPr>
            <w:tcW w:w="1340" w:type="dxa"/>
            <w:vAlign w:val="bottom"/>
            <w:tcBorders>
              <w:right w:val="single" w:sz="8" w:color="B4C6E7"/>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160" w:type="dxa"/>
            <w:vAlign w:val="bottom"/>
            <w:tcBorders>
              <w:left w:val="single" w:sz="8" w:color="B4C6E7"/>
              <w:bottom w:val="single" w:sz="8" w:color="B4C6E7"/>
              <w:right w:val="single" w:sz="8" w:color="B4C6E7"/>
            </w:tcBorders>
          </w:tcPr>
          <w:p>
            <w:pPr>
              <w:ind w:left="80"/>
              <w:spacing w:after="0" w:line="201" w:lineRule="exact"/>
              <w:rPr>
                <w:sz w:val="20"/>
                <w:szCs w:val="20"/>
                <w:color w:val="auto"/>
              </w:rPr>
            </w:pPr>
            <w:r>
              <w:rPr>
                <w:rFonts w:ascii="Arial" w:cs="Arial" w:eastAsia="Arial" w:hAnsi="Arial"/>
                <w:sz w:val="14"/>
                <w:szCs w:val="14"/>
                <w:b w:val="1"/>
                <w:bCs w:val="1"/>
                <w:color w:val="auto"/>
              </w:rPr>
              <w:t>Valentín</w:t>
            </w:r>
            <w:r>
              <w:rPr>
                <w:rFonts w:ascii="Arial" w:cs="Arial" w:eastAsia="Arial" w:hAnsi="Arial"/>
                <w:sz w:val="23"/>
                <w:szCs w:val="23"/>
                <w:b w:val="1"/>
                <w:bCs w:val="1"/>
                <w:color w:val="auto"/>
                <w:vertAlign w:val="superscript"/>
              </w:rPr>
              <w:t>52</w:t>
            </w: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Secretary</w:t>
            </w:r>
          </w:p>
        </w:tc>
        <w:tc>
          <w:tcPr>
            <w:tcW w:w="1340" w:type="dxa"/>
            <w:vAlign w:val="bottom"/>
            <w:tcBorders>
              <w:bottom w:val="single" w:sz="8" w:color="B4C6E7"/>
              <w:right w:val="single" w:sz="8" w:color="B4C6E7"/>
            </w:tcBorders>
          </w:tcPr>
          <w:p>
            <w:pPr>
              <w:jc w:val="center"/>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right w:val="single" w:sz="8" w:color="B4C6E7"/>
            </w:tcBorders>
            <w:vMerge w:val="restart"/>
          </w:tcPr>
          <w:p>
            <w:pPr>
              <w:ind w:left="80"/>
              <w:spacing w:after="0"/>
              <w:rPr>
                <w:sz w:val="20"/>
                <w:szCs w:val="20"/>
                <w:color w:val="auto"/>
              </w:rPr>
            </w:pPr>
            <w:r>
              <w:rPr>
                <w:rFonts w:ascii="Arial" w:cs="Arial" w:eastAsia="Arial" w:hAnsi="Arial"/>
                <w:sz w:val="15"/>
                <w:szCs w:val="15"/>
                <w:b w:val="1"/>
                <w:bCs w:val="1"/>
                <w:color w:val="auto"/>
              </w:rPr>
              <w:t>Úrsula Álvarez Peña</w:t>
            </w:r>
          </w:p>
        </w:tc>
        <w:tc>
          <w:tcPr>
            <w:tcW w:w="1900" w:type="dxa"/>
            <w:vAlign w:val="bottom"/>
            <w:tcBorders>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Head of Talent</w:t>
            </w:r>
          </w:p>
        </w:tc>
        <w:tc>
          <w:tcPr>
            <w:tcW w:w="1340" w:type="dxa"/>
            <w:vAlign w:val="bottom"/>
            <w:tcBorders>
              <w:right w:val="single" w:sz="8" w:color="B4C6E7"/>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60" w:type="dxa"/>
            <w:vAlign w:val="bottom"/>
            <w:tcBorders>
              <w:left w:val="single" w:sz="8" w:color="B4C6E7"/>
              <w:bottom w:val="single" w:sz="8" w:color="B4C6E7"/>
              <w:right w:val="single" w:sz="8" w:color="B4C6E7"/>
            </w:tcBorders>
            <w:vMerge w:val="continue"/>
          </w:tcPr>
          <w:p>
            <w:pPr>
              <w:spacing w:after="0"/>
              <w:rPr>
                <w:sz w:val="15"/>
                <w:szCs w:val="15"/>
                <w:color w:val="auto"/>
              </w:rPr>
            </w:pP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Management</w:t>
            </w:r>
          </w:p>
        </w:tc>
        <w:tc>
          <w:tcPr>
            <w:tcW w:w="1340" w:type="dxa"/>
            <w:vAlign w:val="bottom"/>
            <w:tcBorders>
              <w:bottom w:val="single" w:sz="8" w:color="B4C6E7"/>
              <w:right w:val="single" w:sz="8" w:color="B4C6E7"/>
            </w:tcBorders>
          </w:tcPr>
          <w:p>
            <w:pPr>
              <w:jc w:val="center"/>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4"/>
        </w:trPr>
        <w:tc>
          <w:tcPr>
            <w:tcW w:w="2160" w:type="dxa"/>
            <w:vAlign w:val="bottom"/>
            <w:tcBorders>
              <w:left w:val="single" w:sz="8" w:color="B4C6E7"/>
              <w:right w:val="single" w:sz="8" w:color="B4C6E7"/>
            </w:tcBorders>
            <w:vMerge w:val="restart"/>
          </w:tcPr>
          <w:p>
            <w:pPr>
              <w:ind w:left="80"/>
              <w:spacing w:after="0"/>
              <w:rPr>
                <w:sz w:val="20"/>
                <w:szCs w:val="20"/>
                <w:color w:val="auto"/>
              </w:rPr>
            </w:pPr>
            <w:r>
              <w:rPr>
                <w:rFonts w:ascii="Arial" w:cs="Arial" w:eastAsia="Arial" w:hAnsi="Arial"/>
                <w:sz w:val="15"/>
                <w:szCs w:val="15"/>
                <w:b w:val="1"/>
                <w:bCs w:val="1"/>
                <w:color w:val="auto"/>
              </w:rPr>
              <w:t>Enrique Pasquel</w:t>
            </w:r>
          </w:p>
        </w:tc>
        <w:tc>
          <w:tcPr>
            <w:tcW w:w="1900" w:type="dxa"/>
            <w:vAlign w:val="bottom"/>
            <w:tcBorders>
              <w:right w:val="single" w:sz="8" w:color="B4C6E7"/>
            </w:tcBorders>
          </w:tcPr>
          <w:p>
            <w:pPr>
              <w:ind w:left="80"/>
              <w:spacing w:after="0" w:line="164" w:lineRule="exact"/>
              <w:rPr>
                <w:sz w:val="20"/>
                <w:szCs w:val="20"/>
                <w:color w:val="auto"/>
              </w:rPr>
            </w:pPr>
            <w:r>
              <w:rPr>
                <w:rFonts w:ascii="Arial" w:cs="Arial" w:eastAsia="Arial" w:hAnsi="Arial"/>
                <w:sz w:val="15"/>
                <w:szCs w:val="15"/>
                <w:color w:val="auto"/>
              </w:rPr>
              <w:t>Head of Corporate</w:t>
            </w:r>
          </w:p>
        </w:tc>
        <w:tc>
          <w:tcPr>
            <w:tcW w:w="1340" w:type="dxa"/>
            <w:vAlign w:val="bottom"/>
            <w:tcBorders>
              <w:right w:val="single" w:sz="8" w:color="B4C6E7"/>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60" w:type="dxa"/>
            <w:vAlign w:val="bottom"/>
            <w:tcBorders>
              <w:left w:val="single" w:sz="8" w:color="B4C6E7"/>
              <w:bottom w:val="single" w:sz="8" w:color="B4C6E7"/>
              <w:right w:val="single" w:sz="8" w:color="B4C6E7"/>
            </w:tcBorders>
            <w:vMerge w:val="continue"/>
          </w:tcPr>
          <w:p>
            <w:pPr>
              <w:spacing w:after="0"/>
              <w:rPr>
                <w:sz w:val="15"/>
                <w:szCs w:val="15"/>
                <w:color w:val="auto"/>
              </w:rPr>
            </w:pPr>
          </w:p>
        </w:tc>
        <w:tc>
          <w:tcPr>
            <w:tcW w:w="1900" w:type="dxa"/>
            <w:vAlign w:val="bottom"/>
            <w:tcBorders>
              <w:bottom w:val="single" w:sz="8" w:color="B4C6E7"/>
              <w:right w:val="single" w:sz="8" w:color="B4C6E7"/>
            </w:tcBorders>
          </w:tcPr>
          <w:p>
            <w:pPr>
              <w:ind w:left="80"/>
              <w:spacing w:after="0"/>
              <w:rPr>
                <w:sz w:val="20"/>
                <w:szCs w:val="20"/>
                <w:color w:val="auto"/>
              </w:rPr>
            </w:pPr>
            <w:r>
              <w:rPr>
                <w:rFonts w:ascii="Arial" w:cs="Arial" w:eastAsia="Arial" w:hAnsi="Arial"/>
                <w:sz w:val="15"/>
                <w:szCs w:val="15"/>
                <w:color w:val="auto"/>
              </w:rPr>
              <w:t>Affairs</w:t>
            </w:r>
          </w:p>
        </w:tc>
        <w:tc>
          <w:tcPr>
            <w:tcW w:w="1340" w:type="dxa"/>
            <w:vAlign w:val="bottom"/>
            <w:tcBorders>
              <w:bottom w:val="single" w:sz="8" w:color="B4C6E7"/>
              <w:right w:val="single" w:sz="8" w:color="B4C6E7"/>
            </w:tcBorders>
          </w:tcPr>
          <w:p>
            <w:pPr>
              <w:jc w:val="center"/>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 xml:space="preserve">For more details on changes to Executive Management, refer to the following press release published on Credicorp’s web page: </w:t>
      </w:r>
      <w:r>
        <w:rPr>
          <w:rFonts w:ascii="Arial" w:cs="Arial" w:eastAsia="Arial" w:hAnsi="Arial"/>
          <w:sz w:val="15"/>
          <w:szCs w:val="15"/>
          <w:i w:val="1"/>
          <w:iCs w:val="1"/>
          <w:u w:val="single" w:color="auto"/>
          <w:color w:val="0563C9"/>
        </w:rPr>
        <w:t>Press Release</w:t>
      </w:r>
      <w:r>
        <w:rPr>
          <w:rFonts w:ascii="Arial" w:cs="Arial" w:eastAsia="Arial" w:hAnsi="Arial"/>
          <w:sz w:val="15"/>
          <w:szCs w:val="15"/>
          <w:color w:val="auto"/>
        </w:rPr>
        <w:t xml:space="preserve"> and </w:t>
      </w:r>
      <w:r>
        <w:rPr>
          <w:rFonts w:ascii="Arial" w:cs="Arial" w:eastAsia="Arial" w:hAnsi="Arial"/>
          <w:sz w:val="15"/>
          <w:szCs w:val="15"/>
          <w:i w:val="1"/>
          <w:iCs w:val="1"/>
          <w:u w:val="single" w:color="auto"/>
          <w:color w:val="0563C9"/>
        </w:rPr>
        <w:t>SEC</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0563C9"/>
        </w:rPr>
        <w:t>Document.</w:t>
      </w:r>
    </w:p>
    <w:p>
      <w:pPr>
        <w:spacing w:after="0" w:line="155"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5"/>
          <w:szCs w:val="15"/>
          <w:color w:val="auto"/>
        </w:rPr>
        <w:t xml:space="preserve">For more information on the members of Executive Management, please consult the </w:t>
      </w:r>
      <w:r>
        <w:rPr>
          <w:rFonts w:ascii="Arial" w:cs="Arial" w:eastAsia="Arial" w:hAnsi="Arial"/>
          <w:sz w:val="15"/>
          <w:szCs w:val="15"/>
          <w:i w:val="1"/>
          <w:iCs w:val="1"/>
          <w:u w:val="single" w:color="auto"/>
          <w:color w:val="0563C9"/>
        </w:rPr>
        <w:t>Management Structure</w:t>
      </w:r>
      <w:r>
        <w:rPr>
          <w:rFonts w:ascii="Arial" w:cs="Arial" w:eastAsia="Arial" w:hAnsi="Arial"/>
          <w:sz w:val="15"/>
          <w:szCs w:val="15"/>
          <w:color w:val="auto"/>
        </w:rPr>
        <w:t xml:space="preserve"> section from our web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8834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8340" cy="7620"/>
                    </a:xfrm>
                    <a:prstGeom prst="rect">
                      <a:avLst/>
                    </a:prstGeom>
                    <a:noFill/>
                  </pic:spPr>
                </pic:pic>
              </a:graphicData>
            </a:graphic>
          </wp:anchor>
        </w:drawing>
      </w:r>
    </w:p>
    <w:p>
      <w:pPr>
        <w:spacing w:after="0" w:line="83" w:lineRule="exact"/>
        <w:rPr>
          <w:sz w:val="20"/>
          <w:szCs w:val="20"/>
          <w:color w:val="auto"/>
        </w:rPr>
      </w:pPr>
    </w:p>
    <w:p>
      <w:pPr>
        <w:ind w:left="188" w:hanging="188"/>
        <w:spacing w:after="0"/>
        <w:tabs>
          <w:tab w:leader="none" w:pos="188" w:val="left"/>
        </w:tabs>
        <w:numPr>
          <w:ilvl w:val="0"/>
          <w:numId w:val="98"/>
        </w:numPr>
        <w:rPr>
          <w:rFonts w:ascii="Arial" w:cs="Arial" w:eastAsia="Arial" w:hAnsi="Arial"/>
          <w:sz w:val="25"/>
          <w:szCs w:val="25"/>
          <w:color w:val="auto"/>
          <w:vertAlign w:val="superscript"/>
        </w:rPr>
      </w:pPr>
      <w:r>
        <w:rPr>
          <w:rFonts w:ascii="Arial" w:cs="Arial" w:eastAsia="Arial" w:hAnsi="Arial"/>
          <w:sz w:val="15"/>
          <w:szCs w:val="15"/>
          <w:color w:val="auto"/>
        </w:rPr>
        <w:t>As of December 31st, 2022, from Credicorp and its subsidiaries.</w:t>
      </w:r>
    </w:p>
    <w:p>
      <w:pPr>
        <w:jc w:val="both"/>
        <w:ind w:left="8" w:hanging="8"/>
        <w:spacing w:after="0" w:line="193" w:lineRule="auto"/>
        <w:tabs>
          <w:tab w:leader="none" w:pos="216" w:val="left"/>
        </w:tabs>
        <w:numPr>
          <w:ilvl w:val="0"/>
          <w:numId w:val="98"/>
        </w:numPr>
        <w:rPr>
          <w:rFonts w:ascii="Arial" w:cs="Arial" w:eastAsia="Arial" w:hAnsi="Arial"/>
          <w:sz w:val="26"/>
          <w:szCs w:val="26"/>
          <w:color w:val="auto"/>
          <w:vertAlign w:val="superscript"/>
        </w:rPr>
      </w:pPr>
      <w:r>
        <w:rPr>
          <w:rFonts w:ascii="Arial" w:cs="Arial" w:eastAsia="Arial" w:hAnsi="Arial"/>
          <w:sz w:val="15"/>
          <w:szCs w:val="15"/>
          <w:color w:val="auto"/>
        </w:rPr>
        <w:t>As the Executive Chairmen who takes part of management, the years of services to the Group of Luis Romero in the Senior Management differ from the figure presented as the Chairman of the Board.</w:t>
      </w:r>
    </w:p>
    <w:p>
      <w:pPr>
        <w:ind w:left="188" w:hanging="188"/>
        <w:spacing w:after="0" w:line="180" w:lineRule="auto"/>
        <w:tabs>
          <w:tab w:leader="none" w:pos="188" w:val="left"/>
        </w:tabs>
        <w:numPr>
          <w:ilvl w:val="0"/>
          <w:numId w:val="98"/>
        </w:numPr>
        <w:rPr>
          <w:rFonts w:ascii="Arial" w:cs="Arial" w:eastAsia="Arial" w:hAnsi="Arial"/>
          <w:sz w:val="20"/>
          <w:szCs w:val="20"/>
          <w:color w:val="auto"/>
          <w:vertAlign w:val="superscript"/>
        </w:rPr>
      </w:pPr>
      <w:r>
        <w:rPr>
          <w:rFonts w:ascii="Arial" w:cs="Arial" w:eastAsia="Arial" w:hAnsi="Arial"/>
          <w:sz w:val="13"/>
          <w:szCs w:val="13"/>
          <w:color w:val="auto"/>
        </w:rPr>
        <w:t>Assumed position on January 1st, 2022.</w:t>
      </w:r>
    </w:p>
    <w:p>
      <w:pPr>
        <w:ind w:left="8" w:hanging="8"/>
        <w:spacing w:after="0" w:line="182" w:lineRule="auto"/>
        <w:tabs>
          <w:tab w:leader="none" w:pos="216" w:val="left"/>
        </w:tabs>
        <w:numPr>
          <w:ilvl w:val="0"/>
          <w:numId w:val="98"/>
        </w:numPr>
        <w:rPr>
          <w:rFonts w:ascii="Arial" w:cs="Arial" w:eastAsia="Arial" w:hAnsi="Arial"/>
          <w:sz w:val="26"/>
          <w:szCs w:val="26"/>
          <w:color w:val="auto"/>
          <w:vertAlign w:val="superscript"/>
        </w:rPr>
      </w:pPr>
      <w:r>
        <w:rPr>
          <w:rFonts w:ascii="Arial" w:cs="Arial" w:eastAsia="Arial" w:hAnsi="Arial"/>
          <w:sz w:val="15"/>
          <w:szCs w:val="15"/>
          <w:color w:val="auto"/>
        </w:rPr>
        <w:t>Assumed position on February 1st, 2022. She maintains the position as Deputy General Manager of Individuals and Small Businesses at BCP.</w:t>
      </w:r>
    </w:p>
    <w:p>
      <w:pPr>
        <w:spacing w:after="0" w:line="20" w:lineRule="exact"/>
        <w:rPr>
          <w:sz w:val="20"/>
          <w:szCs w:val="20"/>
          <w:color w:val="auto"/>
        </w:rPr>
      </w:pPr>
      <w:r>
        <w:rPr>
          <w:sz w:val="20"/>
          <w:szCs w:val="20"/>
          <w:color w:val="auto"/>
        </w:rPr>
        <w:br w:type="column"/>
      </w:r>
    </w:p>
    <w:p>
      <w:pPr>
        <w:ind w:right="220"/>
        <w:spacing w:after="0" w:line="273" w:lineRule="auto"/>
        <w:rPr>
          <w:sz w:val="20"/>
          <w:szCs w:val="20"/>
          <w:color w:val="auto"/>
        </w:rPr>
      </w:pPr>
      <w:r>
        <w:rPr>
          <w:rFonts w:ascii="Arial" w:cs="Arial" w:eastAsia="Arial" w:hAnsi="Arial"/>
          <w:sz w:val="28"/>
          <w:szCs w:val="28"/>
          <w:b w:val="1"/>
          <w:bCs w:val="1"/>
          <w:color w:val="auto"/>
        </w:rPr>
        <w:t>Compensation Model for the Board and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43344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2-19, 2-20</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It is fundamental to provide adequate compensation to ensure that the Board is provided sufficient incentive to conduct in-depth supervision; establish corporate guidelines that lead to the right decisions; and motivate Management to act in the best interests of shareholders as we create value. This entails assuming prudent risks with an eye on the short and long term.</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Board Compensation</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Compensation for directors at Credicorp and its subsidiaries is approved by the General Shareholders’ Meeting at each entity. Total compensation is comprised on annual compensation for sitting on the Board plus additional compensation depending on the Board Committees to which each director belongs.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More details on the composition of compensation for the Boards of Credicorp and its subsidiaries can be found in document Form 20-F, which is published on our web page.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FF66CC"/>
        </w:rPr>
        <w:t>Compensation for the Executive Segment</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Credicorp’s Compensation Model seeks to strengthen strategies to attract and retain talent; align Executives with Credicorp’s interests; incorporate best practices in the market; and generate a match with the following philosophy:</w:t>
      </w:r>
    </w:p>
    <w:p>
      <w:pPr>
        <w:spacing w:after="0" w:line="137" w:lineRule="exact"/>
        <w:rPr>
          <w:sz w:val="20"/>
          <w:szCs w:val="20"/>
          <w:color w:val="auto"/>
        </w:rPr>
      </w:pPr>
    </w:p>
    <w:p>
      <w:pPr>
        <w:ind w:left="560" w:right="20" w:hanging="551"/>
        <w:spacing w:after="0" w:line="253" w:lineRule="auto"/>
        <w:tabs>
          <w:tab w:leader="none" w:pos="5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We attract and retain the best </w:t>
      </w:r>
      <w:r>
        <w:rPr>
          <w:rFonts w:ascii="Arial" w:cs="Arial" w:eastAsia="Arial" w:hAnsi="Arial"/>
          <w:sz w:val="15"/>
          <w:szCs w:val="15"/>
          <w:b w:val="1"/>
          <w:bCs w:val="1"/>
          <w:color w:val="auto"/>
        </w:rPr>
        <w:t>Local and International Talent</w:t>
      </w:r>
      <w:r>
        <w:rPr>
          <w:rFonts w:ascii="Arial" w:cs="Arial" w:eastAsia="Arial" w:hAnsi="Arial"/>
          <w:sz w:val="15"/>
          <w:szCs w:val="15"/>
          <w:color w:val="auto"/>
        </w:rPr>
        <w:t xml:space="preserve"> for Credicorp.</w:t>
      </w:r>
    </w:p>
    <w:p>
      <w:pPr>
        <w:ind w:left="560" w:right="20" w:hanging="551"/>
        <w:spacing w:after="0"/>
        <w:tabs>
          <w:tab w:leader="none" w:pos="5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We provide differentiated compensation to our Executives for </w:t>
      </w:r>
      <w:r>
        <w:rPr>
          <w:rFonts w:ascii="Arial" w:cs="Arial" w:eastAsia="Arial" w:hAnsi="Arial"/>
          <w:sz w:val="15"/>
          <w:szCs w:val="15"/>
          <w:b w:val="1"/>
          <w:bCs w:val="1"/>
          <w:color w:val="auto"/>
        </w:rPr>
        <w:t>high</w:t>
      </w:r>
      <w:r>
        <w:rPr>
          <w:rFonts w:ascii="Arial" w:cs="Arial" w:eastAsia="Arial" w:hAnsi="Arial"/>
          <w:sz w:val="15"/>
          <w:szCs w:val="15"/>
          <w:color w:val="auto"/>
        </w:rPr>
        <w:t xml:space="preserve"> </w:t>
      </w:r>
      <w:r>
        <w:rPr>
          <w:rFonts w:ascii="Arial" w:cs="Arial" w:eastAsia="Arial" w:hAnsi="Arial"/>
          <w:sz w:val="15"/>
          <w:szCs w:val="15"/>
          <w:b w:val="1"/>
          <w:bCs w:val="1"/>
          <w:color w:val="auto"/>
        </w:rPr>
        <w:t>performance and ethical behavior</w:t>
      </w:r>
      <w:r>
        <w:rPr>
          <w:rFonts w:ascii="Arial" w:cs="Arial" w:eastAsia="Arial" w:hAnsi="Arial"/>
          <w:sz w:val="15"/>
          <w:szCs w:val="15"/>
          <w:color w:val="auto"/>
        </w:rPr>
        <w:t>.</w:t>
      </w:r>
    </w:p>
    <w:p>
      <w:pPr>
        <w:ind w:left="560" w:right="20" w:hanging="551"/>
        <w:spacing w:after="0"/>
        <w:tabs>
          <w:tab w:leader="none" w:pos="560" w:val="left"/>
        </w:tabs>
        <w:numPr>
          <w:ilvl w:val="0"/>
          <w:numId w:val="99"/>
        </w:numPr>
        <w:rPr>
          <w:rFonts w:ascii="Arial" w:cs="Arial" w:eastAsia="Arial" w:hAnsi="Arial"/>
          <w:sz w:val="15"/>
          <w:szCs w:val="15"/>
          <w:color w:val="auto"/>
        </w:rPr>
      </w:pPr>
      <w:r>
        <w:rPr>
          <w:rFonts w:ascii="Arial" w:cs="Arial" w:eastAsia="Arial" w:hAnsi="Arial"/>
          <w:sz w:val="15"/>
          <w:szCs w:val="15"/>
          <w:b w:val="1"/>
          <w:bCs w:val="1"/>
          <w:color w:val="auto"/>
        </w:rPr>
        <w:t xml:space="preserve">We align the interests </w:t>
      </w:r>
      <w:r>
        <w:rPr>
          <w:rFonts w:ascii="Arial" w:cs="Arial" w:eastAsia="Arial" w:hAnsi="Arial"/>
          <w:sz w:val="15"/>
          <w:szCs w:val="15"/>
          <w:color w:val="auto"/>
        </w:rPr>
        <w:t>of Executives and Shareholders by sharing</w:t>
      </w:r>
      <w:r>
        <w:rPr>
          <w:rFonts w:ascii="Arial" w:cs="Arial" w:eastAsia="Arial" w:hAnsi="Arial"/>
          <w:sz w:val="15"/>
          <w:szCs w:val="15"/>
          <w:b w:val="1"/>
          <w:bCs w:val="1"/>
          <w:color w:val="auto"/>
        </w:rPr>
        <w:t xml:space="preserve"> </w:t>
      </w:r>
      <w:r>
        <w:rPr>
          <w:rFonts w:ascii="Arial" w:cs="Arial" w:eastAsia="Arial" w:hAnsi="Arial"/>
          <w:sz w:val="15"/>
          <w:szCs w:val="15"/>
          <w:color w:val="auto"/>
        </w:rPr>
        <w:t>Credicorp’s success and risks.</w:t>
      </w:r>
    </w:p>
    <w:p>
      <w:pPr>
        <w:ind w:left="560" w:right="20" w:hanging="551"/>
        <w:spacing w:after="0"/>
        <w:tabs>
          <w:tab w:leader="none" w:pos="5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We generate passion to </w:t>
      </w:r>
      <w:r>
        <w:rPr>
          <w:rFonts w:ascii="Arial" w:cs="Arial" w:eastAsia="Arial" w:hAnsi="Arial"/>
          <w:sz w:val="15"/>
          <w:szCs w:val="15"/>
          <w:b w:val="1"/>
          <w:bCs w:val="1"/>
          <w:color w:val="auto"/>
        </w:rPr>
        <w:t>create long-term value</w:t>
      </w:r>
      <w:r>
        <w:rPr>
          <w:rFonts w:ascii="Arial" w:cs="Arial" w:eastAsia="Arial" w:hAnsi="Arial"/>
          <w:sz w:val="15"/>
          <w:szCs w:val="15"/>
          <w:color w:val="auto"/>
        </w:rPr>
        <w:t xml:space="preserve"> for Credicorp and its stakeholders.</w:t>
      </w:r>
    </w:p>
    <w:p>
      <w:pPr>
        <w:jc w:val="both"/>
        <w:ind w:left="560" w:right="20" w:hanging="551"/>
        <w:spacing w:after="0"/>
        <w:tabs>
          <w:tab w:leader="none" w:pos="5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We are </w:t>
      </w:r>
      <w:r>
        <w:rPr>
          <w:rFonts w:ascii="Arial" w:cs="Arial" w:eastAsia="Arial" w:hAnsi="Arial"/>
          <w:sz w:val="15"/>
          <w:szCs w:val="15"/>
          <w:b w:val="1"/>
          <w:bCs w:val="1"/>
          <w:color w:val="auto"/>
        </w:rPr>
        <w:t>transparent about our management</w:t>
      </w:r>
      <w:r>
        <w:rPr>
          <w:rFonts w:ascii="Arial" w:cs="Arial" w:eastAsia="Arial" w:hAnsi="Arial"/>
          <w:sz w:val="15"/>
          <w:szCs w:val="15"/>
          <w:color w:val="auto"/>
        </w:rPr>
        <w:t xml:space="preserve"> of performance and compensation, and provide Executives for easy-to-understand models.</w:t>
      </w:r>
    </w:p>
    <w:p>
      <w:pPr>
        <w:ind w:left="560" w:right="20" w:hanging="551"/>
        <w:spacing w:after="0" w:line="258" w:lineRule="auto"/>
        <w:tabs>
          <w:tab w:leader="none" w:pos="5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We promote </w:t>
      </w:r>
      <w:r>
        <w:rPr>
          <w:rFonts w:ascii="Arial" w:cs="Arial" w:eastAsia="Arial" w:hAnsi="Arial"/>
          <w:sz w:val="15"/>
          <w:szCs w:val="15"/>
          <w:b w:val="1"/>
          <w:bCs w:val="1"/>
          <w:color w:val="auto"/>
        </w:rPr>
        <w:t>diversity by ensuring equitable payment</w:t>
      </w:r>
      <w:r>
        <w:rPr>
          <w:rFonts w:ascii="Arial" w:cs="Arial" w:eastAsia="Arial" w:hAnsi="Arial"/>
          <w:sz w:val="15"/>
          <w:szCs w:val="15"/>
          <w:color w:val="auto"/>
        </w:rPr>
        <w:t xml:space="preserve"> and </w:t>
      </w:r>
      <w:r>
        <w:rPr>
          <w:rFonts w:ascii="Arial" w:cs="Arial" w:eastAsia="Arial" w:hAnsi="Arial"/>
          <w:sz w:val="15"/>
          <w:szCs w:val="15"/>
          <w:b w:val="1"/>
          <w:bCs w:val="1"/>
          <w:color w:val="auto"/>
        </w:rPr>
        <w:t>equal</w:t>
      </w:r>
      <w:r>
        <w:rPr>
          <w:rFonts w:ascii="Arial" w:cs="Arial" w:eastAsia="Arial" w:hAnsi="Arial"/>
          <w:sz w:val="15"/>
          <w:szCs w:val="15"/>
          <w:color w:val="auto"/>
        </w:rPr>
        <w:t xml:space="preserve"> </w:t>
      </w:r>
      <w:r>
        <w:rPr>
          <w:rFonts w:ascii="Arial" w:cs="Arial" w:eastAsia="Arial" w:hAnsi="Arial"/>
          <w:sz w:val="15"/>
          <w:szCs w:val="15"/>
          <w:b w:val="1"/>
          <w:bCs w:val="1"/>
          <w:color w:val="auto"/>
        </w:rPr>
        <w:t>opportunities</w:t>
      </w:r>
      <w:r>
        <w:rPr>
          <w:rFonts w:ascii="Arial" w:cs="Arial" w:eastAsia="Arial" w:hAnsi="Arial"/>
          <w:sz w:val="15"/>
          <w:szCs w:val="15"/>
          <w:color w:val="auto"/>
        </w:rPr>
        <w:t>.</w:t>
      </w:r>
    </w:p>
    <w:p>
      <w:pPr>
        <w:spacing w:after="0" w:line="148" w:lineRule="exact"/>
        <w:rPr>
          <w:sz w:val="20"/>
          <w:szCs w:val="20"/>
          <w:color w:val="auto"/>
        </w:rPr>
      </w:pPr>
    </w:p>
    <w:p>
      <w:pPr>
        <w:ind w:right="20" w:firstLine="9"/>
        <w:spacing w:after="0" w:line="180" w:lineRule="auto"/>
        <w:tabs>
          <w:tab w:leader="none" w:pos="208" w:val="left"/>
        </w:tabs>
        <w:numPr>
          <w:ilvl w:val="0"/>
          <w:numId w:val="100"/>
        </w:numPr>
        <w:rPr>
          <w:rFonts w:ascii="Arial" w:cs="Arial" w:eastAsia="Arial" w:hAnsi="Arial"/>
          <w:sz w:val="25"/>
          <w:szCs w:val="25"/>
          <w:color w:val="auto"/>
          <w:vertAlign w:val="superscript"/>
        </w:rPr>
      </w:pPr>
      <w:r>
        <w:rPr>
          <w:rFonts w:ascii="Arial" w:cs="Arial" w:eastAsia="Arial" w:hAnsi="Arial"/>
          <w:sz w:val="15"/>
          <w:szCs w:val="15"/>
          <w:color w:val="auto"/>
        </w:rPr>
        <w:t>Assumed position on January 1st, 2022. In the same date, assumed as General Manager at BCP</w:t>
      </w:r>
    </w:p>
    <w:p>
      <w:pPr>
        <w:ind w:firstLine="9"/>
        <w:spacing w:after="0" w:line="195" w:lineRule="auto"/>
        <w:tabs>
          <w:tab w:leader="none" w:pos="185" w:val="left"/>
        </w:tabs>
        <w:numPr>
          <w:ilvl w:val="0"/>
          <w:numId w:val="100"/>
        </w:numPr>
        <w:rPr>
          <w:rFonts w:ascii="Arial" w:cs="Arial" w:eastAsia="Arial" w:hAnsi="Arial"/>
          <w:sz w:val="23"/>
          <w:szCs w:val="23"/>
          <w:color w:val="auto"/>
          <w:vertAlign w:val="superscript"/>
        </w:rPr>
      </w:pPr>
      <w:r>
        <w:rPr>
          <w:rFonts w:ascii="Arial" w:cs="Arial" w:eastAsia="Arial" w:hAnsi="Arial"/>
          <w:sz w:val="14"/>
          <w:szCs w:val="14"/>
          <w:color w:val="auto"/>
        </w:rPr>
        <w:t>Assumed position on February 1st, 2022. He maintains the position as CEO at Pacífico Compañía de Seguros y Reaseguros.</w:t>
      </w:r>
    </w:p>
    <w:p>
      <w:pPr>
        <w:ind w:firstLine="9"/>
        <w:spacing w:after="0" w:line="226" w:lineRule="auto"/>
        <w:tabs>
          <w:tab w:leader="none" w:pos="185" w:val="left"/>
        </w:tabs>
        <w:numPr>
          <w:ilvl w:val="0"/>
          <w:numId w:val="100"/>
        </w:numPr>
        <w:rPr>
          <w:rFonts w:ascii="Arial" w:cs="Arial" w:eastAsia="Arial" w:hAnsi="Arial"/>
          <w:sz w:val="23"/>
          <w:szCs w:val="23"/>
          <w:color w:val="auto"/>
          <w:vertAlign w:val="superscript"/>
        </w:rPr>
      </w:pPr>
      <w:r>
        <w:rPr>
          <w:rFonts w:ascii="Arial" w:cs="Arial" w:eastAsia="Arial" w:hAnsi="Arial"/>
          <w:sz w:val="14"/>
          <w:szCs w:val="14"/>
          <w:color w:val="auto"/>
        </w:rPr>
        <w:t>Following the resign of Ms. Miriam Nelsi Böttger Egg, Mr. Morales assumed the Deputy Secretary position on May 1</w:t>
      </w:r>
      <w:r>
        <w:rPr>
          <w:rFonts w:ascii="Arial" w:cs="Arial" w:eastAsia="Arial" w:hAnsi="Arial"/>
          <w:sz w:val="22"/>
          <w:szCs w:val="22"/>
          <w:color w:val="auto"/>
          <w:vertAlign w:val="superscript"/>
        </w:rPr>
        <w:t>st</w:t>
      </w:r>
      <w:r>
        <w:rPr>
          <w:rFonts w:ascii="Arial" w:cs="Arial" w:eastAsia="Arial" w:hAnsi="Arial"/>
          <w:sz w:val="14"/>
          <w:szCs w:val="14"/>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282" w:right="319" w:bottom="1440" w:gutter="0" w:footer="0" w:header="0"/>
        </w:sectPr>
      </w:pPr>
    </w:p>
    <w:bookmarkStart w:id="140" w:name="page141"/>
    <w:bookmarkEnd w:id="140"/>
    <w:p>
      <w:pPr>
        <w:spacing w:after="0" w:line="18"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The body responsible for ensuring that we have a Compensation policy and model that allows us to attract and retain suitable talent is Credicorp’s Compensation and Nominations Committees. As we commented in the section on Board Committees, one of the main functions on the Compensation front is:</w:t>
      </w:r>
    </w:p>
    <w:p>
      <w:pPr>
        <w:spacing w:after="0" w:line="157" w:lineRule="exact"/>
        <w:rPr>
          <w:sz w:val="20"/>
          <w:szCs w:val="20"/>
          <w:color w:val="auto"/>
        </w:rPr>
      </w:pPr>
    </w:p>
    <w:p>
      <w:pPr>
        <w:ind w:left="548" w:hanging="548"/>
        <w:spacing w:after="0"/>
        <w:tabs>
          <w:tab w:leader="none" w:pos="54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Define Credicorp’s Compensation Policy and Model.</w:t>
      </w:r>
    </w:p>
    <w:p>
      <w:pPr>
        <w:jc w:val="both"/>
        <w:ind w:left="548" w:right="940" w:hanging="548"/>
        <w:spacing w:after="0" w:line="249" w:lineRule="auto"/>
        <w:tabs>
          <w:tab w:leader="none" w:pos="54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Approve proposals for Total Compensation, which include incentive plans and adjustments for salaries for Executive Management at Credicorp.</w:t>
      </w:r>
    </w:p>
    <w:p>
      <w:pPr>
        <w:spacing w:after="0" w:line="155" w:lineRule="exact"/>
        <w:rPr>
          <w:sz w:val="20"/>
          <w:szCs w:val="20"/>
          <w:color w:val="auto"/>
        </w:rPr>
      </w:pPr>
    </w:p>
    <w:p>
      <w:pPr>
        <w:ind w:left="8" w:right="160"/>
        <w:spacing w:after="0" w:line="249" w:lineRule="auto"/>
        <w:rPr>
          <w:sz w:val="20"/>
          <w:szCs w:val="20"/>
          <w:color w:val="auto"/>
        </w:rPr>
      </w:pPr>
      <w:r>
        <w:rPr>
          <w:rFonts w:ascii="Arial" w:cs="Arial" w:eastAsia="Arial" w:hAnsi="Arial"/>
          <w:sz w:val="15"/>
          <w:szCs w:val="15"/>
          <w:color w:val="auto"/>
        </w:rPr>
        <w:t>The Corporate Manager of Compensation at Credicorp participates in the sessions of the Committee on a permanent basis to provide technical support in his area of expertise.</w:t>
      </w:r>
    </w:p>
    <w:p>
      <w:pPr>
        <w:spacing w:after="0" w:line="155" w:lineRule="exact"/>
        <w:rPr>
          <w:sz w:val="20"/>
          <w:szCs w:val="20"/>
          <w:color w:val="auto"/>
        </w:rPr>
      </w:pPr>
    </w:p>
    <w:p>
      <w:pPr>
        <w:ind w:left="8" w:right="40"/>
        <w:spacing w:after="0" w:line="252" w:lineRule="auto"/>
        <w:rPr>
          <w:sz w:val="20"/>
          <w:szCs w:val="20"/>
          <w:color w:val="auto"/>
        </w:rPr>
      </w:pPr>
      <w:r>
        <w:rPr>
          <w:rFonts w:ascii="Arial" w:cs="Arial" w:eastAsia="Arial" w:hAnsi="Arial"/>
          <w:sz w:val="15"/>
          <w:szCs w:val="15"/>
          <w:color w:val="auto"/>
        </w:rPr>
        <w:t>Credicorp’s Compensation management seeks to guarantee a balance between Executives’ Total Compensation and the Group’s competitive capacity to:</w:t>
      </w:r>
    </w:p>
    <w:p>
      <w:pPr>
        <w:spacing w:after="0" w:line="330" w:lineRule="exact"/>
        <w:rPr>
          <w:sz w:val="20"/>
          <w:szCs w:val="20"/>
          <w:color w:val="auto"/>
        </w:rPr>
      </w:pPr>
    </w:p>
    <w:p>
      <w:pPr>
        <w:ind w:left="548" w:hanging="548"/>
        <w:spacing w:after="0"/>
        <w:tabs>
          <w:tab w:leader="none" w:pos="5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Attract competent and qualified personnel.</w:t>
      </w:r>
    </w:p>
    <w:p>
      <w:pPr>
        <w:ind w:left="548" w:hanging="548"/>
        <w:spacing w:after="0"/>
        <w:tabs>
          <w:tab w:leader="none" w:pos="5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Retain the most qualified talent.</w:t>
      </w:r>
    </w:p>
    <w:p>
      <w:pPr>
        <w:ind w:left="548" w:right="140" w:hanging="548"/>
        <w:spacing w:after="0"/>
        <w:tabs>
          <w:tab w:leader="none" w:pos="5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Reward those who contribute more to the achievement of institutional goals.</w:t>
      </w:r>
    </w:p>
    <w:p>
      <w:pPr>
        <w:ind w:left="548" w:hanging="548"/>
        <w:spacing w:after="0"/>
        <w:tabs>
          <w:tab w:leader="none" w:pos="5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Keep personnel motivated.</w:t>
      </w:r>
    </w:p>
    <w:p>
      <w:pPr>
        <w:ind w:left="548" w:hanging="548"/>
        <w:spacing w:after="0"/>
        <w:tabs>
          <w:tab w:leader="none" w:pos="5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Improve the organization’s efficiency.</w:t>
      </w:r>
    </w:p>
    <w:p>
      <w:pPr>
        <w:ind w:left="548" w:hanging="548"/>
        <w:spacing w:after="0"/>
        <w:tabs>
          <w:tab w:leader="none" w:pos="5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Guarantee the rationality of the budget for salaries.</w:t>
      </w:r>
    </w:p>
    <w:p>
      <w:pPr>
        <w:ind w:left="548" w:hanging="548"/>
        <w:spacing w:after="0"/>
        <w:tabs>
          <w:tab w:leader="none" w:pos="5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Comply with pertinent regulations and laws.</w:t>
      </w:r>
    </w:p>
    <w:p>
      <w:pPr>
        <w:spacing w:after="0" w:line="173"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To ensure that compensation is consistent across the business, we consider the relative value of positions and executives’ performance levels. To measure the value of the position, Credicorp utilizes an International Methodology of factors and points developed by the Hay Group, which classifies and orders positions based on content and requirements related to Knowledge, Complexity and Responsibility for Results.</w:t>
      </w:r>
    </w:p>
    <w:p>
      <w:pPr>
        <w:spacing w:after="0" w:line="158"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The Hay Group’s Methodology is used by many public and private organizations in North America, Latin America and Europe as a basis to establish fair and equitable compensation practices in accordance with abilities, effort and responsibility, regardless of gender, race, creed, age or marital status. This ensures that our practices are neutral and respect applicable legal frameworks.</w:t>
      </w:r>
    </w:p>
    <w:p>
      <w:pPr>
        <w:spacing w:after="0" w:line="334" w:lineRule="exact"/>
        <w:rPr>
          <w:sz w:val="20"/>
          <w:szCs w:val="20"/>
          <w:color w:val="auto"/>
        </w:rPr>
      </w:pPr>
    </w:p>
    <w:p>
      <w:pPr>
        <w:jc w:val="both"/>
        <w:ind w:left="8"/>
        <w:spacing w:after="0" w:line="245" w:lineRule="auto"/>
        <w:rPr>
          <w:sz w:val="20"/>
          <w:szCs w:val="20"/>
          <w:color w:val="auto"/>
        </w:rPr>
      </w:pPr>
      <w:r>
        <w:rPr>
          <w:rFonts w:ascii="Arial" w:cs="Arial" w:eastAsia="Arial" w:hAnsi="Arial"/>
          <w:sz w:val="15"/>
          <w:szCs w:val="15"/>
          <w:color w:val="auto"/>
        </w:rPr>
        <w:t>Total Annual Compensation (TAC) of our Executives is comprised on a Fixed Salary with two variable components, the Short-term Incentive and Long-term Incentive. Variable components become more relevant the higher you move up the employment hierarchy. Total Annual Compensation is as determined as follows:</w:t>
      </w:r>
    </w:p>
    <w:p>
      <w:pPr>
        <w:spacing w:after="0" w:line="138" w:lineRule="exact"/>
        <w:rPr>
          <w:sz w:val="20"/>
          <w:szCs w:val="20"/>
          <w:color w:val="auto"/>
        </w:rPr>
      </w:pPr>
    </w:p>
    <w:tbl>
      <w:tblPr>
        <w:tblLayout w:type="fixed"/>
        <w:tblInd w:w="18" w:type="dxa"/>
        <w:tblCellMar>
          <w:top w:w="0" w:type="dxa"/>
          <w:left w:w="0" w:type="dxa"/>
          <w:bottom w:w="0" w:type="dxa"/>
          <w:right w:w="0" w:type="dxa"/>
        </w:tblCellMar>
      </w:tblPr>
      <w:tr>
        <w:trPr>
          <w:trHeight w:val="184"/>
        </w:trPr>
        <w:tc>
          <w:tcPr>
            <w:tcW w:w="2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Fixed Salary</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Variable Incentives</w:t>
            </w:r>
          </w:p>
        </w:tc>
      </w:tr>
      <w:tr>
        <w:trPr>
          <w:trHeight w:val="164"/>
        </w:trPr>
        <w:tc>
          <w:tcPr>
            <w:tcW w:w="276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Between 30 and 55%</w:t>
            </w:r>
          </w:p>
        </w:tc>
        <w:tc>
          <w:tcPr>
            <w:tcW w:w="26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Between 45% and 70%</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66CC"/>
        </w:rPr>
        <w:t>Fixed and variable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Fixed Salary</w:t>
      </w:r>
    </w:p>
    <w:p>
      <w:pPr>
        <w:spacing w:after="0" w:line="1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Fixed salary corresponds to the payment that is assured under contract and in accordance with the legal framework of the country in which Credicorp operates. This amount is based on the value that Credicorp has set and reflects the level of responsibility of the corresponding functions and is not linked, under any circumstances, to variable parameters or results obtained.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Decisions regarding salary increases for managers that are part of the</w:t>
      </w:r>
    </w:p>
    <w:p>
      <w:pPr>
        <w:spacing w:after="0"/>
        <w:rPr>
          <w:sz w:val="20"/>
          <w:szCs w:val="20"/>
          <w:color w:val="auto"/>
        </w:rPr>
      </w:pPr>
      <w:r>
        <w:rPr>
          <w:rFonts w:ascii="Arial" w:cs="Arial" w:eastAsia="Arial" w:hAnsi="Arial"/>
          <w:sz w:val="15"/>
          <w:szCs w:val="15"/>
          <w:color w:val="auto"/>
        </w:rPr>
        <w:t>Executive segment are based on:</w:t>
      </w:r>
    </w:p>
    <w:p>
      <w:pPr>
        <w:spacing w:after="0" w:line="173" w:lineRule="exact"/>
        <w:rPr>
          <w:sz w:val="20"/>
          <w:szCs w:val="20"/>
          <w:color w:val="auto"/>
        </w:rPr>
      </w:pPr>
    </w:p>
    <w:p>
      <w:pPr>
        <w:ind w:left="560" w:hanging="274"/>
        <w:spacing w:after="0"/>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Trend reflected in performance assessments.</w:t>
      </w:r>
    </w:p>
    <w:p>
      <w:pPr>
        <w:ind w:left="560" w:hanging="274"/>
        <w:spacing w:after="0"/>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Positioning within each salary band.</w:t>
      </w:r>
    </w:p>
    <w:p>
      <w:pPr>
        <w:ind w:left="560" w:hanging="274"/>
        <w:spacing w:after="0"/>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Salary equity.</w:t>
      </w:r>
    </w:p>
    <w:p>
      <w:pPr>
        <w:ind w:left="560" w:hanging="274"/>
        <w:spacing w:after="0"/>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Seniority.</w:t>
      </w:r>
    </w:p>
    <w:p>
      <w:pPr>
        <w:ind w:left="560" w:hanging="274"/>
        <w:spacing w:after="0"/>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Talent measurements.</w:t>
      </w:r>
    </w:p>
    <w:p>
      <w:pPr>
        <w:ind w:left="560" w:hanging="274"/>
        <w:spacing w:after="0"/>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Organizational budget.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Short-term incentive (STI)</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Short-term incentives at Credicorp provide compensation for meeting annual objectives/targets set by Credicorp and is based on the position held and given in cash.</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performance sheets of Credicorp’s main executives are comprised on financial, operating and sustainability-related indicators (ESG). These variables vary by company and are aligned with the corporate business strategy and/or the subsidiary’s strategy where applicable. It is important to note that payment of short-term compensation is activated when the minimum level set for Credicorp’s Net Income is achieved and depends on the percentage by which said minimum is exceeded.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Long-term incentive (LTI)</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Credicorp seeks to align the interests of Executives and shareholders by sharing Credicorp’s success and risks and promoting long-term value creation for the organization and its stakeholders.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Our long-term incentives consist of two components of payment:</w:t>
      </w:r>
    </w:p>
    <w:p>
      <w:pPr>
        <w:spacing w:after="0" w:line="155" w:lineRule="exact"/>
        <w:rPr>
          <w:sz w:val="20"/>
          <w:szCs w:val="20"/>
          <w:color w:val="auto"/>
        </w:rPr>
      </w:pPr>
    </w:p>
    <w:p>
      <w:pPr>
        <w:jc w:val="both"/>
        <w:ind w:left="560" w:right="20" w:hanging="551"/>
        <w:spacing w:after="0" w:line="248" w:lineRule="auto"/>
        <w:tabs>
          <w:tab w:leader="none" w:pos="560"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LTI for Retention</w:t>
      </w:r>
      <w:r>
        <w:rPr>
          <w:rFonts w:ascii="Arial" w:cs="Arial" w:eastAsia="Arial" w:hAnsi="Arial"/>
          <w:sz w:val="15"/>
          <w:szCs w:val="15"/>
          <w:color w:val="auto"/>
        </w:rPr>
        <w:t>: The objective is to retain Credicorp’s Executives</w:t>
      </w:r>
      <w:r>
        <w:rPr>
          <w:rFonts w:ascii="Arial" w:cs="Arial" w:eastAsia="Arial" w:hAnsi="Arial"/>
          <w:sz w:val="15"/>
          <w:szCs w:val="15"/>
          <w:b w:val="1"/>
          <w:bCs w:val="1"/>
          <w:color w:val="auto"/>
        </w:rPr>
        <w:t xml:space="preserve"> </w:t>
      </w:r>
      <w:r>
        <w:rPr>
          <w:rFonts w:ascii="Arial" w:cs="Arial" w:eastAsia="Arial" w:hAnsi="Arial"/>
          <w:sz w:val="15"/>
          <w:szCs w:val="15"/>
          <w:color w:val="auto"/>
        </w:rPr>
        <w:t>through deliveries of Restricted Shares (BAP) for a period of 3 years with releases equal to 1/3 each year.</w:t>
      </w:r>
    </w:p>
    <w:p>
      <w:pPr>
        <w:spacing w:after="0" w:line="2" w:lineRule="exact"/>
        <w:rPr>
          <w:rFonts w:ascii="Arial" w:cs="Arial" w:eastAsia="Arial" w:hAnsi="Arial"/>
          <w:sz w:val="15"/>
          <w:szCs w:val="15"/>
          <w:color w:val="auto"/>
        </w:rPr>
      </w:pPr>
    </w:p>
    <w:p>
      <w:pPr>
        <w:jc w:val="both"/>
        <w:ind w:left="560" w:right="20" w:hanging="551"/>
        <w:spacing w:after="0" w:line="246" w:lineRule="auto"/>
        <w:tabs>
          <w:tab w:leader="none" w:pos="560"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 xml:space="preserve">LTI for Value Generation: </w:t>
      </w:r>
      <w:r>
        <w:rPr>
          <w:rFonts w:ascii="Arial" w:cs="Arial" w:eastAsia="Arial" w:hAnsi="Arial"/>
          <w:sz w:val="15"/>
          <w:szCs w:val="15"/>
          <w:color w:val="auto"/>
        </w:rPr>
        <w:t>The objective is to guide performance of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Executives to create long-term value for Credicorp by linking compensation with fulfilment of indicators. This incentive will be implemented beginning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294" w:right="319"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b w:val="1"/>
          <w:bCs w:val="1"/>
          <w:color w:val="auto"/>
        </w:rPr>
        <w:t>Sustainability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3344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2-12, 2-13, 2-14, 2-16, 2-17</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201F1E"/>
        </w:rPr>
        <w:t xml:space="preserve">The objective of the sustainability structure is to increase sustainability’s </w:t>
      </w:r>
      <w:r>
        <w:rPr>
          <w:rFonts w:ascii="Arial" w:cs="Arial" w:eastAsia="Arial" w:hAnsi="Arial"/>
          <w:sz w:val="15"/>
          <w:szCs w:val="15"/>
          <w:b w:val="1"/>
          <w:bCs w:val="1"/>
          <w:color w:val="201F1E"/>
        </w:rPr>
        <w:t xml:space="preserve">visibility </w:t>
      </w:r>
      <w:r>
        <w:rPr>
          <w:rFonts w:ascii="Arial" w:cs="Arial" w:eastAsia="Arial" w:hAnsi="Arial"/>
          <w:sz w:val="15"/>
          <w:szCs w:val="15"/>
          <w:color w:val="201F1E"/>
        </w:rPr>
        <w:t>in key forums inside the organization and establish clear</w:t>
      </w:r>
      <w:r>
        <w:rPr>
          <w:rFonts w:ascii="Arial" w:cs="Arial" w:eastAsia="Arial" w:hAnsi="Arial"/>
          <w:sz w:val="15"/>
          <w:szCs w:val="15"/>
          <w:b w:val="1"/>
          <w:bCs w:val="1"/>
          <w:color w:val="201F1E"/>
        </w:rPr>
        <w:t xml:space="preserve"> responsibilities </w:t>
      </w:r>
      <w:r>
        <w:rPr>
          <w:rFonts w:ascii="Arial" w:cs="Arial" w:eastAsia="Arial" w:hAnsi="Arial"/>
          <w:sz w:val="15"/>
          <w:szCs w:val="15"/>
          <w:color w:val="201F1E"/>
        </w:rPr>
        <w:t>with regard strategy and its successful execution and decision</w:t>
      </w:r>
      <w:r>
        <w:rPr>
          <w:rFonts w:ascii="Arial" w:cs="Arial" w:eastAsia="Arial" w:hAnsi="Arial"/>
          <w:sz w:val="15"/>
          <w:szCs w:val="15"/>
          <w:b w:val="1"/>
          <w:bCs w:val="1"/>
          <w:color w:val="201F1E"/>
        </w:rPr>
        <w:t xml:space="preserve"> </w:t>
      </w:r>
      <w:r>
        <w:rPr>
          <w:rFonts w:ascii="Arial" w:cs="Arial" w:eastAsia="Arial" w:hAnsi="Arial"/>
          <w:sz w:val="15"/>
          <w:szCs w:val="15"/>
          <w:color w:val="201F1E"/>
        </w:rPr>
        <w:t>making at Credicorp and the subsidiaries.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201F1E"/>
        </w:rPr>
        <w:t>We have developed a series of key roles and forums to complement existing governance structures to drive the implementation of the sustainability strategy developed at the corporate level and align actions across subsidiaries. Our work to involve the Board and leadership at the organization has played a key role in our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2562225" cy="9226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62225" cy="922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Additionally,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-1579880</wp:posOffset>
            </wp:positionV>
            <wp:extent cx="2562225" cy="13614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62225" cy="1361440"/>
                    </a:xfrm>
                    <a:prstGeom prst="rect">
                      <a:avLst/>
                    </a:prstGeom>
                    <a:noFill/>
                  </pic:spPr>
                </pic:pic>
              </a:graphicData>
            </a:graphic>
          </wp:anchor>
        </w:drawing>
      </w:r>
    </w:p>
    <w:p>
      <w:pPr>
        <w:spacing w:after="0" w:line="135" w:lineRule="exact"/>
        <w:rPr>
          <w:sz w:val="20"/>
          <w:szCs w:val="20"/>
          <w:color w:val="auto"/>
        </w:rPr>
      </w:pPr>
    </w:p>
    <w:p>
      <w:pPr>
        <w:jc w:val="both"/>
        <w:ind w:left="560" w:right="20" w:hanging="551"/>
        <w:spacing w:after="0" w:line="245" w:lineRule="auto"/>
        <w:tabs>
          <w:tab w:leader="none" w:pos="560" w:val="left"/>
        </w:tabs>
        <w:numPr>
          <w:ilvl w:val="0"/>
          <w:numId w:val="105"/>
        </w:numPr>
        <w:rPr>
          <w:rFonts w:ascii="Arial" w:cs="Arial" w:eastAsia="Arial" w:hAnsi="Arial"/>
          <w:sz w:val="15"/>
          <w:szCs w:val="15"/>
          <w:color w:val="201F1E"/>
        </w:rPr>
      </w:pPr>
      <w:r>
        <w:rPr>
          <w:rFonts w:ascii="Arial" w:cs="Arial" w:eastAsia="Arial" w:hAnsi="Arial"/>
          <w:sz w:val="15"/>
          <w:szCs w:val="15"/>
          <w:b w:val="1"/>
          <w:bCs w:val="1"/>
          <w:color w:val="201F1E"/>
        </w:rPr>
        <w:t>A Corporate Sustainability Leader</w:t>
      </w:r>
      <w:r>
        <w:rPr>
          <w:rFonts w:ascii="Arial" w:cs="Arial" w:eastAsia="Arial" w:hAnsi="Arial"/>
          <w:sz w:val="15"/>
          <w:szCs w:val="15"/>
          <w:color w:val="201F1E"/>
        </w:rPr>
        <w:t>: reports directly to the</w:t>
      </w:r>
      <w:r>
        <w:rPr>
          <w:rFonts w:ascii="Arial" w:cs="Arial" w:eastAsia="Arial" w:hAnsi="Arial"/>
          <w:sz w:val="15"/>
          <w:szCs w:val="15"/>
          <w:b w:val="1"/>
          <w:bCs w:val="1"/>
          <w:color w:val="201F1E"/>
        </w:rPr>
        <w:t xml:space="preserve"> </w:t>
      </w:r>
      <w:r>
        <w:rPr>
          <w:rFonts w:ascii="Arial" w:cs="Arial" w:eastAsia="Arial" w:hAnsi="Arial"/>
          <w:sz w:val="15"/>
          <w:szCs w:val="15"/>
          <w:color w:val="201F1E"/>
        </w:rPr>
        <w:t>Sustainability Sponsor and is in charge of the Corporate Sustainability Office; supports the Sponsor in initiatives to moderate the sessions of the Sustainability Committees; the Steerco of Sustainability and of the Working Group for Sustainability.</w:t>
      </w:r>
    </w:p>
    <w:p>
      <w:pPr>
        <w:spacing w:after="0" w:line="2" w:lineRule="exact"/>
        <w:rPr>
          <w:rFonts w:ascii="Arial" w:cs="Arial" w:eastAsia="Arial" w:hAnsi="Arial"/>
          <w:sz w:val="15"/>
          <w:szCs w:val="15"/>
          <w:color w:val="201F1E"/>
        </w:rPr>
      </w:pPr>
    </w:p>
    <w:p>
      <w:pPr>
        <w:jc w:val="both"/>
        <w:ind w:left="560" w:right="20" w:hanging="551"/>
        <w:spacing w:after="0"/>
        <w:tabs>
          <w:tab w:leader="none" w:pos="560" w:val="left"/>
        </w:tabs>
        <w:numPr>
          <w:ilvl w:val="0"/>
          <w:numId w:val="105"/>
        </w:numPr>
        <w:rPr>
          <w:rFonts w:ascii="Arial" w:cs="Arial" w:eastAsia="Arial" w:hAnsi="Arial"/>
          <w:sz w:val="15"/>
          <w:szCs w:val="15"/>
          <w:color w:val="201F1E"/>
        </w:rPr>
      </w:pPr>
      <w:r>
        <w:rPr>
          <w:rFonts w:ascii="Arial" w:cs="Arial" w:eastAsia="Arial" w:hAnsi="Arial"/>
          <w:sz w:val="15"/>
          <w:szCs w:val="15"/>
          <w:b w:val="1"/>
          <w:bCs w:val="1"/>
          <w:color w:val="201F1E"/>
        </w:rPr>
        <w:t xml:space="preserve">Sustainability Leaders (Subsidiaries): </w:t>
      </w:r>
      <w:r>
        <w:rPr>
          <w:rFonts w:ascii="Arial" w:cs="Arial" w:eastAsia="Arial" w:hAnsi="Arial"/>
          <w:sz w:val="15"/>
          <w:szCs w:val="15"/>
          <w:color w:val="201F1E"/>
        </w:rPr>
        <w:t>the majority report to the</w:t>
      </w:r>
      <w:r>
        <w:rPr>
          <w:rFonts w:ascii="Arial" w:cs="Arial" w:eastAsia="Arial" w:hAnsi="Arial"/>
          <w:sz w:val="15"/>
          <w:szCs w:val="15"/>
          <w:b w:val="1"/>
          <w:bCs w:val="1"/>
          <w:color w:val="201F1E"/>
        </w:rPr>
        <w:t xml:space="preserve"> </w:t>
      </w:r>
      <w:r>
        <w:rPr>
          <w:rFonts w:ascii="Arial" w:cs="Arial" w:eastAsia="Arial" w:hAnsi="Arial"/>
          <w:sz w:val="15"/>
          <w:szCs w:val="15"/>
          <w:color w:val="201F1E"/>
        </w:rPr>
        <w:t>Sustainability Sponsor of their company (CEO) and are in charge of determining the strategic direction of sustainability at the company level; supervising the implementation plan; and monitoring the progress of initiatives.</w:t>
      </w:r>
    </w:p>
    <w:p>
      <w:pPr>
        <w:spacing w:after="0" w:line="2" w:lineRule="exact"/>
        <w:rPr>
          <w:rFonts w:ascii="Arial" w:cs="Arial" w:eastAsia="Arial" w:hAnsi="Arial"/>
          <w:sz w:val="15"/>
          <w:szCs w:val="15"/>
          <w:color w:val="201F1E"/>
        </w:rPr>
      </w:pPr>
    </w:p>
    <w:p>
      <w:pPr>
        <w:jc w:val="both"/>
        <w:ind w:left="560" w:right="20" w:hanging="551"/>
        <w:spacing w:after="0" w:line="243" w:lineRule="auto"/>
        <w:tabs>
          <w:tab w:leader="none" w:pos="560" w:val="left"/>
        </w:tabs>
        <w:numPr>
          <w:ilvl w:val="0"/>
          <w:numId w:val="105"/>
        </w:numPr>
        <w:rPr>
          <w:rFonts w:ascii="Arial" w:cs="Arial" w:eastAsia="Arial" w:hAnsi="Arial"/>
          <w:sz w:val="15"/>
          <w:szCs w:val="15"/>
          <w:color w:val="201F1E"/>
        </w:rPr>
      </w:pPr>
      <w:r>
        <w:rPr>
          <w:rFonts w:ascii="Arial" w:cs="Arial" w:eastAsia="Arial" w:hAnsi="Arial"/>
          <w:sz w:val="15"/>
          <w:szCs w:val="15"/>
          <w:b w:val="1"/>
          <w:bCs w:val="1"/>
          <w:color w:val="201F1E"/>
        </w:rPr>
        <w:t xml:space="preserve">Working Group for Sustainability: </w:t>
      </w:r>
      <w:r>
        <w:rPr>
          <w:rFonts w:ascii="Arial" w:cs="Arial" w:eastAsia="Arial" w:hAnsi="Arial"/>
          <w:sz w:val="15"/>
          <w:szCs w:val="15"/>
          <w:color w:val="201F1E"/>
        </w:rPr>
        <w:t>the objective is to ensure that</w:t>
      </w:r>
      <w:r>
        <w:rPr>
          <w:rFonts w:ascii="Arial" w:cs="Arial" w:eastAsia="Arial" w:hAnsi="Arial"/>
          <w:sz w:val="15"/>
          <w:szCs w:val="15"/>
          <w:b w:val="1"/>
          <w:bCs w:val="1"/>
          <w:color w:val="201F1E"/>
        </w:rPr>
        <w:t xml:space="preserve"> </w:t>
      </w:r>
      <w:r>
        <w:rPr>
          <w:rFonts w:ascii="Arial" w:cs="Arial" w:eastAsia="Arial" w:hAnsi="Arial"/>
          <w:sz w:val="15"/>
          <w:szCs w:val="15"/>
          <w:color w:val="201F1E"/>
        </w:rPr>
        <w:t>strategies at the subsidiary level are aligned with Credicorp’s and take advantage of synergies to implement sustainability efforts. The group is presided by the Sustainability Leader at Credicorp, with the support of the Sustainability Office, and comprised of all the leaders of sustainability. The group meets once a month and the agenda is set by the Sustainability Office and sustainability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102870</wp:posOffset>
            </wp:positionV>
            <wp:extent cx="1464310" cy="2781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64310"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94" w:right="31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b w:val="1"/>
          <w:bCs w:val="1"/>
          <w:color w:val="auto"/>
        </w:rPr>
        <w:t>Teams to Implement the Sustainability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3344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4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201F1E"/>
        </w:rPr>
        <w:t>As mentioned above in the section Integrating Sustainability, two major fronts of work were defined to implement the Sustainability program: the platforms of the business model and the enablers of the operating model. Specific dynamics have been designed for both to optimize operativity. We manage these fronts at the corporate level through multi-company roundtables, which are attended by leaders of initiatives and conduct follow-up on efforts at the subsidiary level. Each platform and enabler has a recurring forum of discussion and coordination (bi-weekly, monthly or quarterly). In the case of enablers, we also hold a bi-weekly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104775</wp:posOffset>
            </wp:positionV>
            <wp:extent cx="3089275" cy="5708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89275" cy="570865"/>
                    </a:xfrm>
                    <a:prstGeom prst="rect">
                      <a:avLst/>
                    </a:prstGeom>
                    <a:noFill/>
                  </pic:spPr>
                </pic:pic>
              </a:graphicData>
            </a:graphic>
          </wp:anchor>
        </w:drawing>
      </w:r>
    </w:p>
    <w:p>
      <w:pPr>
        <w:spacing w:after="0" w:line="156"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At the end of 2022</w:t>
      </w:r>
    </w:p>
    <w:p>
      <w:pPr>
        <w:spacing w:after="0" w:line="12"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 xml:space="preserve">+40 </w:t>
      </w:r>
      <w:r>
        <w:rPr>
          <w:rFonts w:ascii="Arial" w:cs="Arial" w:eastAsia="Arial" w:hAnsi="Arial"/>
          <w:sz w:val="15"/>
          <w:szCs w:val="15"/>
          <w:color w:val="auto"/>
        </w:rPr>
        <w:t>leaders of initiatives</w:t>
      </w:r>
    </w:p>
    <w:p>
      <w:pPr>
        <w:jc w:val="right"/>
        <w:ind w:left="740" w:right="380"/>
        <w:spacing w:after="0" w:line="180" w:lineRule="auto"/>
        <w:rPr>
          <w:sz w:val="20"/>
          <w:szCs w:val="20"/>
          <w:color w:val="auto"/>
        </w:rPr>
      </w:pPr>
      <w:r>
        <w:rPr>
          <w:rFonts w:ascii="Arial" w:cs="Arial" w:eastAsia="Arial" w:hAnsi="Arial"/>
          <w:sz w:val="26"/>
          <w:szCs w:val="26"/>
          <w:b w:val="1"/>
          <w:bCs w:val="1"/>
          <w:color w:val="auto"/>
          <w:vertAlign w:val="subscript"/>
        </w:rPr>
        <w:t>50</w:t>
      </w:r>
      <w:r>
        <w:rPr>
          <w:rFonts w:ascii="Arial" w:cs="Arial" w:eastAsia="Arial" w:hAnsi="Arial"/>
          <w:sz w:val="14"/>
          <w:szCs w:val="14"/>
          <w:color w:val="auto"/>
        </w:rPr>
        <w:t xml:space="preserve"> </w:t>
      </w:r>
      <w:r>
        <w:rPr>
          <w:rFonts w:ascii="Arial" w:cs="Arial" w:eastAsia="Arial" w:hAnsi="Arial"/>
          <w:sz w:val="26"/>
          <w:szCs w:val="26"/>
          <w:color w:val="auto"/>
          <w:vertAlign w:val="subscript"/>
        </w:rPr>
        <w:t>projects prioritized</w:t>
      </w:r>
      <w:r>
        <w:rPr>
          <w:rFonts w:ascii="Arial" w:cs="Arial" w:eastAsia="Arial" w:hAnsi="Arial"/>
          <w:sz w:val="14"/>
          <w:szCs w:val="14"/>
          <w:color w:val="auto"/>
        </w:rPr>
        <w:t xml:space="preserve">       involved in the platforms of the </w:t>
      </w:r>
      <w:r>
        <w:rPr>
          <w:rFonts w:ascii="Arial" w:cs="Arial" w:eastAsia="Arial" w:hAnsi="Arial"/>
          <w:sz w:val="14"/>
          <w:szCs w:val="14"/>
          <w:b w:val="1"/>
          <w:bCs w:val="1"/>
          <w:color w:val="auto"/>
        </w:rPr>
        <w:t>7</w:t>
      </w:r>
      <w:r>
        <w:rPr>
          <w:rFonts w:ascii="Arial" w:cs="Arial" w:eastAsia="Arial" w:hAnsi="Arial"/>
          <w:sz w:val="14"/>
          <w:szCs w:val="14"/>
          <w:color w:val="auto"/>
        </w:rPr>
        <w:t xml:space="preserve"> subsidiaries that are part of the</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program</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5"/>
          <w:szCs w:val="15"/>
          <w:color w:val="201F1E"/>
        </w:rPr>
        <w:t>In general, the Sustainability Office facilitates forums on the platforms while enablers are facilitated by corporate teams (accompanied by the Sustainability Office). The main objectives of these collaborative working forums, which are attended by members of each roundtable and the sustainability office, include:</w:t>
      </w:r>
    </w:p>
    <w:p>
      <w:pPr>
        <w:spacing w:after="0" w:line="2" w:lineRule="exact"/>
        <w:rPr>
          <w:sz w:val="20"/>
          <w:szCs w:val="20"/>
          <w:color w:val="auto"/>
        </w:rPr>
      </w:pPr>
    </w:p>
    <w:p>
      <w:pPr>
        <w:ind w:left="540" w:right="20" w:hanging="271"/>
        <w:spacing w:after="0"/>
        <w:tabs>
          <w:tab w:leader="none" w:pos="540" w:val="left"/>
        </w:tabs>
        <w:numPr>
          <w:ilvl w:val="0"/>
          <w:numId w:val="106"/>
        </w:numPr>
        <w:rPr>
          <w:rFonts w:ascii="Arial" w:cs="Arial" w:eastAsia="Arial" w:hAnsi="Arial"/>
          <w:sz w:val="15"/>
          <w:szCs w:val="15"/>
          <w:color w:val="auto"/>
        </w:rPr>
      </w:pPr>
      <w:r>
        <w:rPr>
          <w:rFonts w:ascii="Arial" w:cs="Arial" w:eastAsia="Arial" w:hAnsi="Arial"/>
          <w:sz w:val="15"/>
          <w:szCs w:val="15"/>
          <w:color w:val="201F1E"/>
        </w:rPr>
        <w:t>Define and approve concepts and the strategic direction (roadmap) of the front at the corporate level</w:t>
      </w:r>
    </w:p>
    <w:p>
      <w:pPr>
        <w:ind w:left="540" w:hanging="271"/>
        <w:spacing w:after="0"/>
        <w:tabs>
          <w:tab w:leader="none" w:pos="540" w:val="left"/>
        </w:tabs>
        <w:numPr>
          <w:ilvl w:val="0"/>
          <w:numId w:val="106"/>
        </w:numPr>
        <w:rPr>
          <w:rFonts w:ascii="Arial" w:cs="Arial" w:eastAsia="Arial" w:hAnsi="Arial"/>
          <w:sz w:val="15"/>
          <w:szCs w:val="15"/>
          <w:color w:val="auto"/>
        </w:rPr>
      </w:pPr>
      <w:r>
        <w:rPr>
          <w:rFonts w:ascii="Arial" w:cs="Arial" w:eastAsia="Arial" w:hAnsi="Arial"/>
          <w:sz w:val="15"/>
          <w:szCs w:val="15"/>
          <w:color w:val="201F1E"/>
        </w:rPr>
        <w:t>Give visibility to initiatives</w:t>
      </w:r>
    </w:p>
    <w:p>
      <w:pPr>
        <w:ind w:left="540" w:hanging="271"/>
        <w:spacing w:after="0"/>
        <w:tabs>
          <w:tab w:leader="none" w:pos="540" w:val="left"/>
        </w:tabs>
        <w:numPr>
          <w:ilvl w:val="0"/>
          <w:numId w:val="106"/>
        </w:numPr>
        <w:rPr>
          <w:rFonts w:ascii="Arial" w:cs="Arial" w:eastAsia="Arial" w:hAnsi="Arial"/>
          <w:sz w:val="15"/>
          <w:szCs w:val="15"/>
          <w:color w:val="auto"/>
        </w:rPr>
      </w:pPr>
      <w:r>
        <w:rPr>
          <w:rFonts w:ascii="Arial" w:cs="Arial" w:eastAsia="Arial" w:hAnsi="Arial"/>
          <w:sz w:val="15"/>
          <w:szCs w:val="15"/>
          <w:color w:val="201F1E"/>
        </w:rPr>
        <w:t>Guarantee alignment and consistency between initiatives</w:t>
      </w:r>
    </w:p>
    <w:p>
      <w:pPr>
        <w:ind w:left="540" w:right="20" w:hanging="271"/>
        <w:spacing w:after="0"/>
        <w:tabs>
          <w:tab w:leader="none" w:pos="540" w:val="left"/>
        </w:tabs>
        <w:numPr>
          <w:ilvl w:val="0"/>
          <w:numId w:val="106"/>
        </w:numPr>
        <w:rPr>
          <w:rFonts w:ascii="Arial" w:cs="Arial" w:eastAsia="Arial" w:hAnsi="Arial"/>
          <w:sz w:val="15"/>
          <w:szCs w:val="15"/>
          <w:color w:val="auto"/>
        </w:rPr>
      </w:pPr>
      <w:r>
        <w:rPr>
          <w:rFonts w:ascii="Arial" w:cs="Arial" w:eastAsia="Arial" w:hAnsi="Arial"/>
          <w:sz w:val="15"/>
          <w:szCs w:val="15"/>
          <w:color w:val="201F1E"/>
        </w:rPr>
        <w:t>Comment on progress and identify synergies between projects to strengthen impact</w:t>
      </w:r>
    </w:p>
    <w:p>
      <w:pPr>
        <w:ind w:left="540" w:hanging="271"/>
        <w:spacing w:after="0"/>
        <w:tabs>
          <w:tab w:leader="none" w:pos="540" w:val="left"/>
        </w:tabs>
        <w:numPr>
          <w:ilvl w:val="0"/>
          <w:numId w:val="106"/>
        </w:numPr>
        <w:rPr>
          <w:rFonts w:ascii="Arial" w:cs="Arial" w:eastAsia="Arial" w:hAnsi="Arial"/>
          <w:sz w:val="15"/>
          <w:szCs w:val="15"/>
          <w:color w:val="auto"/>
        </w:rPr>
      </w:pPr>
      <w:r>
        <w:rPr>
          <w:rFonts w:ascii="Arial" w:cs="Arial" w:eastAsia="Arial" w:hAnsi="Arial"/>
          <w:sz w:val="15"/>
          <w:szCs w:val="15"/>
          <w:color w:val="201F1E"/>
        </w:rPr>
        <w:t>Share best practices</w:t>
      </w:r>
    </w:p>
    <w:p>
      <w:pPr>
        <w:ind w:left="540" w:hanging="271"/>
        <w:spacing w:after="0"/>
        <w:tabs>
          <w:tab w:leader="none" w:pos="540" w:val="left"/>
        </w:tabs>
        <w:numPr>
          <w:ilvl w:val="0"/>
          <w:numId w:val="106"/>
        </w:numPr>
        <w:rPr>
          <w:rFonts w:ascii="Arial" w:cs="Arial" w:eastAsia="Arial" w:hAnsi="Arial"/>
          <w:sz w:val="15"/>
          <w:szCs w:val="15"/>
          <w:color w:val="auto"/>
        </w:rPr>
      </w:pPr>
      <w:r>
        <w:rPr>
          <w:rFonts w:ascii="Arial" w:cs="Arial" w:eastAsia="Arial" w:hAnsi="Arial"/>
          <w:sz w:val="15"/>
          <w:szCs w:val="15"/>
          <w:color w:val="201F1E"/>
        </w:rPr>
        <w:t>Establish mechanisms for follow-up and measurement</w:t>
      </w:r>
    </w:p>
    <w:p>
      <w:pPr>
        <w:spacing w:after="0" w:line="173"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 xml:space="preserve">For more information on our Sustainability Governance Structure, see our </w:t>
      </w:r>
      <w:r>
        <w:rPr>
          <w:rFonts w:ascii="Arial" w:cs="Arial" w:eastAsia="Arial" w:hAnsi="Arial"/>
          <w:sz w:val="15"/>
          <w:szCs w:val="15"/>
          <w:u w:val="single" w:color="auto"/>
          <w:color w:val="0563C9"/>
        </w:rPr>
        <w:t>Sustainability Strategy 2020-2025</w:t>
      </w:r>
      <w:r>
        <w:rPr>
          <w:rFonts w:ascii="Arial" w:cs="Arial" w:eastAsia="Arial" w:hAnsi="Arial"/>
          <w:sz w:val="15"/>
          <w:szCs w:val="15"/>
          <w:color w:val="0563C9"/>
        </w:rPr>
        <w:t xml:space="preserve"> </w:t>
      </w:r>
      <w:r>
        <w:rPr>
          <w:rFonts w:ascii="Arial" w:cs="Arial" w:eastAsia="Arial" w:hAnsi="Arial"/>
          <w:sz w:val="15"/>
          <w:szCs w:val="15"/>
          <w:color w:val="000000"/>
        </w:rPr>
        <w:t>and the</w:t>
      </w:r>
      <w:r>
        <w:rPr>
          <w:rFonts w:ascii="Arial" w:cs="Arial" w:eastAsia="Arial" w:hAnsi="Arial"/>
          <w:sz w:val="15"/>
          <w:szCs w:val="15"/>
          <w:color w:val="0563C9"/>
        </w:rPr>
        <w:t xml:space="preserve"> </w:t>
      </w:r>
      <w:r>
        <w:rPr>
          <w:rFonts w:ascii="Arial" w:cs="Arial" w:eastAsia="Arial" w:hAnsi="Arial"/>
          <w:sz w:val="15"/>
          <w:szCs w:val="15"/>
          <w:u w:val="single" w:color="auto"/>
          <w:color w:val="0563C9"/>
        </w:rPr>
        <w:t>Annual Sustainability Report</w:t>
      </w:r>
      <w:r>
        <w:rPr>
          <w:rFonts w:ascii="Arial" w:cs="Arial" w:eastAsia="Arial" w:hAnsi="Arial"/>
          <w:sz w:val="15"/>
          <w:szCs w:val="15"/>
          <w:color w:val="0563C9"/>
        </w:rPr>
        <w:t xml:space="preserve"> </w:t>
      </w:r>
      <w:r>
        <w:rPr>
          <w:rFonts w:ascii="Arial" w:cs="Arial" w:eastAsia="Arial" w:hAnsi="Arial"/>
          <w:sz w:val="15"/>
          <w:szCs w:val="15"/>
          <w:color w:val="000000"/>
        </w:rPr>
        <w:t>(pg.</w:t>
      </w:r>
      <w:r>
        <w:rPr>
          <w:rFonts w:ascii="Arial" w:cs="Arial" w:eastAsia="Arial" w:hAnsi="Arial"/>
          <w:sz w:val="15"/>
          <w:szCs w:val="15"/>
          <w:color w:val="0563C9"/>
        </w:rPr>
        <w:t xml:space="preserve"> </w:t>
      </w:r>
      <w:r>
        <w:rPr>
          <w:rFonts w:ascii="Arial" w:cs="Arial" w:eastAsia="Arial" w:hAnsi="Arial"/>
          <w:sz w:val="15"/>
          <w:szCs w:val="15"/>
          <w:color w:val="000000"/>
        </w:rPr>
        <w:t>141 to 149)</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Compliance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343344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22" w:lineRule="exact"/>
        <w:rPr>
          <w:sz w:val="20"/>
          <w:szCs w:val="20"/>
          <w:color w:val="auto"/>
        </w:rPr>
      </w:pPr>
    </w:p>
    <w:p>
      <w:pPr>
        <w:jc w:val="both"/>
        <w:ind w:right="100"/>
        <w:spacing w:after="0" w:line="261" w:lineRule="auto"/>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Business Ethics and Anti-corruption, Regulatory Compliance,</w:t>
      </w:r>
      <w:r>
        <w:rPr>
          <w:rFonts w:ascii="Arial" w:cs="Arial" w:eastAsia="Arial" w:hAnsi="Arial"/>
          <w:sz w:val="15"/>
          <w:szCs w:val="15"/>
          <w:b w:val="1"/>
          <w:bCs w:val="1"/>
          <w:color w:val="auto"/>
        </w:rPr>
        <w:t xml:space="preserve"> </w:t>
      </w:r>
      <w:r>
        <w:rPr>
          <w:rFonts w:ascii="Arial" w:cs="Arial" w:eastAsia="Arial" w:hAnsi="Arial"/>
          <w:sz w:val="15"/>
          <w:szCs w:val="15"/>
          <w:color w:val="auto"/>
        </w:rPr>
        <w:t>Anti-competitive Practices, Human Rights, Comprehensive Risk Management, Cybersecurity</w:t>
      </w:r>
    </w:p>
    <w:p>
      <w:pPr>
        <w:spacing w:after="0" w:line="129"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2-15, 2-22, 2-23, 2-24, 2-25, 2-26, 2-27, 3-3, 205-1, 205-2, 205-3, 206-1,</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406-1</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FN-CB-510a.2</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Pillars 1, 2 and 3</w:t>
      </w:r>
    </w:p>
    <w:p>
      <w:pPr>
        <w:spacing w:after="0" w:line="20" w:lineRule="exact"/>
        <w:rPr>
          <w:sz w:val="20"/>
          <w:szCs w:val="20"/>
          <w:color w:val="auto"/>
        </w:rPr>
      </w:pPr>
      <w:r>
        <w:rPr>
          <w:sz w:val="20"/>
          <w:szCs w:val="20"/>
          <w:color w:val="auto"/>
        </w:rPr>
        <w:br w:type="column"/>
      </w:r>
    </w:p>
    <w:p>
      <w:pPr>
        <w:ind w:right="80"/>
        <w:spacing w:after="0" w:line="249" w:lineRule="auto"/>
        <w:rPr>
          <w:sz w:val="20"/>
          <w:szCs w:val="20"/>
          <w:color w:val="auto"/>
        </w:rPr>
      </w:pPr>
      <w:r>
        <w:rPr>
          <w:rFonts w:ascii="Arial" w:cs="Arial" w:eastAsia="Arial" w:hAnsi="Arial"/>
          <w:sz w:val="15"/>
          <w:szCs w:val="15"/>
          <w:color w:val="auto"/>
        </w:rPr>
        <w:t>Regulatory compliance and ethics are material issues for our stakeholders and are core elements of good corporate governance. Next, we provide details on Credicorp’s system to manage these points.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Contribution of Compliance and Ethics to our Sustainability Strategy</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are convinced that to live our purpose, we must place transparency and ethics at the center of all our decisions. Our system for Compliance and Ethics management acts as a key enabler by:</w:t>
      </w:r>
    </w:p>
    <w:p>
      <w:pPr>
        <w:spacing w:after="0" w:line="155" w:lineRule="exact"/>
        <w:rPr>
          <w:sz w:val="20"/>
          <w:szCs w:val="20"/>
          <w:color w:val="auto"/>
        </w:rPr>
      </w:pPr>
    </w:p>
    <w:p>
      <w:pPr>
        <w:ind w:left="280" w:right="20" w:hanging="271"/>
        <w:spacing w:after="0"/>
        <w:tabs>
          <w:tab w:leader="none" w:pos="2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Ensuring that the terms and conditions of financial products and services are clear</w:t>
      </w:r>
    </w:p>
    <w:p>
      <w:pPr>
        <w:ind w:left="280" w:right="20" w:hanging="271"/>
        <w:spacing w:after="0"/>
        <w:tabs>
          <w:tab w:leader="none" w:pos="2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Establishing a framework for conduct that promotes a good workplace environment and opportunities for all employees</w:t>
      </w:r>
    </w:p>
    <w:p>
      <w:pPr>
        <w:ind w:left="280" w:hanging="271"/>
        <w:spacing w:after="0"/>
        <w:tabs>
          <w:tab w:leader="none" w:pos="2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Promoting responsibility and integrity at all of our businesses</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executive management’s commitment to acting as an agent of change and sustainable financial leader in Latin America that is guided by a higher purpose, is forward-looking and focused on our stakeholders is reflected in a commitment to:</w:t>
      </w:r>
    </w:p>
    <w:p>
      <w:pPr>
        <w:spacing w:after="0" w:line="332" w:lineRule="exact"/>
        <w:rPr>
          <w:sz w:val="20"/>
          <w:szCs w:val="20"/>
          <w:color w:val="auto"/>
        </w:rPr>
      </w:pPr>
    </w:p>
    <w:p>
      <w:pPr>
        <w:ind w:left="560" w:right="20" w:hanging="274"/>
        <w:spacing w:after="0"/>
        <w:tabs>
          <w:tab w:leader="none" w:pos="5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Promoting ethics and integrity, which are fundamental elements of our organizational culture</w:t>
      </w:r>
    </w:p>
    <w:p>
      <w:pPr>
        <w:jc w:val="both"/>
        <w:ind w:left="560" w:right="20" w:hanging="274"/>
        <w:spacing w:after="0" w:line="249" w:lineRule="auto"/>
        <w:tabs>
          <w:tab w:leader="none" w:pos="5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Guaranteeing regulatory compliance and preventing financial crimes through a system of Compliance and Ethics management that contributes to achieving 4 of the 7 SDG prioritized: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2562225" cy="6076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6222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343344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April 2022, the Board approved an update to the Code of Ethics by appointing the Compliance and Ethics Division to manage the system and establish policies and controls to regulate compliance. This code guides Credicorp’s employees in their relations with our stakeholders (other employees, clients, suppliers, shareholders and society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294" w:right="319" w:bottom="1440" w:gutter="0" w:footer="0" w:header="0"/>
        </w:sectPr>
      </w:pPr>
    </w:p>
    <w:bookmarkStart w:id="143" w:name="page144"/>
    <w:bookmarkEnd w:id="143"/>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886460</wp:posOffset>
            </wp:positionH>
            <wp:positionV relativeFrom="page">
              <wp:posOffset>198755</wp:posOffset>
            </wp:positionV>
            <wp:extent cx="2057400" cy="5124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57400" cy="512445"/>
                    </a:xfrm>
                    <a:prstGeom prst="rect">
                      <a:avLst/>
                    </a:prstGeom>
                    <a:noFill/>
                  </pic:spPr>
                </pic:pic>
              </a:graphicData>
            </a:graphic>
          </wp:anchor>
        </w:drawing>
      </w:r>
    </w:p>
    <w:p>
      <w:pPr>
        <w:ind w:left="1188" w:right="1180"/>
        <w:spacing w:after="0"/>
        <w:rPr>
          <w:sz w:val="20"/>
          <w:szCs w:val="20"/>
          <w:color w:val="auto"/>
        </w:rPr>
      </w:pPr>
      <w:r>
        <w:rPr>
          <w:rFonts w:ascii="Arial" w:cs="Arial" w:eastAsia="Arial" w:hAnsi="Arial"/>
          <w:sz w:val="15"/>
          <w:szCs w:val="15"/>
          <w:color w:val="auto"/>
        </w:rPr>
        <w:t xml:space="preserve">Each of our +36,000 has access to the same tool: </w:t>
      </w:r>
      <w:r>
        <w:rPr>
          <w:rFonts w:ascii="Arial" w:cs="Arial" w:eastAsia="Arial" w:hAnsi="Arial"/>
          <w:sz w:val="15"/>
          <w:szCs w:val="15"/>
          <w:b w:val="1"/>
          <w:bCs w:val="1"/>
          <w:color w:val="E93CAC"/>
        </w:rPr>
        <w:t>GenÉTICA Credicorp,</w:t>
      </w:r>
    </w:p>
    <w:p>
      <w:pPr>
        <w:spacing w:after="0" w:line="1" w:lineRule="exact"/>
        <w:rPr>
          <w:sz w:val="20"/>
          <w:szCs w:val="20"/>
          <w:color w:val="auto"/>
        </w:rPr>
      </w:pPr>
    </w:p>
    <w:p>
      <w:pPr>
        <w:ind w:left="1188"/>
        <w:spacing w:after="0"/>
        <w:rPr>
          <w:sz w:val="20"/>
          <w:szCs w:val="20"/>
          <w:color w:val="auto"/>
        </w:rPr>
      </w:pPr>
      <w:r>
        <w:rPr>
          <w:rFonts w:ascii="Arial" w:cs="Arial" w:eastAsia="Arial" w:hAnsi="Arial"/>
          <w:sz w:val="15"/>
          <w:szCs w:val="15"/>
          <w:b w:val="1"/>
          <w:bCs w:val="1"/>
          <w:color w:val="E93CAC"/>
        </w:rPr>
        <w:t>which helps us bolster efforts to act</w:t>
      </w:r>
    </w:p>
    <w:p>
      <w:pPr>
        <w:ind w:left="1188"/>
        <w:spacing w:after="0"/>
        <w:rPr>
          <w:sz w:val="20"/>
          <w:szCs w:val="20"/>
          <w:color w:val="auto"/>
        </w:rPr>
      </w:pPr>
      <w:r>
        <w:rPr>
          <w:rFonts w:ascii="Arial" w:cs="Arial" w:eastAsia="Arial" w:hAnsi="Arial"/>
          <w:sz w:val="15"/>
          <w:szCs w:val="15"/>
          <w:b w:val="1"/>
          <w:bCs w:val="1"/>
          <w:color w:val="E93CAC"/>
        </w:rPr>
        <w:t>correctly</w:t>
      </w:r>
    </w:p>
    <w:p>
      <w:pPr>
        <w:spacing w:after="0" w:line="231"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 xml:space="preserve">People commit to living by this Code when they begin working with the Group’s companies and renew this commitment every year on-line. The code is available to the public on Credicorp’s web page and is offered in both </w:t>
      </w:r>
      <w:r>
        <w:rPr>
          <w:rFonts w:ascii="Arial" w:cs="Arial" w:eastAsia="Arial" w:hAnsi="Arial"/>
          <w:sz w:val="15"/>
          <w:szCs w:val="15"/>
          <w:u w:val="single" w:color="auto"/>
          <w:color w:val="0563C9"/>
        </w:rPr>
        <w:t>Spanish</w:t>
      </w:r>
      <w:r>
        <w:rPr>
          <w:rFonts w:ascii="Arial" w:cs="Arial" w:eastAsia="Arial" w:hAnsi="Arial"/>
          <w:sz w:val="15"/>
          <w:szCs w:val="15"/>
          <w:color w:val="auto"/>
        </w:rPr>
        <w:t xml:space="preserve"> and </w:t>
      </w:r>
      <w:r>
        <w:rPr>
          <w:rFonts w:ascii="Arial" w:cs="Arial" w:eastAsia="Arial" w:hAnsi="Arial"/>
          <w:sz w:val="15"/>
          <w:szCs w:val="15"/>
          <w:u w:val="single" w:color="auto"/>
          <w:color w:val="0563C9"/>
        </w:rPr>
        <w:t>English</w:t>
      </w:r>
      <w:r>
        <w:rPr>
          <w:rFonts w:ascii="Arial" w:cs="Arial" w:eastAsia="Arial" w:hAnsi="Arial"/>
          <w:sz w:val="15"/>
          <w:szCs w:val="15"/>
          <w:color w:val="auto"/>
        </w:rPr>
        <w:t>.</w:t>
      </w:r>
    </w:p>
    <w:p>
      <w:pPr>
        <w:spacing w:after="0" w:line="157" w:lineRule="exact"/>
        <w:rPr>
          <w:sz w:val="20"/>
          <w:szCs w:val="20"/>
          <w:color w:val="auto"/>
        </w:rPr>
      </w:pPr>
    </w:p>
    <w:p>
      <w:pPr>
        <w:jc w:val="both"/>
        <w:ind w:left="8"/>
        <w:spacing w:after="0" w:line="245" w:lineRule="auto"/>
        <w:rPr>
          <w:sz w:val="20"/>
          <w:szCs w:val="20"/>
          <w:color w:val="auto"/>
        </w:rPr>
      </w:pPr>
      <w:r>
        <w:rPr>
          <w:rFonts w:ascii="Arial" w:cs="Arial" w:eastAsia="Arial" w:hAnsi="Arial"/>
          <w:sz w:val="15"/>
          <w:szCs w:val="15"/>
          <w:color w:val="auto"/>
        </w:rPr>
        <w:t>The code is reviewed on a permanent basis to ensure that it is both effective and up-to-date. More than 1,300 participated in the last update, including executive managers, employees, clients and suppliers as well as other stakeholders to ensure that all expectations regarding Credicorp’s members are considered. In doing so, we assure that we are aligned with our purpose.</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E93CAC"/>
        </w:rPr>
        <w:t>“Ethics taken to the next level”</w:t>
      </w:r>
    </w:p>
    <w:p>
      <w:pPr>
        <w:spacing w:after="0" w:line="191"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To guarantee that employees assimilate the new Code, we launched an internal corporate communications campaign: “Ethics at the Next Level”, which sought to position this issue in the top of mind of employees through different dissemination, training and culture initiatives such as:</w:t>
      </w:r>
    </w:p>
    <w:p>
      <w:pPr>
        <w:spacing w:after="0" w:line="157" w:lineRule="exact"/>
        <w:rPr>
          <w:sz w:val="20"/>
          <w:szCs w:val="20"/>
          <w:color w:val="auto"/>
        </w:rPr>
      </w:pPr>
    </w:p>
    <w:p>
      <w:pPr>
        <w:jc w:val="both"/>
        <w:ind w:left="268" w:right="20" w:hanging="268"/>
        <w:spacing w:after="0"/>
        <w:tabs>
          <w:tab w:leader="none" w:pos="26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Live transmission of encounters with General Managers and Compliance and Ethics managers to reinforce the importance of the Code; this included a video to launch the initiative, which was viewed by 40% of employees.</w:t>
      </w:r>
    </w:p>
    <w:p>
      <w:pPr>
        <w:spacing w:after="0" w:line="1" w:lineRule="exact"/>
        <w:rPr>
          <w:rFonts w:ascii="Arial" w:cs="Arial" w:eastAsia="Arial" w:hAnsi="Arial"/>
          <w:sz w:val="15"/>
          <w:szCs w:val="15"/>
          <w:color w:val="auto"/>
        </w:rPr>
      </w:pPr>
    </w:p>
    <w:p>
      <w:pPr>
        <w:jc w:val="both"/>
        <w:ind w:left="268" w:right="20" w:hanging="268"/>
        <w:spacing w:after="0"/>
        <w:tabs>
          <w:tab w:leader="none" w:pos="26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“Leadership at the following level,” where more than 500 leaders of different business units conversed about the most important aspects of the Code that are applicable to leadership</w:t>
      </w:r>
    </w:p>
    <w:p>
      <w:pPr>
        <w:spacing w:after="0" w:line="1" w:lineRule="exact"/>
        <w:rPr>
          <w:rFonts w:ascii="Arial" w:cs="Arial" w:eastAsia="Arial" w:hAnsi="Arial"/>
          <w:sz w:val="15"/>
          <w:szCs w:val="15"/>
          <w:color w:val="auto"/>
        </w:rPr>
      </w:pPr>
    </w:p>
    <w:p>
      <w:pPr>
        <w:jc w:val="both"/>
        <w:ind w:left="268" w:right="20" w:hanging="268"/>
        <w:spacing w:after="0" w:line="241" w:lineRule="auto"/>
        <w:tabs>
          <w:tab w:leader="none" w:pos="26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Branding at the headquarters of Credicorp’s companies, where 5 activations were rolled out with the participation of more than 1,500 employees.</w:t>
      </w:r>
    </w:p>
    <w:p>
      <w:pPr>
        <w:spacing w:after="0" w:line="172" w:lineRule="exact"/>
        <w:rPr>
          <w:rFonts w:ascii="Arial" w:cs="Arial" w:eastAsia="Arial" w:hAnsi="Arial"/>
          <w:sz w:val="15"/>
          <w:szCs w:val="15"/>
          <w:color w:val="auto"/>
        </w:rPr>
      </w:pPr>
    </w:p>
    <w:p>
      <w:pPr>
        <w:jc w:val="both"/>
        <w:ind w:left="268" w:right="20" w:hanging="268"/>
        <w:spacing w:after="0"/>
        <w:tabs>
          <w:tab w:leader="none" w:pos="26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Launching of the landing for more than 1,500 leaders of Credicorp with important information on the Code and a dynamic that they can use with their teams.</w:t>
      </w:r>
    </w:p>
    <w:p>
      <w:pPr>
        <w:spacing w:after="0" w:line="1" w:lineRule="exact"/>
        <w:rPr>
          <w:rFonts w:ascii="Arial" w:cs="Arial" w:eastAsia="Arial" w:hAnsi="Arial"/>
          <w:sz w:val="15"/>
          <w:szCs w:val="15"/>
          <w:color w:val="auto"/>
        </w:rPr>
      </w:pPr>
    </w:p>
    <w:p>
      <w:pPr>
        <w:ind w:left="268" w:right="20" w:hanging="268"/>
        <w:spacing w:after="0" w:line="258" w:lineRule="auto"/>
        <w:tabs>
          <w:tab w:leader="none" w:pos="26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Videos and digital communication to generate awareness of the Code and its main characteristics.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E93CAC"/>
        </w:rPr>
        <w:t>Ethics in leadership</w:t>
      </w:r>
    </w:p>
    <w:p>
      <w:pPr>
        <w:spacing w:after="0" w:line="191"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One of the ways to measure to what point ethics are embedded in the company’s culture and within leadership is through the perceptions of our employees. At the end of 2022, we registered highly positive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2562225" cy="5638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62225" cy="563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2F5496"/>
        </w:rPr>
        <w:t>Alerta GenÉTICA – Our Ethics Line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Alerta GenÉTICA is available to our employees, clients, suppliers and any other individual seeking to report conduct of members of Credicorp that may violate our Code.</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protect the confidentiality of the information provided and comply with current local and international regulations that are applicable to Credicorp and aligned with good international practices.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on Alerta GenÉTICA, review Credicorp’s web page.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E93CAC"/>
        </w:rPr>
        <w:t>Processing reports and zero tolerance for reprisals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2562225" cy="768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62225" cy="76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All reports to Alerta GenÉTICA, once received, are investigated by the control units. If the results of the investigation seem to indicate that the Code or its complementary policies has been violated, the Labor Relations team will define and apply the corresponding disciplinary measures, which range from a letter of warning to notice of termination notwithstanding the legal actions that can be taken under current laws.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Our Corporate Policy for Credicorp’s Alerta GenÉtica Credicorp system can be found </w:t>
      </w:r>
      <w:r>
        <w:rPr>
          <w:rFonts w:ascii="Arial" w:cs="Arial" w:eastAsia="Arial" w:hAnsi="Arial"/>
          <w:sz w:val="15"/>
          <w:szCs w:val="15"/>
          <w:u w:val="single" w:color="auto"/>
          <w:color w:val="0563C9"/>
        </w:rPr>
        <w:t>here</w:t>
      </w:r>
      <w:r>
        <w:rPr>
          <w:rFonts w:ascii="Arial" w:cs="Arial" w:eastAsia="Arial" w:hAnsi="Arial"/>
          <w:sz w:val="15"/>
          <w:szCs w:val="15"/>
          <w:color w:val="auto"/>
        </w:rPr>
        <w:t xml:space="preserve"> in Spanish and English on Credicorp’s Web page.</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121212"/>
        </w:rPr>
        <w:t>We measured our employees’ perception of whether the company’s culture recognizes the importance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2562225" cy="4686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62225" cy="46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294" w:right="319" w:bottom="1440" w:gutter="0" w:footer="0" w:header="0"/>
        </w:sectPr>
      </w:pPr>
    </w:p>
    <w:bookmarkStart w:id="144" w:name="page145"/>
    <w:bookmarkEnd w:id="144"/>
    <w:p>
      <w:pPr>
        <w:spacing w:after="0" w:line="18" w:lineRule="exact"/>
        <w:rPr>
          <w:sz w:val="20"/>
          <w:szCs w:val="20"/>
          <w:color w:val="auto"/>
        </w:rPr>
      </w:pPr>
    </w:p>
    <w:p>
      <w:pPr>
        <w:ind w:left="8"/>
        <w:spacing w:after="0"/>
        <w:rPr>
          <w:sz w:val="20"/>
          <w:szCs w:val="20"/>
          <w:color w:val="auto"/>
        </w:rPr>
      </w:pPr>
      <w:r>
        <w:rPr>
          <w:rFonts w:ascii="Arial" w:cs="Arial" w:eastAsia="Arial" w:hAnsi="Arial"/>
          <w:sz w:val="15"/>
          <w:szCs w:val="15"/>
          <w:color w:val="121212"/>
        </w:rPr>
        <w:t>To accompany these results:</w:t>
      </w:r>
    </w:p>
    <w:p>
      <w:pPr>
        <w:spacing w:after="0" w:line="173" w:lineRule="exact"/>
        <w:rPr>
          <w:sz w:val="20"/>
          <w:szCs w:val="20"/>
          <w:color w:val="auto"/>
        </w:rPr>
      </w:pPr>
    </w:p>
    <w:p>
      <w:pPr>
        <w:jc w:val="both"/>
        <w:ind w:left="268" w:right="300" w:hanging="268"/>
        <w:spacing w:after="0"/>
        <w:tabs>
          <w:tab w:leader="none" w:pos="268"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We publish an Annual Report on GenÉTICA so that our employees can learn about the main characteristics and statistics relative to the reports received.</w:t>
      </w:r>
    </w:p>
    <w:p>
      <w:pPr>
        <w:spacing w:after="0" w:line="1" w:lineRule="exact"/>
        <w:rPr>
          <w:rFonts w:ascii="Arial" w:cs="Arial" w:eastAsia="Arial" w:hAnsi="Arial"/>
          <w:sz w:val="15"/>
          <w:szCs w:val="15"/>
          <w:color w:val="auto"/>
        </w:rPr>
      </w:pPr>
    </w:p>
    <w:p>
      <w:pPr>
        <w:ind w:left="268" w:right="240" w:hanging="268"/>
        <w:spacing w:after="0" w:line="249" w:lineRule="auto"/>
        <w:tabs>
          <w:tab w:leader="none" w:pos="268"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We create awareness among employees about Alerta GenÉTICa and its use through internal communications campaigns, digital communication and training in critical units.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color w:val="121212"/>
        </w:rPr>
        <w:t>In 2021, our “Alerta GenÉTICA” ethics line registered the following results:</w:t>
      </w:r>
    </w:p>
    <w:p>
      <w:pPr>
        <w:spacing w:after="0" w:line="173" w:lineRule="exact"/>
        <w:rPr>
          <w:sz w:val="20"/>
          <w:szCs w:val="20"/>
          <w:color w:val="auto"/>
        </w:rPr>
      </w:pPr>
    </w:p>
    <w:p>
      <w:pPr>
        <w:ind w:left="548" w:right="1320" w:hanging="271"/>
        <w:spacing w:after="0"/>
        <w:tabs>
          <w:tab w:leader="none" w:pos="54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We received 611 reports, which constitutes an 18% increase with regard to last year. This increase is attributable to an uptick in awareness and training to motivate people to report incidents.</w:t>
      </w:r>
    </w:p>
    <w:p>
      <w:pPr>
        <w:spacing w:after="0" w:line="1" w:lineRule="exact"/>
        <w:rPr>
          <w:rFonts w:ascii="Arial" w:cs="Arial" w:eastAsia="Arial" w:hAnsi="Arial"/>
          <w:sz w:val="15"/>
          <w:szCs w:val="15"/>
          <w:color w:val="auto"/>
        </w:rPr>
      </w:pPr>
    </w:p>
    <w:p>
      <w:pPr>
        <w:ind w:left="548" w:right="240" w:hanging="271"/>
        <w:spacing w:after="0"/>
        <w:tabs>
          <w:tab w:leader="none" w:pos="54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81% of the reports received were anonymous. This level is similar to the 78% reported in 2021.</w:t>
      </w:r>
    </w:p>
    <w:p>
      <w:pPr>
        <w:ind w:left="548" w:right="240" w:hanging="271"/>
        <w:spacing w:after="0"/>
        <w:tabs>
          <w:tab w:leader="none" w:pos="54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64% of the cases come from BCP Peru, which is the Group’s largest employer.</w:t>
      </w:r>
    </w:p>
    <w:p>
      <w:pPr>
        <w:ind w:left="548" w:right="1040" w:hanging="271"/>
        <w:spacing w:after="0" w:line="246" w:lineRule="auto"/>
        <w:tabs>
          <w:tab w:leader="none" w:pos="54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62% of the reports received contain enough information to initiate an investigation; consequently, 172 corrective and disciplinary measures were applied. The distribution by type was as follows:</w:t>
      </w:r>
    </w:p>
    <w:p>
      <w:pPr>
        <w:spacing w:after="0" w:line="157" w:lineRule="exact"/>
        <w:rPr>
          <w:rFonts w:ascii="Arial" w:cs="Arial" w:eastAsia="Arial" w:hAnsi="Arial"/>
          <w:sz w:val="15"/>
          <w:szCs w:val="15"/>
          <w:color w:val="auto"/>
        </w:rPr>
      </w:pPr>
    </w:p>
    <w:p>
      <w:pPr>
        <w:ind w:left="1108" w:hanging="554"/>
        <w:spacing w:after="0"/>
        <w:tabs>
          <w:tab w:leader="none" w:pos="110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17% reflect terminations</w:t>
      </w:r>
    </w:p>
    <w:p>
      <w:pPr>
        <w:ind w:left="1108" w:hanging="554"/>
        <w:spacing w:after="0"/>
        <w:tabs>
          <w:tab w:leader="none" w:pos="110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14% reflect suspension</w:t>
      </w:r>
    </w:p>
    <w:p>
      <w:pPr>
        <w:ind w:left="1108" w:hanging="554"/>
        <w:spacing w:after="0"/>
        <w:tabs>
          <w:tab w:leader="none" w:pos="110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9% reflect letters of reprimand</w:t>
      </w:r>
    </w:p>
    <w:p>
      <w:pPr>
        <w:ind w:left="1108" w:hanging="554"/>
        <w:spacing w:after="0"/>
        <w:tabs>
          <w:tab w:leader="none" w:pos="110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4% reflect warning letters</w:t>
      </w:r>
    </w:p>
    <w:p>
      <w:pPr>
        <w:ind w:left="1108" w:hanging="554"/>
        <w:spacing w:after="0"/>
        <w:tabs>
          <w:tab w:leader="none" w:pos="110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56% others</w:t>
      </w:r>
    </w:p>
    <w:p>
      <w:pPr>
        <w:spacing w:after="0" w:line="155" w:lineRule="exact"/>
        <w:rPr>
          <w:sz w:val="20"/>
          <w:szCs w:val="20"/>
          <w:color w:val="auto"/>
        </w:rPr>
      </w:pPr>
    </w:p>
    <w:p>
      <w:pPr>
        <w:ind w:left="8" w:right="140"/>
        <w:spacing w:after="0" w:line="283" w:lineRule="auto"/>
        <w:rPr>
          <w:sz w:val="20"/>
          <w:szCs w:val="20"/>
          <w:color w:val="auto"/>
        </w:rPr>
      </w:pPr>
      <w:r>
        <w:rPr>
          <w:rFonts w:ascii="Arial" w:cs="Arial" w:eastAsia="Arial" w:hAnsi="Arial"/>
          <w:sz w:val="15"/>
          <w:szCs w:val="15"/>
          <w:b w:val="1"/>
          <w:bCs w:val="1"/>
          <w:color w:val="E93CAC"/>
        </w:rPr>
        <w:t>Distribution by category of valid reports received in the years 2022, 2021 and 2020</w:t>
      </w:r>
    </w:p>
    <w:p>
      <w:pPr>
        <w:spacing w:after="0" w:line="130" w:lineRule="exact"/>
        <w:rPr>
          <w:sz w:val="20"/>
          <w:szCs w:val="20"/>
          <w:color w:val="auto"/>
        </w:rPr>
      </w:pPr>
    </w:p>
    <w:tbl>
      <w:tblPr>
        <w:tblLayout w:type="fixed"/>
        <w:tblInd w:w="1108" w:type="dxa"/>
        <w:tblCellMar>
          <w:top w:w="0" w:type="dxa"/>
          <w:left w:w="0" w:type="dxa"/>
          <w:bottom w:w="0" w:type="dxa"/>
          <w:right w:w="0" w:type="dxa"/>
        </w:tblCellMar>
      </w:tblPr>
      <w:tr>
        <w:trPr>
          <w:trHeight w:val="185"/>
        </w:trPr>
        <w:tc>
          <w:tcPr>
            <w:tcW w:w="2480" w:type="dxa"/>
            <w:vAlign w:val="bottom"/>
            <w:shd w:val="clear" w:color="auto" w:fill="000000"/>
          </w:tcPr>
          <w:p>
            <w:pPr>
              <w:ind w:left="360"/>
              <w:spacing w:after="0"/>
              <w:rPr>
                <w:sz w:val="20"/>
                <w:szCs w:val="20"/>
                <w:color w:val="auto"/>
              </w:rPr>
            </w:pPr>
            <w:r>
              <w:rPr>
                <w:rFonts w:ascii="Arial" w:cs="Arial" w:eastAsia="Arial" w:hAnsi="Arial"/>
                <w:sz w:val="15"/>
                <w:szCs w:val="15"/>
                <w:color w:val="FFFFFF"/>
              </w:rPr>
              <w:t>Valid Reports by Category</w:t>
            </w:r>
          </w:p>
        </w:tc>
        <w:tc>
          <w:tcPr>
            <w:tcW w:w="60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2022</w:t>
            </w:r>
          </w:p>
        </w:tc>
        <w:tc>
          <w:tcPr>
            <w:tcW w:w="62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2021</w:t>
            </w:r>
          </w:p>
        </w:tc>
        <w:tc>
          <w:tcPr>
            <w:tcW w:w="62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2020</w:t>
            </w:r>
          </w:p>
        </w:tc>
      </w:tr>
      <w:tr>
        <w:trPr>
          <w:trHeight w:val="207"/>
        </w:trPr>
        <w:tc>
          <w:tcPr>
            <w:tcW w:w="2480" w:type="dxa"/>
            <w:vAlign w:val="bottom"/>
            <w:shd w:val="clear" w:color="auto" w:fill="E93CAC"/>
          </w:tcPr>
          <w:p>
            <w:pPr>
              <w:ind w:left="40"/>
              <w:spacing w:after="0"/>
              <w:rPr>
                <w:sz w:val="20"/>
                <w:szCs w:val="20"/>
                <w:color w:val="auto"/>
              </w:rPr>
            </w:pPr>
            <w:r>
              <w:rPr>
                <w:rFonts w:ascii="Arial" w:cs="Arial" w:eastAsia="Arial" w:hAnsi="Arial"/>
                <w:sz w:val="15"/>
                <w:szCs w:val="15"/>
                <w:color w:val="FFFFFF"/>
              </w:rPr>
              <w:t>Workplace hostility</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182</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169</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91</w:t>
            </w:r>
          </w:p>
        </w:tc>
      </w:tr>
      <w:tr>
        <w:trPr>
          <w:trHeight w:val="195"/>
        </w:trPr>
        <w:tc>
          <w:tcPr>
            <w:tcW w:w="2480" w:type="dxa"/>
            <w:vAlign w:val="bottom"/>
            <w:shd w:val="clear" w:color="auto" w:fill="E93CAC"/>
          </w:tcPr>
          <w:p>
            <w:pPr>
              <w:ind w:left="40"/>
              <w:spacing w:after="0"/>
              <w:rPr>
                <w:sz w:val="20"/>
                <w:szCs w:val="20"/>
                <w:color w:val="auto"/>
              </w:rPr>
            </w:pPr>
            <w:r>
              <w:rPr>
                <w:rFonts w:ascii="Arial" w:cs="Arial" w:eastAsia="Arial" w:hAnsi="Arial"/>
                <w:sz w:val="15"/>
                <w:szCs w:val="15"/>
                <w:color w:val="FFFFFF"/>
              </w:rPr>
              <w:t>Disloyal practices and conflicts of</w:t>
            </w:r>
          </w:p>
        </w:tc>
        <w:tc>
          <w:tcPr>
            <w:tcW w:w="600" w:type="dxa"/>
            <w:vAlign w:val="bottom"/>
            <w:shd w:val="clear" w:color="auto" w:fill="E7E6E6"/>
          </w:tcPr>
          <w:p>
            <w:pPr>
              <w:spacing w:after="0"/>
              <w:rPr>
                <w:sz w:val="16"/>
                <w:szCs w:val="16"/>
                <w:color w:val="auto"/>
              </w:rPr>
            </w:pPr>
          </w:p>
        </w:tc>
        <w:tc>
          <w:tcPr>
            <w:tcW w:w="620" w:type="dxa"/>
            <w:vAlign w:val="bottom"/>
            <w:shd w:val="clear" w:color="auto" w:fill="E7E6E6"/>
          </w:tcPr>
          <w:p>
            <w:pPr>
              <w:spacing w:after="0"/>
              <w:rPr>
                <w:sz w:val="16"/>
                <w:szCs w:val="16"/>
                <w:color w:val="auto"/>
              </w:rPr>
            </w:pPr>
          </w:p>
        </w:tc>
        <w:tc>
          <w:tcPr>
            <w:tcW w:w="620" w:type="dxa"/>
            <w:vAlign w:val="bottom"/>
            <w:shd w:val="clear" w:color="auto" w:fill="E7E6E6"/>
          </w:tcPr>
          <w:p>
            <w:pPr>
              <w:spacing w:after="0"/>
              <w:rPr>
                <w:sz w:val="16"/>
                <w:szCs w:val="16"/>
                <w:color w:val="auto"/>
              </w:rPr>
            </w:pPr>
          </w:p>
        </w:tc>
      </w:tr>
      <w:tr>
        <w:trPr>
          <w:trHeight w:val="185"/>
        </w:trPr>
        <w:tc>
          <w:tcPr>
            <w:tcW w:w="2480" w:type="dxa"/>
            <w:vAlign w:val="bottom"/>
            <w:shd w:val="clear" w:color="auto" w:fill="E93CAC"/>
          </w:tcPr>
          <w:p>
            <w:pPr>
              <w:ind w:left="40"/>
              <w:spacing w:after="0"/>
              <w:rPr>
                <w:sz w:val="20"/>
                <w:szCs w:val="20"/>
                <w:color w:val="auto"/>
              </w:rPr>
            </w:pPr>
            <w:r>
              <w:rPr>
                <w:rFonts w:ascii="Arial" w:cs="Arial" w:eastAsia="Arial" w:hAnsi="Arial"/>
                <w:sz w:val="15"/>
                <w:szCs w:val="15"/>
                <w:color w:val="FFFFFF"/>
              </w:rPr>
              <w:t>interest</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84</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65</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47</w:t>
            </w:r>
          </w:p>
        </w:tc>
      </w:tr>
      <w:tr>
        <w:trPr>
          <w:trHeight w:val="208"/>
        </w:trPr>
        <w:tc>
          <w:tcPr>
            <w:tcW w:w="2480" w:type="dxa"/>
            <w:vAlign w:val="bottom"/>
            <w:shd w:val="clear" w:color="auto" w:fill="E93CAC"/>
          </w:tcPr>
          <w:p>
            <w:pPr>
              <w:ind w:left="40"/>
              <w:spacing w:after="0"/>
              <w:rPr>
                <w:sz w:val="20"/>
                <w:szCs w:val="20"/>
                <w:color w:val="auto"/>
              </w:rPr>
            </w:pPr>
            <w:r>
              <w:rPr>
                <w:rFonts w:ascii="Arial" w:cs="Arial" w:eastAsia="Arial" w:hAnsi="Arial"/>
                <w:sz w:val="15"/>
                <w:szCs w:val="15"/>
                <w:color w:val="FFFFFF"/>
              </w:rPr>
              <w:t>Fraud</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41</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65</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26</w:t>
            </w:r>
          </w:p>
        </w:tc>
      </w:tr>
      <w:tr>
        <w:trPr>
          <w:trHeight w:val="230"/>
        </w:trPr>
        <w:tc>
          <w:tcPr>
            <w:tcW w:w="2480" w:type="dxa"/>
            <w:vAlign w:val="bottom"/>
            <w:shd w:val="clear" w:color="auto" w:fill="E93CAC"/>
          </w:tcPr>
          <w:p>
            <w:pPr>
              <w:ind w:left="40"/>
              <w:spacing w:after="0"/>
              <w:rPr>
                <w:sz w:val="20"/>
                <w:szCs w:val="20"/>
                <w:color w:val="auto"/>
              </w:rPr>
            </w:pPr>
            <w:r>
              <w:rPr>
                <w:rFonts w:ascii="Arial" w:cs="Arial" w:eastAsia="Arial" w:hAnsi="Arial"/>
                <w:sz w:val="15"/>
                <w:szCs w:val="15"/>
                <w:color w:val="FFFFFF"/>
              </w:rPr>
              <w:t>Unethical behavior</w:t>
            </w:r>
          </w:p>
        </w:tc>
        <w:tc>
          <w:tcPr>
            <w:tcW w:w="600" w:type="dxa"/>
            <w:vAlign w:val="bottom"/>
            <w:shd w:val="clear" w:color="auto" w:fill="E7E6E6"/>
          </w:tcPr>
          <w:p>
            <w:pPr>
              <w:jc w:val="center"/>
              <w:spacing w:after="0" w:line="229" w:lineRule="exact"/>
              <w:rPr>
                <w:sz w:val="20"/>
                <w:szCs w:val="20"/>
                <w:color w:val="auto"/>
              </w:rPr>
            </w:pPr>
            <w:r>
              <w:rPr>
                <w:rFonts w:ascii="Arial" w:cs="Arial" w:eastAsia="Arial" w:hAnsi="Arial"/>
                <w:sz w:val="15"/>
                <w:szCs w:val="15"/>
                <w:color w:val="auto"/>
                <w:w w:val="85"/>
              </w:rPr>
              <w:t>55</w:t>
            </w:r>
            <w:r>
              <w:rPr>
                <w:rFonts w:ascii="Arial" w:cs="Arial" w:eastAsia="Arial" w:hAnsi="Arial"/>
                <w:sz w:val="25"/>
                <w:szCs w:val="25"/>
                <w:color w:val="auto"/>
                <w:w w:val="85"/>
                <w:vertAlign w:val="superscript"/>
              </w:rPr>
              <w:t>53</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58</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56</w:t>
            </w:r>
          </w:p>
        </w:tc>
      </w:tr>
      <w:tr>
        <w:trPr>
          <w:trHeight w:val="185"/>
        </w:trPr>
        <w:tc>
          <w:tcPr>
            <w:tcW w:w="2480" w:type="dxa"/>
            <w:vAlign w:val="bottom"/>
            <w:shd w:val="clear" w:color="auto" w:fill="E93CAC"/>
          </w:tcPr>
          <w:p>
            <w:pPr>
              <w:ind w:left="40"/>
              <w:spacing w:after="0"/>
              <w:rPr>
                <w:sz w:val="20"/>
                <w:szCs w:val="20"/>
                <w:color w:val="auto"/>
              </w:rPr>
            </w:pPr>
            <w:r>
              <w:rPr>
                <w:rFonts w:ascii="Arial" w:cs="Arial" w:eastAsia="Arial" w:hAnsi="Arial"/>
                <w:sz w:val="15"/>
                <w:szCs w:val="15"/>
                <w:color w:val="FFFFFF"/>
              </w:rPr>
              <w:t>Others</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17</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28</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18</w:t>
            </w:r>
          </w:p>
        </w:tc>
      </w:tr>
      <w:tr>
        <w:trPr>
          <w:trHeight w:val="208"/>
        </w:trPr>
        <w:tc>
          <w:tcPr>
            <w:tcW w:w="2480" w:type="dxa"/>
            <w:vAlign w:val="bottom"/>
            <w:shd w:val="clear" w:color="auto" w:fill="E93CAC"/>
          </w:tcPr>
          <w:p>
            <w:pPr>
              <w:ind w:left="40"/>
              <w:spacing w:after="0"/>
              <w:rPr>
                <w:sz w:val="20"/>
                <w:szCs w:val="20"/>
                <w:color w:val="auto"/>
              </w:rPr>
            </w:pPr>
            <w:r>
              <w:rPr>
                <w:rFonts w:ascii="Arial" w:cs="Arial" w:eastAsia="Arial" w:hAnsi="Arial"/>
                <w:sz w:val="15"/>
                <w:szCs w:val="15"/>
                <w:color w:val="FFFFFF"/>
              </w:rPr>
              <w:t>Corruption and bribes</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2</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8</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2</w:t>
            </w:r>
          </w:p>
        </w:tc>
      </w:tr>
      <w:tr>
        <w:trPr>
          <w:trHeight w:val="208"/>
        </w:trPr>
        <w:tc>
          <w:tcPr>
            <w:tcW w:w="2480" w:type="dxa"/>
            <w:vAlign w:val="bottom"/>
            <w:shd w:val="clear" w:color="auto" w:fill="BFBFBF"/>
          </w:tcPr>
          <w:p>
            <w:pPr>
              <w:ind w:left="40"/>
              <w:spacing w:after="0"/>
              <w:rPr>
                <w:sz w:val="20"/>
                <w:szCs w:val="20"/>
                <w:color w:val="auto"/>
              </w:rPr>
            </w:pPr>
            <w:r>
              <w:rPr>
                <w:rFonts w:ascii="Arial" w:cs="Arial" w:eastAsia="Arial" w:hAnsi="Arial"/>
                <w:sz w:val="15"/>
                <w:szCs w:val="15"/>
                <w:color w:val="FFFFFF"/>
              </w:rPr>
              <w:t>Total</w:t>
            </w:r>
          </w:p>
        </w:tc>
        <w:tc>
          <w:tcPr>
            <w:tcW w:w="600" w:type="dxa"/>
            <w:vAlign w:val="bottom"/>
            <w:shd w:val="clear" w:color="auto" w:fill="BFBFBF"/>
          </w:tcPr>
          <w:p>
            <w:pPr>
              <w:jc w:val="center"/>
              <w:spacing w:after="0"/>
              <w:rPr>
                <w:sz w:val="20"/>
                <w:szCs w:val="20"/>
                <w:color w:val="auto"/>
              </w:rPr>
            </w:pPr>
            <w:r>
              <w:rPr>
                <w:rFonts w:ascii="Arial" w:cs="Arial" w:eastAsia="Arial" w:hAnsi="Arial"/>
                <w:sz w:val="15"/>
                <w:szCs w:val="15"/>
                <w:color w:val="auto"/>
              </w:rPr>
              <w:t>381</w:t>
            </w:r>
          </w:p>
        </w:tc>
        <w:tc>
          <w:tcPr>
            <w:tcW w:w="620" w:type="dxa"/>
            <w:vAlign w:val="bottom"/>
            <w:shd w:val="clear" w:color="auto" w:fill="BFBFBF"/>
          </w:tcPr>
          <w:p>
            <w:pPr>
              <w:jc w:val="center"/>
              <w:spacing w:after="0"/>
              <w:rPr>
                <w:sz w:val="20"/>
                <w:szCs w:val="20"/>
                <w:color w:val="auto"/>
              </w:rPr>
            </w:pPr>
            <w:r>
              <w:rPr>
                <w:rFonts w:ascii="Arial" w:cs="Arial" w:eastAsia="Arial" w:hAnsi="Arial"/>
                <w:sz w:val="15"/>
                <w:szCs w:val="15"/>
                <w:color w:val="auto"/>
                <w:w w:val="95"/>
              </w:rPr>
              <w:t>393</w:t>
            </w:r>
          </w:p>
        </w:tc>
        <w:tc>
          <w:tcPr>
            <w:tcW w:w="620" w:type="dxa"/>
            <w:vAlign w:val="bottom"/>
            <w:shd w:val="clear" w:color="auto" w:fill="BFBFBF"/>
          </w:tcPr>
          <w:p>
            <w:pPr>
              <w:jc w:val="center"/>
              <w:spacing w:after="0"/>
              <w:rPr>
                <w:sz w:val="20"/>
                <w:szCs w:val="20"/>
                <w:color w:val="auto"/>
              </w:rPr>
            </w:pPr>
            <w:r>
              <w:rPr>
                <w:rFonts w:ascii="Arial" w:cs="Arial" w:eastAsia="Arial" w:hAnsi="Arial"/>
                <w:sz w:val="15"/>
                <w:szCs w:val="15"/>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-1148715</wp:posOffset>
            </wp:positionV>
            <wp:extent cx="3448050" cy="12814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48050" cy="1281430"/>
                    </a:xfrm>
                    <a:prstGeom prst="rect">
                      <a:avLst/>
                    </a:prstGeom>
                    <a:noFill/>
                  </pic:spPr>
                </pic:pic>
              </a:graphicData>
            </a:graphic>
          </wp:anchor>
        </w:drawing>
      </w:r>
    </w:p>
    <w:p>
      <w:pPr>
        <w:spacing w:after="0" w:line="198" w:lineRule="exact"/>
        <w:rPr>
          <w:sz w:val="20"/>
          <w:szCs w:val="20"/>
          <w:color w:val="auto"/>
        </w:rPr>
      </w:pPr>
    </w:p>
    <w:p>
      <w:pPr>
        <w:ind w:left="8" w:right="340" w:hanging="8"/>
        <w:spacing w:after="0" w:line="186" w:lineRule="auto"/>
        <w:tabs>
          <w:tab w:leader="none" w:pos="193" w:val="left"/>
        </w:tabs>
        <w:numPr>
          <w:ilvl w:val="0"/>
          <w:numId w:val="112"/>
        </w:numPr>
        <w:rPr>
          <w:rFonts w:ascii="Arial" w:cs="Arial" w:eastAsia="Arial" w:hAnsi="Arial"/>
          <w:sz w:val="25"/>
          <w:szCs w:val="25"/>
          <w:color w:val="auto"/>
          <w:vertAlign w:val="superscript"/>
        </w:rPr>
      </w:pPr>
      <w:r>
        <w:rPr>
          <w:rFonts w:ascii="Arial" w:cs="Arial" w:eastAsia="Arial" w:hAnsi="Arial"/>
          <w:sz w:val="15"/>
          <w:szCs w:val="15"/>
          <w:color w:val="auto"/>
        </w:rPr>
        <w:t>A case of discriminatory comments was reported. As corrective action, a reprimand and reinforcement of our guidelines was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345440</wp:posOffset>
            </wp:positionV>
            <wp:extent cx="7152640" cy="146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83" w:lineRule="auto"/>
        <w:rPr>
          <w:sz w:val="20"/>
          <w:szCs w:val="20"/>
          <w:color w:val="auto"/>
        </w:rPr>
      </w:pPr>
      <w:r>
        <w:rPr>
          <w:rFonts w:ascii="Arial" w:cs="Arial" w:eastAsia="Arial" w:hAnsi="Arial"/>
          <w:sz w:val="15"/>
          <w:szCs w:val="15"/>
          <w:b w:val="1"/>
          <w:bCs w:val="1"/>
          <w:color w:val="E93CAC"/>
        </w:rPr>
        <w:t>Distribution of valid reports by company received in the years 2022,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shd w:val="clear" w:color="auto" w:fill="000000"/>
          </w:tcPr>
          <w:p>
            <w:pPr>
              <w:ind w:left="60"/>
              <w:spacing w:after="0"/>
              <w:rPr>
                <w:sz w:val="20"/>
                <w:szCs w:val="20"/>
                <w:color w:val="auto"/>
              </w:rPr>
            </w:pPr>
            <w:r>
              <w:rPr>
                <w:rFonts w:ascii="Arial" w:cs="Arial" w:eastAsia="Arial" w:hAnsi="Arial"/>
                <w:sz w:val="15"/>
                <w:szCs w:val="15"/>
                <w:color w:val="FFFFFF"/>
              </w:rPr>
              <w:t>Valid reports by company</w:t>
            </w:r>
          </w:p>
        </w:tc>
        <w:tc>
          <w:tcPr>
            <w:tcW w:w="62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2022</w:t>
            </w:r>
          </w:p>
        </w:tc>
        <w:tc>
          <w:tcPr>
            <w:tcW w:w="60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2021</w:t>
            </w:r>
          </w:p>
        </w:tc>
        <w:tc>
          <w:tcPr>
            <w:tcW w:w="640" w:type="dxa"/>
            <w:vAlign w:val="bottom"/>
            <w:shd w:val="clear" w:color="auto" w:fill="000000"/>
          </w:tcPr>
          <w:p>
            <w:pPr>
              <w:jc w:val="center"/>
              <w:spacing w:after="0"/>
              <w:rPr>
                <w:sz w:val="20"/>
                <w:szCs w:val="20"/>
                <w:color w:val="auto"/>
              </w:rPr>
            </w:pPr>
            <w:r>
              <w:rPr>
                <w:rFonts w:ascii="Arial" w:cs="Arial" w:eastAsia="Arial" w:hAnsi="Arial"/>
                <w:sz w:val="15"/>
                <w:szCs w:val="15"/>
                <w:color w:val="FFFFFF"/>
              </w:rPr>
              <w:t>2020</w:t>
            </w:r>
          </w:p>
        </w:tc>
      </w:tr>
      <w:tr>
        <w:trPr>
          <w:trHeight w:val="207"/>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BCP</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254</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250</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179</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Mibanco</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80</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92</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39</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Mibanco Colombia</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8</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15</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0</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BCP Bolivia</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23</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15</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2</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Credicorp Capital Colombia</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6</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6</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4</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Pacífico Seguros</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5</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13</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11</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Prima AFP</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0</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4</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Credicorp Capital Perú</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2</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1</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0</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Credicorp Capital Chile</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0</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0</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1</w:t>
            </w:r>
          </w:p>
        </w:tc>
      </w:tr>
      <w:tr>
        <w:trPr>
          <w:trHeight w:val="208"/>
        </w:trPr>
        <w:tc>
          <w:tcPr>
            <w:tcW w:w="248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Otros (BCP Panamá, Culqui, ASB)</w:t>
            </w:r>
          </w:p>
        </w:tc>
        <w:tc>
          <w:tcPr>
            <w:tcW w:w="62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3</w:t>
            </w:r>
          </w:p>
        </w:tc>
        <w:tc>
          <w:tcPr>
            <w:tcW w:w="600" w:type="dxa"/>
            <w:vAlign w:val="bottom"/>
            <w:shd w:val="clear" w:color="auto" w:fill="E7E6E6"/>
          </w:tcPr>
          <w:p>
            <w:pPr>
              <w:jc w:val="center"/>
              <w:spacing w:after="0"/>
              <w:rPr>
                <w:sz w:val="20"/>
                <w:szCs w:val="20"/>
                <w:color w:val="auto"/>
              </w:rPr>
            </w:pPr>
            <w:r>
              <w:rPr>
                <w:rFonts w:ascii="Arial" w:cs="Arial" w:eastAsia="Arial" w:hAnsi="Arial"/>
                <w:sz w:val="15"/>
                <w:szCs w:val="15"/>
                <w:color w:val="auto"/>
              </w:rPr>
              <w:t>0</w:t>
            </w:r>
          </w:p>
        </w:tc>
        <w:tc>
          <w:tcPr>
            <w:tcW w:w="640" w:type="dxa"/>
            <w:vAlign w:val="bottom"/>
            <w:shd w:val="clear" w:color="auto" w:fill="E7E6E6"/>
          </w:tcPr>
          <w:p>
            <w:pPr>
              <w:jc w:val="center"/>
              <w:spacing w:after="0"/>
              <w:rPr>
                <w:sz w:val="20"/>
                <w:szCs w:val="20"/>
                <w:color w:val="auto"/>
              </w:rPr>
            </w:pPr>
            <w:r>
              <w:rPr>
                <w:rFonts w:ascii="Arial" w:cs="Arial" w:eastAsia="Arial" w:hAnsi="Arial"/>
                <w:sz w:val="15"/>
                <w:szCs w:val="15"/>
                <w:color w:val="auto"/>
                <w:w w:val="95"/>
              </w:rPr>
              <w:t>0</w:t>
            </w:r>
          </w:p>
        </w:tc>
      </w:tr>
      <w:tr>
        <w:trPr>
          <w:trHeight w:val="208"/>
        </w:trPr>
        <w:tc>
          <w:tcPr>
            <w:tcW w:w="2480" w:type="dxa"/>
            <w:vAlign w:val="bottom"/>
            <w:shd w:val="clear" w:color="auto" w:fill="BFBFBF"/>
          </w:tcPr>
          <w:p>
            <w:pPr>
              <w:ind w:left="60"/>
              <w:spacing w:after="0"/>
              <w:rPr>
                <w:sz w:val="20"/>
                <w:szCs w:val="20"/>
                <w:color w:val="auto"/>
              </w:rPr>
            </w:pPr>
            <w:r>
              <w:rPr>
                <w:rFonts w:ascii="Arial" w:cs="Arial" w:eastAsia="Arial" w:hAnsi="Arial"/>
                <w:sz w:val="15"/>
                <w:szCs w:val="15"/>
                <w:color w:val="FFFFFF"/>
              </w:rPr>
              <w:t>Total</w:t>
            </w:r>
          </w:p>
        </w:tc>
        <w:tc>
          <w:tcPr>
            <w:tcW w:w="620" w:type="dxa"/>
            <w:vAlign w:val="bottom"/>
            <w:shd w:val="clear" w:color="auto" w:fill="BFBFBF"/>
          </w:tcPr>
          <w:p>
            <w:pPr>
              <w:jc w:val="center"/>
              <w:spacing w:after="0"/>
              <w:rPr>
                <w:sz w:val="20"/>
                <w:szCs w:val="20"/>
                <w:color w:val="auto"/>
              </w:rPr>
            </w:pPr>
            <w:r>
              <w:rPr>
                <w:rFonts w:ascii="Arial" w:cs="Arial" w:eastAsia="Arial" w:hAnsi="Arial"/>
                <w:sz w:val="15"/>
                <w:szCs w:val="15"/>
                <w:color w:val="auto"/>
                <w:w w:val="95"/>
              </w:rPr>
              <w:t>381</w:t>
            </w:r>
          </w:p>
        </w:tc>
        <w:tc>
          <w:tcPr>
            <w:tcW w:w="600" w:type="dxa"/>
            <w:vAlign w:val="bottom"/>
            <w:shd w:val="clear" w:color="auto" w:fill="BFBFBF"/>
          </w:tcPr>
          <w:p>
            <w:pPr>
              <w:jc w:val="center"/>
              <w:spacing w:after="0"/>
              <w:rPr>
                <w:sz w:val="20"/>
                <w:szCs w:val="20"/>
                <w:color w:val="auto"/>
              </w:rPr>
            </w:pPr>
            <w:r>
              <w:rPr>
                <w:rFonts w:ascii="Arial" w:cs="Arial" w:eastAsia="Arial" w:hAnsi="Arial"/>
                <w:sz w:val="15"/>
                <w:szCs w:val="15"/>
                <w:color w:val="auto"/>
              </w:rPr>
              <w:t>393</w:t>
            </w:r>
          </w:p>
        </w:tc>
        <w:tc>
          <w:tcPr>
            <w:tcW w:w="640" w:type="dxa"/>
            <w:vAlign w:val="bottom"/>
            <w:shd w:val="clear" w:color="auto" w:fill="BFBFBF"/>
          </w:tcPr>
          <w:p>
            <w:pPr>
              <w:jc w:val="center"/>
              <w:spacing w:after="0"/>
              <w:rPr>
                <w:sz w:val="20"/>
                <w:szCs w:val="20"/>
                <w:color w:val="auto"/>
              </w:rPr>
            </w:pPr>
            <w:r>
              <w:rPr>
                <w:rFonts w:ascii="Arial" w:cs="Arial" w:eastAsia="Arial" w:hAnsi="Arial"/>
                <w:sz w:val="15"/>
                <w:szCs w:val="15"/>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-1565910</wp:posOffset>
            </wp:positionV>
            <wp:extent cx="2745105" cy="15811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745105" cy="15811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Organizational justice and the Ethics Committee</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Organizational justice implies addressing cases of unethical conduct in a timely manner as well as applying the corresponding corrective and disciplinary measures if violations of our Code and values are confirmed. This is key to generating an environment based on trust for our employees, who must perceive that ethics is embedded in our organizational culture.</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760" w:type="dxa"/>
            <w:vAlign w:val="bottom"/>
            <w:vMerge w:val="restart"/>
          </w:tcPr>
          <w:p>
            <w:pPr>
              <w:jc w:val="right"/>
              <w:spacing w:after="0"/>
              <w:rPr>
                <w:sz w:val="20"/>
                <w:szCs w:val="20"/>
                <w:color w:val="auto"/>
              </w:rPr>
            </w:pPr>
            <w:r>
              <w:rPr>
                <w:rFonts w:ascii="Arial" w:cs="Arial" w:eastAsia="Arial" w:hAnsi="Arial"/>
                <w:sz w:val="34"/>
                <w:szCs w:val="34"/>
                <w:color w:val="auto"/>
                <w:w w:val="93"/>
              </w:rPr>
              <w:t>88%</w:t>
            </w:r>
          </w:p>
        </w:tc>
        <w:tc>
          <w:tcPr>
            <w:tcW w:w="1840" w:type="dxa"/>
            <w:vAlign w:val="bottom"/>
          </w:tcPr>
          <w:p>
            <w:pPr>
              <w:ind w:left="80"/>
              <w:spacing w:after="0"/>
              <w:rPr>
                <w:sz w:val="20"/>
                <w:szCs w:val="20"/>
                <w:color w:val="auto"/>
              </w:rPr>
            </w:pPr>
            <w:r>
              <w:rPr>
                <w:rFonts w:ascii="Arial" w:cs="Arial" w:eastAsia="Arial" w:hAnsi="Arial"/>
                <w:sz w:val="15"/>
                <w:szCs w:val="15"/>
                <w:color w:val="auto"/>
              </w:rPr>
              <w:t>Trust that disciplinary</w:t>
            </w:r>
          </w:p>
        </w:tc>
        <w:tc>
          <w:tcPr>
            <w:tcW w:w="1080" w:type="dxa"/>
            <w:vAlign w:val="bottom"/>
            <w:vMerge w:val="restart"/>
          </w:tcPr>
          <w:p>
            <w:pPr>
              <w:jc w:val="right"/>
              <w:spacing w:after="0"/>
              <w:rPr>
                <w:sz w:val="20"/>
                <w:szCs w:val="20"/>
                <w:color w:val="auto"/>
              </w:rPr>
            </w:pPr>
            <w:r>
              <w:rPr>
                <w:rFonts w:ascii="Arial" w:cs="Arial" w:eastAsia="Arial" w:hAnsi="Arial"/>
                <w:sz w:val="34"/>
                <w:szCs w:val="34"/>
                <w:color w:val="auto"/>
              </w:rPr>
              <w:t>85%</w:t>
            </w:r>
          </w:p>
        </w:tc>
        <w:tc>
          <w:tcPr>
            <w:tcW w:w="1520" w:type="dxa"/>
            <w:vAlign w:val="bottom"/>
          </w:tcPr>
          <w:p>
            <w:pPr>
              <w:ind w:left="80"/>
              <w:spacing w:after="0"/>
              <w:rPr>
                <w:sz w:val="20"/>
                <w:szCs w:val="20"/>
                <w:color w:val="auto"/>
              </w:rPr>
            </w:pPr>
            <w:r>
              <w:rPr>
                <w:rFonts w:ascii="Arial" w:cs="Arial" w:eastAsia="Arial" w:hAnsi="Arial"/>
                <w:sz w:val="15"/>
                <w:szCs w:val="15"/>
                <w:color w:val="auto"/>
              </w:rPr>
              <w:t>Trust that disciplinary</w:t>
            </w:r>
          </w:p>
        </w:tc>
        <w:tc>
          <w:tcPr>
            <w:tcW w:w="0" w:type="dxa"/>
            <w:vAlign w:val="bottom"/>
          </w:tcPr>
          <w:p>
            <w:pPr>
              <w:spacing w:after="0"/>
              <w:rPr>
                <w:sz w:val="1"/>
                <w:szCs w:val="1"/>
                <w:color w:val="auto"/>
              </w:rPr>
            </w:pPr>
          </w:p>
        </w:tc>
      </w:tr>
      <w:tr>
        <w:trPr>
          <w:trHeight w:val="173"/>
        </w:trPr>
        <w:tc>
          <w:tcPr>
            <w:tcW w:w="760" w:type="dxa"/>
            <w:vAlign w:val="bottom"/>
            <w:vMerge w:val="continue"/>
          </w:tcPr>
          <w:p>
            <w:pPr>
              <w:spacing w:after="0"/>
              <w:rPr>
                <w:sz w:val="15"/>
                <w:szCs w:val="15"/>
                <w:color w:val="auto"/>
              </w:rPr>
            </w:pPr>
          </w:p>
        </w:tc>
        <w:tc>
          <w:tcPr>
            <w:tcW w:w="1840" w:type="dxa"/>
            <w:vAlign w:val="bottom"/>
          </w:tcPr>
          <w:p>
            <w:pPr>
              <w:ind w:left="80"/>
              <w:spacing w:after="0"/>
              <w:rPr>
                <w:sz w:val="20"/>
                <w:szCs w:val="20"/>
                <w:color w:val="auto"/>
              </w:rPr>
            </w:pPr>
            <w:r>
              <w:rPr>
                <w:rFonts w:ascii="Arial" w:cs="Arial" w:eastAsia="Arial" w:hAnsi="Arial"/>
                <w:sz w:val="15"/>
                <w:szCs w:val="15"/>
                <w:color w:val="auto"/>
              </w:rPr>
              <w:t>measures will be</w:t>
            </w:r>
          </w:p>
        </w:tc>
        <w:tc>
          <w:tcPr>
            <w:tcW w:w="1080" w:type="dxa"/>
            <w:vAlign w:val="bottom"/>
            <w:vMerge w:val="continue"/>
          </w:tcPr>
          <w:p>
            <w:pPr>
              <w:spacing w:after="0"/>
              <w:rPr>
                <w:sz w:val="15"/>
                <w:szCs w:val="15"/>
                <w:color w:val="auto"/>
              </w:rPr>
            </w:pPr>
          </w:p>
        </w:tc>
        <w:tc>
          <w:tcPr>
            <w:tcW w:w="1520" w:type="dxa"/>
            <w:vAlign w:val="bottom"/>
          </w:tcPr>
          <w:p>
            <w:pPr>
              <w:ind w:left="80"/>
              <w:spacing w:after="0"/>
              <w:rPr>
                <w:sz w:val="20"/>
                <w:szCs w:val="20"/>
                <w:color w:val="auto"/>
              </w:rPr>
            </w:pPr>
            <w:r>
              <w:rPr>
                <w:rFonts w:ascii="Arial" w:cs="Arial" w:eastAsia="Arial" w:hAnsi="Arial"/>
                <w:sz w:val="15"/>
                <w:szCs w:val="15"/>
                <w:color w:val="auto"/>
              </w:rPr>
              <w:t>measures for ethical</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Arial" w:cs="Arial" w:eastAsia="Arial" w:hAnsi="Arial"/>
                <w:sz w:val="15"/>
                <w:szCs w:val="15"/>
                <w:color w:val="auto"/>
              </w:rPr>
              <w:t>taken to punish</w:t>
            </w:r>
          </w:p>
        </w:tc>
        <w:tc>
          <w:tcPr>
            <w:tcW w:w="1080" w:type="dxa"/>
            <w:vAlign w:val="bottom"/>
          </w:tcPr>
          <w:p>
            <w:pPr>
              <w:spacing w:after="0"/>
              <w:rPr>
                <w:sz w:val="15"/>
                <w:szCs w:val="15"/>
                <w:color w:val="auto"/>
              </w:rPr>
            </w:pPr>
          </w:p>
        </w:tc>
        <w:tc>
          <w:tcPr>
            <w:tcW w:w="1520" w:type="dxa"/>
            <w:vAlign w:val="bottom"/>
          </w:tcPr>
          <w:p>
            <w:pPr>
              <w:ind w:left="80"/>
              <w:spacing w:after="0"/>
              <w:rPr>
                <w:sz w:val="20"/>
                <w:szCs w:val="20"/>
                <w:color w:val="auto"/>
              </w:rPr>
            </w:pPr>
            <w:r>
              <w:rPr>
                <w:rFonts w:ascii="Arial" w:cs="Arial" w:eastAsia="Arial" w:hAnsi="Arial"/>
                <w:sz w:val="15"/>
                <w:szCs w:val="15"/>
                <w:color w:val="auto"/>
              </w:rPr>
              <w:t>violations will be</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Arial" w:cs="Arial" w:eastAsia="Arial" w:hAnsi="Arial"/>
                <w:sz w:val="15"/>
                <w:szCs w:val="15"/>
                <w:color w:val="auto"/>
              </w:rPr>
              <w:t>ethical violations at</w:t>
            </w:r>
          </w:p>
        </w:tc>
        <w:tc>
          <w:tcPr>
            <w:tcW w:w="1080" w:type="dxa"/>
            <w:vAlign w:val="bottom"/>
          </w:tcPr>
          <w:p>
            <w:pPr>
              <w:spacing w:after="0"/>
              <w:rPr>
                <w:sz w:val="15"/>
                <w:szCs w:val="15"/>
                <w:color w:val="auto"/>
              </w:rPr>
            </w:pPr>
          </w:p>
        </w:tc>
        <w:tc>
          <w:tcPr>
            <w:tcW w:w="1520" w:type="dxa"/>
            <w:vAlign w:val="bottom"/>
          </w:tcPr>
          <w:p>
            <w:pPr>
              <w:ind w:left="80"/>
              <w:spacing w:after="0"/>
              <w:rPr>
                <w:sz w:val="20"/>
                <w:szCs w:val="20"/>
                <w:color w:val="auto"/>
              </w:rPr>
            </w:pPr>
            <w:r>
              <w:rPr>
                <w:rFonts w:ascii="Arial" w:cs="Arial" w:eastAsia="Arial" w:hAnsi="Arial"/>
                <w:sz w:val="15"/>
                <w:szCs w:val="15"/>
                <w:color w:val="auto"/>
              </w:rPr>
              <w:t>applied equally to all</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1840" w:type="dxa"/>
            <w:vAlign w:val="bottom"/>
          </w:tcPr>
          <w:p>
            <w:pPr>
              <w:ind w:left="80"/>
              <w:spacing w:after="0"/>
              <w:rPr>
                <w:sz w:val="20"/>
                <w:szCs w:val="20"/>
                <w:color w:val="auto"/>
              </w:rPr>
            </w:pPr>
            <w:r>
              <w:rPr>
                <w:rFonts w:ascii="Arial" w:cs="Arial" w:eastAsia="Arial" w:hAnsi="Arial"/>
                <w:sz w:val="15"/>
                <w:szCs w:val="15"/>
                <w:color w:val="auto"/>
              </w:rPr>
              <w:t>the company</w:t>
            </w:r>
          </w:p>
        </w:tc>
        <w:tc>
          <w:tcPr>
            <w:tcW w:w="108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Arial" w:cs="Arial" w:eastAsia="Arial" w:hAnsi="Arial"/>
                <w:sz w:val="15"/>
                <w:szCs w:val="15"/>
                <w:color w:val="auto"/>
              </w:rPr>
              <w:t>employees.</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Each of the Group’s companies has an Ethics Committee, which meets on an ad-hoc basis to examine cases that may generate a significant impact. In the case that impact is important for Credicorp as well, the case can be elevated for review by the Corporate Ethics Committee. Additionally, because we believe that by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142</w:t>
      </w:r>
    </w:p>
    <w:p>
      <w:pPr>
        <w:sectPr>
          <w:pgSz w:w="11900" w:h="16838" w:orient="portrait"/>
          <w:cols w:equalWidth="0" w:num="2">
            <w:col w:w="5428" w:space="420"/>
            <w:col w:w="5420"/>
          </w:cols>
          <w:pgMar w:left="312" w:top="294" w:right="319" w:bottom="1440" w:gutter="0" w:footer="0" w:header="0"/>
        </w:sectPr>
      </w:pPr>
    </w:p>
    <w:bookmarkStart w:id="145" w:name="page146"/>
    <w:bookmarkEnd w:id="145"/>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transparent about our ethics line engenders ethical behavior, the Sustainability Committees reviews the main initiatives and results of our ethics line on an annual basis.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Addressing our employees’ doubts and questions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All of Credicorp’s employees have access to channels to ask questions about any aspect of the Code and its complementary Policies.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2F5496"/>
        </w:rPr>
        <w:t>Training in ethics and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E93CAC"/>
        </w:rPr>
        <w:t>We are aware of our role and impact on society</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5"/>
          <w:szCs w:val="15"/>
          <w:color w:val="auto"/>
        </w:rPr>
        <w:t>We are committed to our role to be agents of change. For the second consecutive year, the Division of Compliance and Ethics participated in the Programa Contigo Emprendedor. This year, we also provided information on Personal Data protection to the Programa “Contigo Agente,” which was attended by more than 1,500 Agentes BCP. We obtained a satisfaction level of 99% T2B for this effort and 83% of participants proved that they had internalized the concepts by correctly answering the questions in the follow-up assessment. Additionally, our Division participated in a program that reached more than 100 thousand Small Businesses throughout Peru.</w:t>
      </w:r>
    </w:p>
    <w:p>
      <w:pPr>
        <w:spacing w:after="0" w:line="4" w:lineRule="exact"/>
        <w:rPr>
          <w:sz w:val="20"/>
          <w:szCs w:val="20"/>
          <w:color w:val="auto"/>
        </w:rPr>
      </w:pPr>
    </w:p>
    <w:p>
      <w:pPr>
        <w:sectPr>
          <w:pgSz w:w="11900" w:h="16838" w:orient="portrait"/>
          <w:cols w:equalWidth="0" w:num="2">
            <w:col w:w="5400" w:space="440"/>
            <w:col w:w="5420"/>
          </w:cols>
          <w:pgMar w:left="320" w:top="294" w:right="319" w:bottom="1440" w:gutter="0" w:footer="0" w:header="0"/>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472C4"/>
        </w:rPr>
        <w:t>Political Juncture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1647190" cy="1947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647190" cy="1947545"/>
                    </a:xfrm>
                    <a:prstGeom prst="rect">
                      <a:avLst/>
                    </a:prstGeom>
                    <a:noFill/>
                  </pic:spPr>
                </pic:pic>
              </a:graphicData>
            </a:graphic>
          </wp:anchor>
        </w:drawing>
      </w:r>
    </w:p>
    <w:p>
      <w:pPr>
        <w:spacing w:after="0" w:line="171" w:lineRule="exact"/>
        <w:rPr>
          <w:sz w:val="20"/>
          <w:szCs w:val="20"/>
          <w:color w:val="auto"/>
        </w:rPr>
      </w:pPr>
    </w:p>
    <w:p>
      <w:pPr>
        <w:jc w:val="both"/>
        <w:ind w:left="40"/>
        <w:spacing w:after="0" w:line="241" w:lineRule="auto"/>
        <w:rPr>
          <w:sz w:val="20"/>
          <w:szCs w:val="20"/>
          <w:color w:val="auto"/>
        </w:rPr>
      </w:pPr>
      <w:r>
        <w:rPr>
          <w:rFonts w:ascii="Arial" w:cs="Arial" w:eastAsia="Arial" w:hAnsi="Arial"/>
          <w:sz w:val="15"/>
          <w:szCs w:val="15"/>
          <w:color w:val="4472C4"/>
        </w:rPr>
        <w:t>In 2022, in a context of elections in Peru and Colombia, all employees received communications to remind them that all political activities and contributions in Credicorp’s name are strictly forbidden. This information included guidelines to follow in the case that employees, on a purely personal basis, choose to participate in activities or make contributions. We also updated our guidelines for employees that wish to hold public office to head off potential conflicts of interest.</w:t>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Arial" w:cs="Arial" w:eastAsia="Arial" w:hAnsi="Arial"/>
          <w:sz w:val="15"/>
          <w:szCs w:val="15"/>
          <w:color w:val="auto"/>
        </w:rPr>
        <w:t>Every year, employees must complete and online training program, which addresses the most relevant aspects of the Code of Ethics. In 2022, 92% of employees successfully completed the program and corrective and disciplinary measures were taken to ensure that the remainder of employees complete the course.</w:t>
      </w:r>
    </w:p>
    <w:p>
      <w:pPr>
        <w:spacing w:after="0" w:line="16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All of the directors of Credicorp and the subsidiaries have been trained understand the most relevant risks relative to Compliance and Ethics and the casuistries of ethical decision-making. This training is conducted when a new director is named and all directors receive this training once a year.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Ethics as our way of doing business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As part of our sustainability platform “Simplicity and Transparency,” we conducted, for the fifth consecutive year, a campaign to create awareness about responsible selling at BCP’s commercial units. The objective was to emphasize the importance of offering our clients products that they need in a simple and transparent manner. Leaders of the Commercial Division disseminated messages that motivate employees to think about the client’s needs and to act transparently at all times. We use online communications channels to disseminate: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 w:type="dxa"/>
            <w:vAlign w:val="bottom"/>
            <w:tcBorders>
              <w:right w:val="single" w:sz="8" w:color="auto"/>
            </w:tcBorders>
          </w:tcPr>
          <w:p>
            <w:pPr>
              <w:spacing w:after="0"/>
              <w:rPr>
                <w:sz w:val="14"/>
                <w:szCs w:val="14"/>
                <w:color w:val="auto"/>
              </w:rPr>
            </w:pPr>
          </w:p>
        </w:tc>
        <w:tc>
          <w:tcPr>
            <w:tcW w:w="3180" w:type="dxa"/>
            <w:vAlign w:val="bottom"/>
            <w:tcBorders>
              <w:top w:val="single" w:sz="8" w:color="auto"/>
              <w:right w:val="single" w:sz="8" w:color="auto"/>
            </w:tcBorders>
          </w:tcPr>
          <w:p>
            <w:pPr>
              <w:ind w:left="60"/>
              <w:spacing w:after="0" w:line="166" w:lineRule="exact"/>
              <w:rPr>
                <w:sz w:val="20"/>
                <w:szCs w:val="20"/>
                <w:color w:val="auto"/>
              </w:rPr>
            </w:pPr>
            <w:r>
              <w:rPr>
                <w:rFonts w:ascii="Arial" w:cs="Arial" w:eastAsia="Arial" w:hAnsi="Arial"/>
                <w:sz w:val="15"/>
                <w:szCs w:val="15"/>
                <w:color w:val="auto"/>
              </w:rPr>
              <w:t>Tips for responsible selling, trivia, real</w:t>
            </w:r>
          </w:p>
        </w:tc>
        <w:tc>
          <w:tcPr>
            <w:tcW w:w="1120" w:type="dxa"/>
            <w:vAlign w:val="bottom"/>
            <w:tcBorders>
              <w:top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rPr>
              <w:t>Reached</w:t>
            </w:r>
          </w:p>
        </w:tc>
      </w:tr>
      <w:tr>
        <w:trPr>
          <w:trHeight w:val="191"/>
        </w:trPr>
        <w:tc>
          <w:tcPr>
            <w:tcW w:w="580" w:type="dxa"/>
            <w:vAlign w:val="bottom"/>
            <w:tcBorders>
              <w:right w:val="single" w:sz="8" w:color="auto"/>
            </w:tcBorders>
          </w:tcPr>
          <w:p>
            <w:pPr>
              <w:spacing w:after="0"/>
              <w:rPr>
                <w:sz w:val="16"/>
                <w:szCs w:val="16"/>
                <w:color w:val="auto"/>
              </w:rPr>
            </w:pP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cases and reinforcement through online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+9,500</w:t>
            </w:r>
          </w:p>
        </w:tc>
      </w:tr>
      <w:tr>
        <w:trPr>
          <w:trHeight w:val="174"/>
        </w:trPr>
        <w:tc>
          <w:tcPr>
            <w:tcW w:w="580" w:type="dxa"/>
            <w:vAlign w:val="bottom"/>
            <w:tcBorders>
              <w:right w:val="single" w:sz="8" w:color="auto"/>
            </w:tcBorders>
          </w:tcPr>
          <w:p>
            <w:pPr>
              <w:spacing w:after="0"/>
              <w:rPr>
                <w:sz w:val="15"/>
                <w:szCs w:val="15"/>
                <w:color w:val="auto"/>
              </w:rPr>
            </w:pPr>
          </w:p>
        </w:tc>
        <w:tc>
          <w:tcPr>
            <w:tcW w:w="3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chats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employees</w:t>
            </w:r>
          </w:p>
        </w:tc>
      </w:tr>
      <w:tr>
        <w:trPr>
          <w:trHeight w:val="383"/>
        </w:trPr>
        <w:tc>
          <w:tcPr>
            <w:tcW w:w="3760" w:type="dxa"/>
            <w:vAlign w:val="bottom"/>
            <w:gridSpan w:val="2"/>
          </w:tcPr>
          <w:p>
            <w:pPr>
              <w:spacing w:after="0"/>
              <w:rPr>
                <w:sz w:val="20"/>
                <w:szCs w:val="20"/>
                <w:color w:val="auto"/>
              </w:rPr>
            </w:pPr>
            <w:r>
              <w:rPr>
                <w:rFonts w:ascii="Arial" w:cs="Arial" w:eastAsia="Arial" w:hAnsi="Arial"/>
                <w:sz w:val="15"/>
                <w:szCs w:val="15"/>
                <w:b w:val="1"/>
                <w:bCs w:val="1"/>
                <w:color w:val="E93CAC"/>
              </w:rPr>
              <w:t>Suppliers aligned with our Ethics and Integrity</w:t>
            </w:r>
          </w:p>
        </w:tc>
        <w:tc>
          <w:tcPr>
            <w:tcW w:w="1120" w:type="dxa"/>
            <w:vAlign w:val="bottom"/>
          </w:tcPr>
          <w:p>
            <w:pPr>
              <w:spacing w:after="0"/>
              <w:rPr>
                <w:sz w:val="24"/>
                <w:szCs w:val="24"/>
                <w:color w:val="auto"/>
              </w:rPr>
            </w:pPr>
          </w:p>
        </w:tc>
      </w:tr>
    </w:tbl>
    <w:p>
      <w:pPr>
        <w:spacing w:after="0" w:line="161" w:lineRule="exact"/>
        <w:rPr>
          <w:sz w:val="20"/>
          <w:szCs w:val="20"/>
          <w:color w:val="auto"/>
        </w:rPr>
      </w:pPr>
    </w:p>
    <w:p>
      <w:pPr>
        <w:ind w:right="180"/>
        <w:spacing w:after="0" w:line="200" w:lineRule="auto"/>
        <w:rPr>
          <w:sz w:val="20"/>
          <w:szCs w:val="20"/>
          <w:color w:val="auto"/>
        </w:rPr>
      </w:pPr>
      <w:r>
        <w:rPr>
          <w:rFonts w:ascii="Arial" w:cs="Arial" w:eastAsia="Arial" w:hAnsi="Arial"/>
          <w:sz w:val="15"/>
          <w:szCs w:val="15"/>
          <w:color w:val="auto"/>
        </w:rPr>
        <w:t>Our commitment to ethics and integrity also applies to our relations with suppliers and counterparties given that we recognize that when relations with</w:t>
      </w:r>
    </w:p>
    <w:p>
      <w:pPr>
        <w:spacing w:after="0" w:line="1" w:lineRule="exact"/>
        <w:rPr>
          <w:sz w:val="20"/>
          <w:szCs w:val="20"/>
          <w:color w:val="auto"/>
        </w:rPr>
      </w:pPr>
    </w:p>
    <w:p>
      <w:pPr>
        <w:sectPr>
          <w:pgSz w:w="11900" w:h="16838" w:orient="portrait"/>
          <w:cols w:equalWidth="0" w:num="3">
            <w:col w:w="2520" w:space="280"/>
            <w:col w:w="2600" w:space="440"/>
            <w:col w:w="5420"/>
          </w:cols>
          <w:pgMar w:left="320" w:top="294" w:right="319" w:bottom="1440" w:gutter="0" w:footer="0" w:header="0"/>
          <w:type w:val="continuous"/>
        </w:sectPr>
      </w:pPr>
    </w:p>
    <w:p>
      <w:pPr>
        <w:jc w:val="both"/>
        <w:spacing w:after="0" w:line="246" w:lineRule="auto"/>
        <w:rPr>
          <w:sz w:val="20"/>
          <w:szCs w:val="20"/>
          <w:color w:val="auto"/>
        </w:rPr>
      </w:pPr>
      <w:r>
        <w:rPr>
          <w:rFonts w:ascii="Arial" w:cs="Arial" w:eastAsia="Arial" w:hAnsi="Arial"/>
          <w:sz w:val="15"/>
          <w:szCs w:val="15"/>
          <w:color w:val="auto"/>
        </w:rPr>
        <w:t>Periodically, internal communications campaigns and training are rolled out with high-risk units (commercial, supplier management, confidential information management, etc.) to address practical questions and ensure compliance with the Code of Ethics.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 xml:space="preserve">GenÉTICA </w:t>
      </w:r>
      <w:r>
        <w:rPr>
          <w:rFonts w:ascii="Arial" w:cs="Arial" w:eastAsia="Arial" w:hAnsi="Arial"/>
          <w:sz w:val="15"/>
          <w:szCs w:val="15"/>
          <w:b w:val="1"/>
          <w:bCs w:val="1"/>
          <w:i w:val="1"/>
          <w:iCs w:val="1"/>
          <w:color w:val="E93CAC"/>
        </w:rPr>
        <w:t>Lab</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This is the format we use to create awareness among and train Credicorp leaders who work in high-risk units. In 2022, we launched the “GenÉTICA Credicorp – Ethics at the next level” campaign and conducted 20 workshops with close to 300 leaders.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these workshops, we reinforced knowledge about the main guidelines for anti-corruption and conflicts of interest. These initiatives, which combined fun and practical approaches, also covered ethical behaviors in leadership roles.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00" w:type="dxa"/>
            <w:vAlign w:val="bottom"/>
          </w:tcPr>
          <w:p>
            <w:pPr>
              <w:ind w:left="780"/>
              <w:spacing w:after="0"/>
              <w:rPr>
                <w:sz w:val="20"/>
                <w:szCs w:val="20"/>
                <w:color w:val="auto"/>
              </w:rPr>
            </w:pPr>
            <w:r>
              <w:rPr>
                <w:rFonts w:ascii="Arial" w:cs="Arial" w:eastAsia="Arial" w:hAnsi="Arial"/>
                <w:sz w:val="15"/>
                <w:szCs w:val="15"/>
                <w:color w:val="auto"/>
              </w:rPr>
              <w:t>Was the</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00" w:type="dxa"/>
            <w:vAlign w:val="bottom"/>
          </w:tcPr>
          <w:p>
            <w:pPr>
              <w:ind w:left="780"/>
              <w:spacing w:after="0"/>
              <w:rPr>
                <w:sz w:val="20"/>
                <w:szCs w:val="20"/>
                <w:color w:val="auto"/>
              </w:rPr>
            </w:pPr>
            <w:r>
              <w:rPr>
                <w:rFonts w:ascii="Arial" w:cs="Arial" w:eastAsia="Arial" w:hAnsi="Arial"/>
                <w:sz w:val="15"/>
                <w:szCs w:val="15"/>
                <w:color w:val="auto"/>
              </w:rPr>
              <w:t>leaders’ level</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800" w:type="dxa"/>
            <w:vAlign w:val="bottom"/>
            <w:vMerge w:val="restart"/>
          </w:tcPr>
          <w:p>
            <w:pPr>
              <w:jc w:val="right"/>
              <w:spacing w:after="0" w:line="345" w:lineRule="exact"/>
              <w:rPr>
                <w:sz w:val="20"/>
                <w:szCs w:val="20"/>
                <w:color w:val="auto"/>
              </w:rPr>
            </w:pPr>
            <w:r>
              <w:rPr>
                <w:rFonts w:ascii="Arial" w:cs="Arial" w:eastAsia="Arial" w:hAnsi="Arial"/>
                <w:sz w:val="31"/>
                <w:szCs w:val="31"/>
                <w:color w:val="auto"/>
              </w:rPr>
              <w:t>91%</w:t>
            </w:r>
          </w:p>
        </w:tc>
        <w:tc>
          <w:tcPr>
            <w:tcW w:w="1120" w:type="dxa"/>
            <w:vAlign w:val="bottom"/>
          </w:tcPr>
          <w:p>
            <w:pPr>
              <w:spacing w:after="0"/>
              <w:rPr>
                <w:sz w:val="15"/>
                <w:szCs w:val="15"/>
                <w:color w:val="auto"/>
              </w:rPr>
            </w:pPr>
          </w:p>
        </w:tc>
        <w:tc>
          <w:tcPr>
            <w:tcW w:w="1700" w:type="dxa"/>
            <w:vAlign w:val="bottom"/>
          </w:tcPr>
          <w:p>
            <w:pPr>
              <w:ind w:left="780"/>
              <w:spacing w:after="0"/>
              <w:rPr>
                <w:sz w:val="20"/>
                <w:szCs w:val="20"/>
                <w:color w:val="auto"/>
              </w:rPr>
            </w:pPr>
            <w:r>
              <w:rPr>
                <w:rFonts w:ascii="Arial" w:cs="Arial" w:eastAsia="Arial" w:hAnsi="Arial"/>
                <w:sz w:val="15"/>
                <w:szCs w:val="15"/>
                <w:color w:val="auto"/>
              </w:rPr>
              <w:t>of knowledge</w:t>
            </w:r>
          </w:p>
        </w:tc>
        <w:tc>
          <w:tcPr>
            <w:tcW w:w="0" w:type="dxa"/>
            <w:vAlign w:val="bottom"/>
          </w:tcPr>
          <w:p>
            <w:pPr>
              <w:spacing w:after="0"/>
              <w:rPr>
                <w:sz w:val="1"/>
                <w:szCs w:val="1"/>
                <w:color w:val="auto"/>
              </w:rPr>
            </w:pPr>
          </w:p>
        </w:tc>
      </w:tr>
      <w:tr>
        <w:trPr>
          <w:trHeight w:val="173"/>
        </w:trPr>
        <w:tc>
          <w:tcPr>
            <w:tcW w:w="1620" w:type="dxa"/>
            <w:vAlign w:val="bottom"/>
          </w:tcPr>
          <w:p>
            <w:pPr>
              <w:ind w:left="680"/>
              <w:spacing w:after="0"/>
              <w:rPr>
                <w:sz w:val="20"/>
                <w:szCs w:val="20"/>
                <w:color w:val="auto"/>
              </w:rPr>
            </w:pPr>
            <w:r>
              <w:rPr>
                <w:rFonts w:ascii="Arial" w:cs="Arial" w:eastAsia="Arial" w:hAnsi="Arial"/>
                <w:sz w:val="15"/>
                <w:szCs w:val="15"/>
                <w:color w:val="auto"/>
              </w:rPr>
              <w:t>Of leaders</w:t>
            </w:r>
          </w:p>
        </w:tc>
        <w:tc>
          <w:tcPr>
            <w:tcW w:w="800" w:type="dxa"/>
            <w:vAlign w:val="bottom"/>
            <w:vMerge w:val="continue"/>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Were satisfied</w:t>
            </w:r>
          </w:p>
        </w:tc>
        <w:tc>
          <w:tcPr>
            <w:tcW w:w="1700" w:type="dxa"/>
            <w:vAlign w:val="bottom"/>
          </w:tcPr>
          <w:p>
            <w:pPr>
              <w:ind w:left="780"/>
              <w:spacing w:after="0"/>
              <w:rPr>
                <w:sz w:val="20"/>
                <w:szCs w:val="20"/>
                <w:color w:val="auto"/>
              </w:rPr>
            </w:pPr>
            <w:r>
              <w:rPr>
                <w:rFonts w:ascii="Arial" w:cs="Arial" w:eastAsia="Arial" w:hAnsi="Arial"/>
                <w:sz w:val="15"/>
                <w:szCs w:val="15"/>
                <w:color w:val="auto"/>
              </w:rPr>
              <w:t>about the</w:t>
            </w:r>
          </w:p>
        </w:tc>
        <w:tc>
          <w:tcPr>
            <w:tcW w:w="0" w:type="dxa"/>
            <w:vAlign w:val="bottom"/>
          </w:tcPr>
          <w:p>
            <w:pPr>
              <w:spacing w:after="0"/>
              <w:rPr>
                <w:sz w:val="1"/>
                <w:szCs w:val="1"/>
                <w:color w:val="auto"/>
              </w:rPr>
            </w:pPr>
          </w:p>
        </w:tc>
      </w:tr>
      <w:tr>
        <w:trPr>
          <w:trHeight w:val="139"/>
        </w:trPr>
        <w:tc>
          <w:tcPr>
            <w:tcW w:w="1620" w:type="dxa"/>
            <w:vAlign w:val="bottom"/>
          </w:tcPr>
          <w:p>
            <w:pPr>
              <w:ind w:left="680"/>
              <w:spacing w:after="0" w:line="139" w:lineRule="exact"/>
              <w:rPr>
                <w:sz w:val="20"/>
                <w:szCs w:val="20"/>
                <w:color w:val="auto"/>
              </w:rPr>
            </w:pPr>
            <w:r>
              <w:rPr>
                <w:rFonts w:ascii="Arial" w:cs="Arial" w:eastAsia="Arial" w:hAnsi="Arial"/>
                <w:sz w:val="15"/>
                <w:szCs w:val="15"/>
                <w:color w:val="auto"/>
              </w:rPr>
              <w:t>invited</w:t>
            </w:r>
          </w:p>
        </w:tc>
        <w:tc>
          <w:tcPr>
            <w:tcW w:w="800" w:type="dxa"/>
            <w:vAlign w:val="bottom"/>
          </w:tcPr>
          <w:p>
            <w:pPr>
              <w:spacing w:after="0"/>
              <w:rPr>
                <w:sz w:val="12"/>
                <w:szCs w:val="12"/>
                <w:color w:val="auto"/>
              </w:rPr>
            </w:pPr>
          </w:p>
        </w:tc>
        <w:tc>
          <w:tcPr>
            <w:tcW w:w="1120" w:type="dxa"/>
            <w:vAlign w:val="bottom"/>
          </w:tcPr>
          <w:p>
            <w:pPr>
              <w:ind w:left="60"/>
              <w:spacing w:after="0" w:line="139" w:lineRule="exact"/>
              <w:rPr>
                <w:sz w:val="20"/>
                <w:szCs w:val="20"/>
                <w:color w:val="auto"/>
              </w:rPr>
            </w:pPr>
            <w:r>
              <w:rPr>
                <w:rFonts w:ascii="Arial" w:cs="Arial" w:eastAsia="Arial" w:hAnsi="Arial"/>
                <w:sz w:val="15"/>
                <w:szCs w:val="15"/>
                <w:color w:val="auto"/>
              </w:rPr>
              <w:t>with the</w:t>
            </w:r>
          </w:p>
        </w:tc>
        <w:tc>
          <w:tcPr>
            <w:tcW w:w="1700" w:type="dxa"/>
            <w:vAlign w:val="bottom"/>
          </w:tcPr>
          <w:p>
            <w:pPr>
              <w:ind w:left="780"/>
              <w:spacing w:after="0" w:line="139" w:lineRule="exact"/>
              <w:rPr>
                <w:sz w:val="20"/>
                <w:szCs w:val="20"/>
                <w:color w:val="auto"/>
              </w:rPr>
            </w:pPr>
            <w:r>
              <w:rPr>
                <w:rFonts w:ascii="Arial" w:cs="Arial" w:eastAsia="Arial" w:hAnsi="Arial"/>
                <w:sz w:val="15"/>
                <w:szCs w:val="15"/>
                <w:color w:val="auto"/>
              </w:rPr>
              <w:t>guidelines</w:t>
            </w:r>
          </w:p>
        </w:tc>
        <w:tc>
          <w:tcPr>
            <w:tcW w:w="0" w:type="dxa"/>
            <w:vAlign w:val="bottom"/>
          </w:tcPr>
          <w:p>
            <w:pPr>
              <w:spacing w:after="0"/>
              <w:rPr>
                <w:sz w:val="1"/>
                <w:szCs w:val="1"/>
                <w:color w:val="auto"/>
              </w:rPr>
            </w:pPr>
          </w:p>
        </w:tc>
      </w:tr>
      <w:tr>
        <w:trPr>
          <w:trHeight w:val="207"/>
        </w:trPr>
        <w:tc>
          <w:tcPr>
            <w:tcW w:w="1620" w:type="dxa"/>
            <w:vAlign w:val="bottom"/>
          </w:tcPr>
          <w:p>
            <w:pPr>
              <w:spacing w:after="0" w:line="207" w:lineRule="exact"/>
              <w:rPr>
                <w:sz w:val="20"/>
                <w:szCs w:val="20"/>
                <w:color w:val="auto"/>
              </w:rPr>
            </w:pPr>
            <w:r>
              <w:rPr>
                <w:rFonts w:ascii="Arial" w:cs="Arial" w:eastAsia="Arial" w:hAnsi="Arial"/>
                <w:sz w:val="23"/>
                <w:szCs w:val="23"/>
                <w:color w:val="auto"/>
                <w:vertAlign w:val="superscript"/>
              </w:rPr>
              <w:t>75%</w:t>
            </w:r>
            <w:r>
              <w:rPr>
                <w:rFonts w:ascii="Arial" w:cs="Arial" w:eastAsia="Arial" w:hAnsi="Arial"/>
                <w:sz w:val="11"/>
                <w:szCs w:val="11"/>
                <w:color w:val="auto"/>
              </w:rPr>
              <w:t xml:space="preserve"> participated</w:t>
            </w:r>
          </w:p>
        </w:tc>
        <w:tc>
          <w:tcPr>
            <w:tcW w:w="1920" w:type="dxa"/>
            <w:vAlign w:val="bottom"/>
            <w:gridSpan w:val="2"/>
          </w:tcPr>
          <w:p>
            <w:pPr>
              <w:ind w:left="180"/>
              <w:spacing w:after="0" w:line="207" w:lineRule="exact"/>
              <w:rPr>
                <w:sz w:val="20"/>
                <w:szCs w:val="20"/>
                <w:color w:val="auto"/>
              </w:rPr>
            </w:pPr>
            <w:r>
              <w:rPr>
                <w:rFonts w:ascii="Arial" w:cs="Arial" w:eastAsia="Arial" w:hAnsi="Arial"/>
                <w:sz w:val="22"/>
                <w:szCs w:val="22"/>
                <w:color w:val="auto"/>
              </w:rPr>
              <w:t xml:space="preserve">T2B </w:t>
            </w:r>
            <w:r>
              <w:rPr>
                <w:rFonts w:ascii="Arial" w:cs="Arial" w:eastAsia="Arial" w:hAnsi="Arial"/>
                <w:sz w:val="12"/>
                <w:szCs w:val="12"/>
                <w:color w:val="auto"/>
              </w:rPr>
              <w:t>workshop</w:t>
            </w:r>
          </w:p>
        </w:tc>
        <w:tc>
          <w:tcPr>
            <w:tcW w:w="1700" w:type="dxa"/>
            <w:vAlign w:val="bottom"/>
          </w:tcPr>
          <w:p>
            <w:pPr>
              <w:ind w:left="100"/>
              <w:spacing w:after="0" w:line="207" w:lineRule="exact"/>
              <w:rPr>
                <w:sz w:val="20"/>
                <w:szCs w:val="20"/>
                <w:color w:val="auto"/>
              </w:rPr>
            </w:pPr>
            <w:r>
              <w:rPr>
                <w:rFonts w:ascii="Arial" w:cs="Arial" w:eastAsia="Arial" w:hAnsi="Arial"/>
                <w:sz w:val="23"/>
                <w:szCs w:val="23"/>
                <w:color w:val="auto"/>
                <w:vertAlign w:val="superscript"/>
              </w:rPr>
              <w:t>86%</w:t>
            </w:r>
            <w:r>
              <w:rPr>
                <w:rFonts w:ascii="Arial" w:cs="Arial" w:eastAsia="Arial" w:hAnsi="Arial"/>
                <w:sz w:val="11"/>
                <w:szCs w:val="11"/>
                <w:color w:val="auto"/>
              </w:rPr>
              <w:t xml:space="preserve"> after</w:t>
            </w: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15"/>
          <w:szCs w:val="15"/>
          <w:color w:val="auto"/>
        </w:rPr>
        <w:t>participating in</w:t>
      </w:r>
    </w:p>
    <w:p>
      <w:pPr>
        <w:ind w:left="4340"/>
        <w:spacing w:after="0"/>
        <w:rPr>
          <w:sz w:val="20"/>
          <w:szCs w:val="20"/>
          <w:color w:val="auto"/>
        </w:rPr>
      </w:pPr>
      <w:r>
        <w:rPr>
          <w:rFonts w:ascii="Arial" w:cs="Arial" w:eastAsia="Arial" w:hAnsi="Arial"/>
          <w:sz w:val="15"/>
          <w:szCs w:val="15"/>
          <w:color w:val="auto"/>
        </w:rPr>
        <w:t>GenÉTICA</w:t>
      </w:r>
    </w:p>
    <w:p>
      <w:pPr>
        <w:ind w:left="4340"/>
        <w:spacing w:after="0"/>
        <w:rPr>
          <w:sz w:val="20"/>
          <w:szCs w:val="20"/>
          <w:color w:val="auto"/>
        </w:rPr>
      </w:pPr>
      <w:r>
        <w:rPr>
          <w:rFonts w:ascii="Arial" w:cs="Arial" w:eastAsia="Arial" w:hAnsi="Arial"/>
          <w:sz w:val="15"/>
          <w:szCs w:val="15"/>
          <w:color w:val="auto"/>
        </w:rPr>
        <w:t>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344805</wp:posOffset>
            </wp:positionV>
            <wp:extent cx="7152640" cy="146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our stakeholders are based on trust and mutual respect, everyone will benefit.</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We have consolidated our compliance focus by including suppliers, as indicated in Section </w:t>
      </w:r>
      <w:r>
        <w:rPr>
          <w:rFonts w:ascii="Arial" w:cs="Arial" w:eastAsia="Arial" w:hAnsi="Arial"/>
          <w:sz w:val="15"/>
          <w:szCs w:val="15"/>
          <w:i w:val="1"/>
          <w:iCs w:val="1"/>
          <w:color w:val="auto"/>
        </w:rPr>
        <w:t>“Sustainable Management of Suppliers - Suppliers Aligned</w:t>
      </w:r>
      <w:r>
        <w:rPr>
          <w:rFonts w:ascii="Arial" w:cs="Arial" w:eastAsia="Arial" w:hAnsi="Arial"/>
          <w:sz w:val="15"/>
          <w:szCs w:val="15"/>
          <w:color w:val="auto"/>
        </w:rPr>
        <w:t xml:space="preserve"> </w:t>
      </w:r>
      <w:r>
        <w:rPr>
          <w:rFonts w:ascii="Arial" w:cs="Arial" w:eastAsia="Arial" w:hAnsi="Arial"/>
          <w:sz w:val="15"/>
          <w:szCs w:val="15"/>
          <w:i w:val="1"/>
          <w:iCs w:val="1"/>
          <w:color w:val="auto"/>
        </w:rPr>
        <w:t>with our Ethics and Integrity”</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2F5496"/>
        </w:rPr>
        <w:t>Managing Conflicts of Interest</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Code and its complementary Policies provide employees with guidelines and tools to prevent and effectively manage situations that may entail a conflict of interest that involves their families or relatives, external activities or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143</w:t>
      </w:r>
    </w:p>
    <w:p>
      <w:pPr>
        <w:sectPr>
          <w:pgSz w:w="11900" w:h="16838" w:orient="portrait"/>
          <w:cols w:equalWidth="0" w:num="2">
            <w:col w:w="5400" w:space="440"/>
            <w:col w:w="5420"/>
          </w:cols>
          <w:pgMar w:left="320" w:top="294" w:right="31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5"/>
          <w:szCs w:val="15"/>
          <w:color w:val="auto"/>
        </w:rPr>
        <w:t>Directors, Executive Management and other employees must send information</w:t>
      </w:r>
    </w:p>
    <w:p>
      <w:pPr>
        <w:spacing w:after="0"/>
        <w:rPr>
          <w:sz w:val="20"/>
          <w:szCs w:val="20"/>
          <w:color w:val="auto"/>
        </w:rPr>
      </w:pPr>
      <w:r>
        <w:rPr>
          <w:rFonts w:ascii="Arial" w:cs="Arial" w:eastAsia="Arial" w:hAnsi="Arial"/>
          <w:sz w:val="15"/>
          <w:szCs w:val="15"/>
          <w:color w:val="auto"/>
        </w:rPr>
        <w:t>on a periodic basis to identify and prevent potential conflicts of interest. Critical</w:t>
      </w:r>
    </w:p>
    <w:p>
      <w:pPr>
        <w:spacing w:after="0"/>
        <w:rPr>
          <w:sz w:val="20"/>
          <w:szCs w:val="20"/>
          <w:color w:val="auto"/>
        </w:rPr>
      </w:pPr>
      <w:r>
        <w:rPr>
          <w:rFonts w:ascii="Arial" w:cs="Arial" w:eastAsia="Arial" w:hAnsi="Arial"/>
          <w:sz w:val="15"/>
          <w:szCs w:val="15"/>
          <w:color w:val="auto"/>
        </w:rPr>
        <w:t>processes, such as procurement, are equipped with controls to pinpoint</w:t>
      </w:r>
    </w:p>
    <w:p>
      <w:pPr>
        <w:spacing w:after="0"/>
        <w:rPr>
          <w:sz w:val="20"/>
          <w:szCs w:val="20"/>
          <w:color w:val="auto"/>
        </w:rPr>
      </w:pPr>
      <w:r>
        <w:rPr>
          <w:rFonts w:ascii="Arial" w:cs="Arial" w:eastAsia="Arial" w:hAnsi="Arial"/>
          <w:sz w:val="15"/>
          <w:szCs w:val="15"/>
          <w:color w:val="auto"/>
        </w:rPr>
        <w:t>potential issues. We also have policies that specifically regulate operations</w:t>
      </w:r>
    </w:p>
    <w:p>
      <w:pPr>
        <w:spacing w:after="0"/>
        <w:rPr>
          <w:sz w:val="20"/>
          <w:szCs w:val="20"/>
          <w:color w:val="auto"/>
        </w:rPr>
      </w:pPr>
      <w:r>
        <w:rPr>
          <w:rFonts w:ascii="Arial" w:cs="Arial" w:eastAsia="Arial" w:hAnsi="Arial"/>
          <w:sz w:val="15"/>
          <w:szCs w:val="15"/>
          <w:color w:val="auto"/>
        </w:rPr>
        <w:t>between associates of Credicorp; and the Sustainability Committee and other</w:t>
      </w:r>
    </w:p>
    <w:p>
      <w:pPr>
        <w:spacing w:after="0"/>
        <w:rPr>
          <w:sz w:val="20"/>
          <w:szCs w:val="20"/>
          <w:color w:val="auto"/>
        </w:rPr>
      </w:pPr>
      <w:r>
        <w:rPr>
          <w:rFonts w:ascii="Arial" w:cs="Arial" w:eastAsia="Arial" w:hAnsi="Arial"/>
          <w:sz w:val="15"/>
          <w:szCs w:val="15"/>
          <w:color w:val="auto"/>
        </w:rPr>
        <w:t>stakeholders are informed annually of any relevant information detected.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In 2022, we have updated guidelines to manage potential conflicts of interest</w:t>
      </w:r>
    </w:p>
    <w:p>
      <w:pPr>
        <w:spacing w:after="0"/>
        <w:rPr>
          <w:sz w:val="20"/>
          <w:szCs w:val="20"/>
          <w:color w:val="auto"/>
        </w:rPr>
      </w:pPr>
      <w:r>
        <w:rPr>
          <w:rFonts w:ascii="Arial" w:cs="Arial" w:eastAsia="Arial" w:hAnsi="Arial"/>
          <w:sz w:val="15"/>
          <w:szCs w:val="15"/>
          <w:color w:val="auto"/>
        </w:rPr>
        <w:t>involving relations between directors and employees and stakeholders. We</w:t>
      </w:r>
    </w:p>
    <w:p>
      <w:pPr>
        <w:spacing w:after="0"/>
        <w:rPr>
          <w:sz w:val="20"/>
          <w:szCs w:val="20"/>
          <w:color w:val="auto"/>
        </w:rPr>
      </w:pPr>
      <w:r>
        <w:rPr>
          <w:rFonts w:ascii="Arial" w:cs="Arial" w:eastAsia="Arial" w:hAnsi="Arial"/>
          <w:sz w:val="15"/>
          <w:szCs w:val="15"/>
          <w:color w:val="auto"/>
        </w:rPr>
        <w:t>have initiated a process to develop a digital tool for disclosure to allow users to</w:t>
      </w:r>
    </w:p>
    <w:p>
      <w:pPr>
        <w:spacing w:after="0"/>
        <w:rPr>
          <w:sz w:val="20"/>
          <w:szCs w:val="20"/>
          <w:color w:val="auto"/>
        </w:rPr>
      </w:pPr>
      <w:r>
        <w:rPr>
          <w:rFonts w:ascii="Arial" w:cs="Arial" w:eastAsia="Arial" w:hAnsi="Arial"/>
          <w:sz w:val="15"/>
          <w:szCs w:val="15"/>
          <w:color w:val="auto"/>
        </w:rPr>
        <w:t>submit statements regarding conflicts of interest in a practical and timely way.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365F91"/>
        </w:rPr>
        <w:t>Our Focus on Contributions to Political Parties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415-1</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guidelines that Credicorp has set for political contributions have evolved</w:t>
      </w:r>
    </w:p>
    <w:p>
      <w:pPr>
        <w:spacing w:after="0"/>
        <w:rPr>
          <w:sz w:val="20"/>
          <w:szCs w:val="20"/>
          <w:color w:val="auto"/>
        </w:rPr>
      </w:pPr>
      <w:r>
        <w:rPr>
          <w:rFonts w:ascii="Arial" w:cs="Arial" w:eastAsia="Arial" w:hAnsi="Arial"/>
          <w:sz w:val="15"/>
          <w:szCs w:val="15"/>
          <w:color w:val="auto"/>
        </w:rPr>
        <w:t xml:space="preserve">over the past few years and are contained in our </w:t>
      </w:r>
      <w:r>
        <w:rPr>
          <w:rFonts w:ascii="Arial" w:cs="Arial" w:eastAsia="Arial" w:hAnsi="Arial"/>
          <w:sz w:val="15"/>
          <w:szCs w:val="15"/>
          <w:u w:val="single" w:color="auto"/>
          <w:color w:val="3265FF"/>
        </w:rPr>
        <w:t>Anti-corruption</w:t>
      </w:r>
      <w:r>
        <w:rPr>
          <w:rFonts w:ascii="Arial" w:cs="Arial" w:eastAsia="Arial" w:hAnsi="Arial"/>
          <w:sz w:val="15"/>
          <w:szCs w:val="15"/>
          <w:color w:val="auto"/>
        </w:rPr>
        <w:t xml:space="preserve"> policy, which</w:t>
      </w:r>
    </w:p>
    <w:p>
      <w:pPr>
        <w:spacing w:after="0"/>
        <w:rPr>
          <w:sz w:val="20"/>
          <w:szCs w:val="20"/>
          <w:color w:val="auto"/>
        </w:rPr>
      </w:pPr>
      <w:r>
        <w:rPr>
          <w:rFonts w:ascii="Arial" w:cs="Arial" w:eastAsia="Arial" w:hAnsi="Arial"/>
          <w:sz w:val="15"/>
          <w:szCs w:val="15"/>
          <w:color w:val="auto"/>
        </w:rPr>
        <w:t>indicates the following:</w:t>
      </w:r>
    </w:p>
    <w:p>
      <w:pPr>
        <w:spacing w:after="0" w:line="173" w:lineRule="exact"/>
        <w:rPr>
          <w:sz w:val="20"/>
          <w:szCs w:val="20"/>
          <w:color w:val="auto"/>
        </w:rPr>
      </w:pPr>
    </w:p>
    <w:p>
      <w:pPr>
        <w:jc w:val="both"/>
        <w:ind w:left="1100" w:right="5880" w:hanging="554"/>
        <w:spacing w:after="0" w:line="249" w:lineRule="auto"/>
        <w:tabs>
          <w:tab w:leader="none" w:pos="11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Neither Credicorp nor its subsidiaries can make contributions to political organizations or their members under any modality (monetary or non-monetary), whether directly or indirectly.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In line with these directives, Credicorp and its subsidiaries made no direct or</w:t>
      </w:r>
    </w:p>
    <w:p>
      <w:pPr>
        <w:spacing w:after="0"/>
        <w:rPr>
          <w:sz w:val="20"/>
          <w:szCs w:val="20"/>
          <w:color w:val="auto"/>
        </w:rPr>
      </w:pPr>
      <w:r>
        <w:rPr>
          <w:rFonts w:ascii="Arial" w:cs="Arial" w:eastAsia="Arial" w:hAnsi="Arial"/>
          <w:sz w:val="15"/>
          <w:szCs w:val="15"/>
          <w:color w:val="auto"/>
        </w:rPr>
        <w:t>indirect contributions to parties and/or political representatives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110490</wp:posOffset>
            </wp:positionV>
            <wp:extent cx="3089275" cy="14859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089275" cy="1485900"/>
                    </a:xfrm>
                    <a:prstGeom prst="rect">
                      <a:avLst/>
                    </a:prstGeom>
                    <a:noFill/>
                  </pic:spPr>
                </pic:pic>
              </a:graphicData>
            </a:graphic>
          </wp:anchor>
        </w:drawing>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42"/>
        </w:trPr>
        <w:tc>
          <w:tcPr>
            <w:tcW w:w="2520" w:type="dxa"/>
            <w:vAlign w:val="bottom"/>
            <w:gridSpan w:val="2"/>
            <w:shd w:val="clear" w:color="auto" w:fill="000000"/>
          </w:tcPr>
          <w:p>
            <w:pPr>
              <w:ind w:left="60"/>
              <w:spacing w:after="0"/>
              <w:rPr>
                <w:sz w:val="20"/>
                <w:szCs w:val="20"/>
                <w:color w:val="auto"/>
              </w:rPr>
            </w:pPr>
            <w:r>
              <w:rPr>
                <w:rFonts w:ascii="Arial" w:cs="Arial" w:eastAsia="Arial" w:hAnsi="Arial"/>
                <w:sz w:val="15"/>
                <w:szCs w:val="15"/>
                <w:color w:val="FFFFFF"/>
              </w:rPr>
              <w:t>Contributions and other expenses</w:t>
            </w:r>
          </w:p>
        </w:tc>
        <w:tc>
          <w:tcPr>
            <w:tcW w:w="460" w:type="dxa"/>
            <w:vAlign w:val="bottom"/>
            <w:vMerge w:val="restart"/>
            <w:shd w:val="clear" w:color="auto" w:fill="000000"/>
          </w:tcPr>
          <w:p>
            <w:pPr>
              <w:jc w:val="center"/>
              <w:spacing w:after="0"/>
              <w:rPr>
                <w:sz w:val="20"/>
                <w:szCs w:val="20"/>
                <w:color w:val="auto"/>
              </w:rPr>
            </w:pPr>
            <w:r>
              <w:rPr>
                <w:rFonts w:ascii="Arial" w:cs="Arial" w:eastAsia="Arial" w:hAnsi="Arial"/>
                <w:sz w:val="15"/>
                <w:szCs w:val="15"/>
                <w:color w:val="FFFFFF"/>
              </w:rPr>
              <w:t>2018</w:t>
            </w:r>
          </w:p>
        </w:tc>
        <w:tc>
          <w:tcPr>
            <w:tcW w:w="460" w:type="dxa"/>
            <w:vAlign w:val="bottom"/>
            <w:vMerge w:val="restart"/>
            <w:shd w:val="clear" w:color="auto" w:fill="000000"/>
          </w:tcPr>
          <w:p>
            <w:pPr>
              <w:jc w:val="center"/>
              <w:spacing w:after="0"/>
              <w:rPr>
                <w:sz w:val="20"/>
                <w:szCs w:val="20"/>
                <w:color w:val="auto"/>
              </w:rPr>
            </w:pPr>
            <w:r>
              <w:rPr>
                <w:rFonts w:ascii="Arial" w:cs="Arial" w:eastAsia="Arial" w:hAnsi="Arial"/>
                <w:sz w:val="15"/>
                <w:szCs w:val="15"/>
                <w:color w:val="FFFFFF"/>
              </w:rPr>
              <w:t>2019</w:t>
            </w:r>
          </w:p>
        </w:tc>
        <w:tc>
          <w:tcPr>
            <w:tcW w:w="460" w:type="dxa"/>
            <w:vAlign w:val="bottom"/>
            <w:vMerge w:val="restart"/>
            <w:shd w:val="clear" w:color="auto" w:fill="000000"/>
          </w:tcPr>
          <w:p>
            <w:pPr>
              <w:jc w:val="center"/>
              <w:spacing w:after="0"/>
              <w:rPr>
                <w:sz w:val="20"/>
                <w:szCs w:val="20"/>
                <w:color w:val="auto"/>
              </w:rPr>
            </w:pPr>
            <w:r>
              <w:rPr>
                <w:rFonts w:ascii="Arial" w:cs="Arial" w:eastAsia="Arial" w:hAnsi="Arial"/>
                <w:sz w:val="15"/>
                <w:szCs w:val="15"/>
                <w:color w:val="FFFFFF"/>
              </w:rPr>
              <w:t>2020</w:t>
            </w:r>
          </w:p>
        </w:tc>
        <w:tc>
          <w:tcPr>
            <w:tcW w:w="480" w:type="dxa"/>
            <w:vAlign w:val="bottom"/>
            <w:vMerge w:val="restart"/>
            <w:shd w:val="clear" w:color="auto" w:fill="000000"/>
          </w:tcPr>
          <w:p>
            <w:pPr>
              <w:jc w:val="center"/>
              <w:spacing w:after="0"/>
              <w:rPr>
                <w:sz w:val="20"/>
                <w:szCs w:val="20"/>
                <w:color w:val="auto"/>
              </w:rPr>
            </w:pPr>
            <w:r>
              <w:rPr>
                <w:rFonts w:ascii="Arial" w:cs="Arial" w:eastAsia="Arial" w:hAnsi="Arial"/>
                <w:sz w:val="15"/>
                <w:szCs w:val="15"/>
                <w:color w:val="FFFFFF"/>
              </w:rPr>
              <w:t>2021</w:t>
            </w:r>
          </w:p>
        </w:tc>
        <w:tc>
          <w:tcPr>
            <w:tcW w:w="480" w:type="dxa"/>
            <w:vAlign w:val="bottom"/>
            <w:tcBorders>
              <w:right w:val="single" w:sz="8" w:color="EEECE1"/>
            </w:tcBorders>
            <w:vMerge w:val="restart"/>
            <w:shd w:val="clear" w:color="auto" w:fill="000000"/>
          </w:tcPr>
          <w:p>
            <w:pPr>
              <w:jc w:val="center"/>
              <w:spacing w:after="0"/>
              <w:rPr>
                <w:sz w:val="20"/>
                <w:szCs w:val="20"/>
                <w:color w:val="auto"/>
              </w:rPr>
            </w:pPr>
            <w:r>
              <w:rPr>
                <w:rFonts w:ascii="Arial" w:cs="Arial" w:eastAsia="Arial" w:hAnsi="Arial"/>
                <w:sz w:val="15"/>
                <w:szCs w:val="15"/>
                <w:color w:val="FFFFFF"/>
              </w:rPr>
              <w:t>2022</w:t>
            </w:r>
          </w:p>
        </w:tc>
        <w:tc>
          <w:tcPr>
            <w:tcW w:w="0" w:type="dxa"/>
            <w:vAlign w:val="bottom"/>
          </w:tcPr>
          <w:p>
            <w:pPr>
              <w:spacing w:after="0"/>
              <w:rPr>
                <w:sz w:val="1"/>
                <w:szCs w:val="1"/>
                <w:color w:val="auto"/>
              </w:rPr>
            </w:pPr>
          </w:p>
        </w:tc>
      </w:tr>
      <w:tr>
        <w:trPr>
          <w:trHeight w:val="257"/>
        </w:trPr>
        <w:tc>
          <w:tcPr>
            <w:tcW w:w="1800" w:type="dxa"/>
            <w:vAlign w:val="bottom"/>
            <w:tcBorders>
              <w:bottom w:val="single" w:sz="8" w:color="auto"/>
            </w:tcBorders>
            <w:shd w:val="clear" w:color="auto" w:fill="000000"/>
          </w:tcPr>
          <w:p>
            <w:pPr>
              <w:spacing w:after="0"/>
              <w:rPr>
                <w:sz w:val="22"/>
                <w:szCs w:val="22"/>
                <w:color w:val="auto"/>
              </w:rPr>
            </w:pPr>
          </w:p>
        </w:tc>
        <w:tc>
          <w:tcPr>
            <w:tcW w:w="7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5"/>
                <w:szCs w:val="15"/>
                <w:color w:val="FFFFFF"/>
              </w:rPr>
              <w:t>Currency</w:t>
            </w:r>
          </w:p>
        </w:tc>
        <w:tc>
          <w:tcPr>
            <w:tcW w:w="460" w:type="dxa"/>
            <w:vAlign w:val="bottom"/>
            <w:tcBorders>
              <w:bottom w:val="single" w:sz="8" w:color="auto"/>
            </w:tcBorders>
            <w:vMerge w:val="continue"/>
            <w:shd w:val="clear" w:color="auto" w:fill="000000"/>
          </w:tcPr>
          <w:p>
            <w:pPr>
              <w:spacing w:after="0"/>
              <w:rPr>
                <w:sz w:val="22"/>
                <w:szCs w:val="22"/>
                <w:color w:val="auto"/>
              </w:rPr>
            </w:pPr>
          </w:p>
        </w:tc>
        <w:tc>
          <w:tcPr>
            <w:tcW w:w="460" w:type="dxa"/>
            <w:vAlign w:val="bottom"/>
            <w:tcBorders>
              <w:bottom w:val="single" w:sz="8" w:color="auto"/>
            </w:tcBorders>
            <w:vMerge w:val="continue"/>
            <w:shd w:val="clear" w:color="auto" w:fill="000000"/>
          </w:tcPr>
          <w:p>
            <w:pPr>
              <w:spacing w:after="0"/>
              <w:rPr>
                <w:sz w:val="22"/>
                <w:szCs w:val="22"/>
                <w:color w:val="auto"/>
              </w:rPr>
            </w:pPr>
          </w:p>
        </w:tc>
        <w:tc>
          <w:tcPr>
            <w:tcW w:w="460" w:type="dxa"/>
            <w:vAlign w:val="bottom"/>
            <w:tcBorders>
              <w:bottom w:val="single" w:sz="8" w:color="auto"/>
            </w:tcBorders>
            <w:vMerge w:val="continue"/>
            <w:shd w:val="clear" w:color="auto" w:fill="000000"/>
          </w:tcPr>
          <w:p>
            <w:pPr>
              <w:spacing w:after="0"/>
              <w:rPr>
                <w:sz w:val="22"/>
                <w:szCs w:val="22"/>
                <w:color w:val="auto"/>
              </w:rPr>
            </w:pPr>
          </w:p>
        </w:tc>
        <w:tc>
          <w:tcPr>
            <w:tcW w:w="480" w:type="dxa"/>
            <w:vAlign w:val="bottom"/>
            <w:tcBorders>
              <w:bottom w:val="single" w:sz="8" w:color="auto"/>
            </w:tcBorders>
            <w:vMerge w:val="continue"/>
            <w:shd w:val="clear" w:color="auto" w:fill="000000"/>
          </w:tcPr>
          <w:p>
            <w:pPr>
              <w:spacing w:after="0"/>
              <w:rPr>
                <w:sz w:val="22"/>
                <w:szCs w:val="22"/>
                <w:color w:val="auto"/>
              </w:rPr>
            </w:pPr>
          </w:p>
        </w:tc>
        <w:tc>
          <w:tcPr>
            <w:tcW w:w="480" w:type="dxa"/>
            <w:vAlign w:val="bottom"/>
            <w:tcBorders>
              <w:bottom w:val="single" w:sz="8" w:color="auto"/>
              <w:right w:val="single" w:sz="8" w:color="EEECE1"/>
            </w:tcBorders>
            <w:vMerge w:val="continue"/>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0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Candidates / campaign</w:t>
            </w:r>
          </w:p>
        </w:tc>
        <w:tc>
          <w:tcPr>
            <w:tcW w:w="720" w:type="dxa"/>
            <w:vAlign w:val="bottom"/>
            <w:shd w:val="clear" w:color="auto" w:fill="EEECE1"/>
          </w:tcPr>
          <w:p>
            <w:pPr>
              <w:spacing w:after="0"/>
              <w:rPr>
                <w:sz w:val="18"/>
                <w:szCs w:val="18"/>
                <w:color w:val="auto"/>
              </w:rPr>
            </w:pPr>
          </w:p>
        </w:tc>
        <w:tc>
          <w:tcPr>
            <w:tcW w:w="460" w:type="dxa"/>
            <w:vAlign w:val="bottom"/>
            <w:shd w:val="clear" w:color="auto" w:fill="EEECE1"/>
          </w:tcPr>
          <w:p>
            <w:pPr>
              <w:spacing w:after="0"/>
              <w:rPr>
                <w:sz w:val="18"/>
                <w:szCs w:val="18"/>
                <w:color w:val="auto"/>
              </w:rPr>
            </w:pPr>
          </w:p>
        </w:tc>
        <w:tc>
          <w:tcPr>
            <w:tcW w:w="460" w:type="dxa"/>
            <w:vAlign w:val="bottom"/>
            <w:shd w:val="clear" w:color="auto" w:fill="EEECE1"/>
          </w:tcPr>
          <w:p>
            <w:pPr>
              <w:spacing w:after="0"/>
              <w:rPr>
                <w:sz w:val="18"/>
                <w:szCs w:val="18"/>
                <w:color w:val="auto"/>
              </w:rPr>
            </w:pPr>
          </w:p>
        </w:tc>
        <w:tc>
          <w:tcPr>
            <w:tcW w:w="460" w:type="dxa"/>
            <w:vAlign w:val="bottom"/>
            <w:shd w:val="clear" w:color="auto" w:fill="EEECE1"/>
          </w:tcPr>
          <w:p>
            <w:pPr>
              <w:spacing w:after="0"/>
              <w:rPr>
                <w:sz w:val="18"/>
                <w:szCs w:val="18"/>
                <w:color w:val="auto"/>
              </w:rPr>
            </w:pPr>
          </w:p>
        </w:tc>
        <w:tc>
          <w:tcPr>
            <w:tcW w:w="480" w:type="dxa"/>
            <w:vAlign w:val="bottom"/>
            <w:shd w:val="clear" w:color="auto" w:fill="EEECE1"/>
          </w:tcPr>
          <w:p>
            <w:pPr>
              <w:spacing w:after="0"/>
              <w:rPr>
                <w:sz w:val="18"/>
                <w:szCs w:val="18"/>
                <w:color w:val="auto"/>
              </w:rPr>
            </w:pPr>
          </w:p>
        </w:tc>
        <w:tc>
          <w:tcPr>
            <w:tcW w:w="480" w:type="dxa"/>
            <w:vAlign w:val="bottom"/>
            <w:tcBorders>
              <w:right w:val="single" w:sz="8" w:color="EEECE1"/>
            </w:tcBorders>
            <w:shd w:val="clear" w:color="auto" w:fill="EEECE1"/>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80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organizers for local,</w:t>
            </w:r>
          </w:p>
        </w:tc>
        <w:tc>
          <w:tcPr>
            <w:tcW w:w="72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rPr>
              <w:t>PEN</w:t>
            </w:r>
          </w:p>
        </w:tc>
        <w:tc>
          <w:tcPr>
            <w:tcW w:w="46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rPr>
              <w:t>0</w:t>
            </w:r>
          </w:p>
        </w:tc>
        <w:tc>
          <w:tcPr>
            <w:tcW w:w="46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6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8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80" w:type="dxa"/>
            <w:vAlign w:val="bottom"/>
            <w:tcBorders>
              <w:right w:val="single" w:sz="8" w:color="EEECE1"/>
            </w:tcBorders>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93"/>
        </w:trPr>
        <w:tc>
          <w:tcPr>
            <w:tcW w:w="1800" w:type="dxa"/>
            <w:vAlign w:val="bottom"/>
            <w:vMerge w:val="restart"/>
            <w:shd w:val="clear" w:color="auto" w:fill="E93CAC"/>
          </w:tcPr>
          <w:p>
            <w:pPr>
              <w:ind w:left="60"/>
              <w:spacing w:after="0"/>
              <w:rPr>
                <w:sz w:val="20"/>
                <w:szCs w:val="20"/>
                <w:color w:val="auto"/>
              </w:rPr>
            </w:pPr>
            <w:r>
              <w:rPr>
                <w:rFonts w:ascii="Arial" w:cs="Arial" w:eastAsia="Arial" w:hAnsi="Arial"/>
                <w:sz w:val="15"/>
                <w:szCs w:val="15"/>
                <w:color w:val="FFFFFF"/>
              </w:rPr>
              <w:t>regional or national</w:t>
            </w:r>
          </w:p>
        </w:tc>
        <w:tc>
          <w:tcPr>
            <w:tcW w:w="720" w:type="dxa"/>
            <w:vAlign w:val="bottom"/>
            <w:vMerge w:val="continue"/>
            <w:shd w:val="clear" w:color="auto" w:fill="EEECE1"/>
          </w:tcPr>
          <w:p>
            <w:pPr>
              <w:spacing w:after="0"/>
              <w:rPr>
                <w:sz w:val="8"/>
                <w:szCs w:val="8"/>
                <w:color w:val="auto"/>
              </w:rPr>
            </w:pPr>
          </w:p>
        </w:tc>
        <w:tc>
          <w:tcPr>
            <w:tcW w:w="460" w:type="dxa"/>
            <w:vAlign w:val="bottom"/>
            <w:vMerge w:val="continue"/>
            <w:shd w:val="clear" w:color="auto" w:fill="EEECE1"/>
          </w:tcPr>
          <w:p>
            <w:pPr>
              <w:spacing w:after="0"/>
              <w:rPr>
                <w:sz w:val="8"/>
                <w:szCs w:val="8"/>
                <w:color w:val="auto"/>
              </w:rPr>
            </w:pPr>
          </w:p>
        </w:tc>
        <w:tc>
          <w:tcPr>
            <w:tcW w:w="460" w:type="dxa"/>
            <w:vAlign w:val="bottom"/>
            <w:vMerge w:val="continue"/>
            <w:shd w:val="clear" w:color="auto" w:fill="EEECE1"/>
          </w:tcPr>
          <w:p>
            <w:pPr>
              <w:spacing w:after="0"/>
              <w:rPr>
                <w:sz w:val="8"/>
                <w:szCs w:val="8"/>
                <w:color w:val="auto"/>
              </w:rPr>
            </w:pPr>
          </w:p>
        </w:tc>
        <w:tc>
          <w:tcPr>
            <w:tcW w:w="460" w:type="dxa"/>
            <w:vAlign w:val="bottom"/>
            <w:vMerge w:val="continue"/>
            <w:shd w:val="clear" w:color="auto" w:fill="EEECE1"/>
          </w:tcPr>
          <w:p>
            <w:pPr>
              <w:spacing w:after="0"/>
              <w:rPr>
                <w:sz w:val="8"/>
                <w:szCs w:val="8"/>
                <w:color w:val="auto"/>
              </w:rPr>
            </w:pPr>
          </w:p>
        </w:tc>
        <w:tc>
          <w:tcPr>
            <w:tcW w:w="480" w:type="dxa"/>
            <w:vAlign w:val="bottom"/>
            <w:vMerge w:val="continue"/>
            <w:shd w:val="clear" w:color="auto" w:fill="EEECE1"/>
          </w:tcPr>
          <w:p>
            <w:pPr>
              <w:spacing w:after="0"/>
              <w:rPr>
                <w:sz w:val="8"/>
                <w:szCs w:val="8"/>
                <w:color w:val="auto"/>
              </w:rPr>
            </w:pPr>
          </w:p>
        </w:tc>
        <w:tc>
          <w:tcPr>
            <w:tcW w:w="480" w:type="dxa"/>
            <w:vAlign w:val="bottom"/>
            <w:tcBorders>
              <w:right w:val="single" w:sz="8" w:color="EEECE1"/>
            </w:tcBorders>
            <w:vMerge w:val="continue"/>
            <w:shd w:val="clear" w:color="auto" w:fill="EEECE1"/>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00" w:type="dxa"/>
            <w:vAlign w:val="bottom"/>
            <w:vMerge w:val="continue"/>
            <w:shd w:val="clear" w:color="auto" w:fill="E93CAC"/>
          </w:tcPr>
          <w:p>
            <w:pPr>
              <w:spacing w:after="0"/>
              <w:rPr>
                <w:sz w:val="6"/>
                <w:szCs w:val="6"/>
                <w:color w:val="auto"/>
              </w:rPr>
            </w:pPr>
          </w:p>
        </w:tc>
        <w:tc>
          <w:tcPr>
            <w:tcW w:w="720" w:type="dxa"/>
            <w:vAlign w:val="bottom"/>
            <w:shd w:val="clear" w:color="auto" w:fill="EEECE1"/>
          </w:tcPr>
          <w:p>
            <w:pPr>
              <w:spacing w:after="0"/>
              <w:rPr>
                <w:sz w:val="6"/>
                <w:szCs w:val="6"/>
                <w:color w:val="auto"/>
              </w:rPr>
            </w:pPr>
          </w:p>
        </w:tc>
        <w:tc>
          <w:tcPr>
            <w:tcW w:w="460" w:type="dxa"/>
            <w:vAlign w:val="bottom"/>
            <w:shd w:val="clear" w:color="auto" w:fill="EEECE1"/>
          </w:tcPr>
          <w:p>
            <w:pPr>
              <w:spacing w:after="0"/>
              <w:rPr>
                <w:sz w:val="6"/>
                <w:szCs w:val="6"/>
                <w:color w:val="auto"/>
              </w:rPr>
            </w:pPr>
          </w:p>
        </w:tc>
        <w:tc>
          <w:tcPr>
            <w:tcW w:w="460" w:type="dxa"/>
            <w:vAlign w:val="bottom"/>
            <w:shd w:val="clear" w:color="auto" w:fill="EEECE1"/>
          </w:tcPr>
          <w:p>
            <w:pPr>
              <w:spacing w:after="0"/>
              <w:rPr>
                <w:sz w:val="6"/>
                <w:szCs w:val="6"/>
                <w:color w:val="auto"/>
              </w:rPr>
            </w:pPr>
          </w:p>
        </w:tc>
        <w:tc>
          <w:tcPr>
            <w:tcW w:w="460" w:type="dxa"/>
            <w:vAlign w:val="bottom"/>
            <w:shd w:val="clear" w:color="auto" w:fill="EEECE1"/>
          </w:tcPr>
          <w:p>
            <w:pPr>
              <w:spacing w:after="0"/>
              <w:rPr>
                <w:sz w:val="6"/>
                <w:szCs w:val="6"/>
                <w:color w:val="auto"/>
              </w:rPr>
            </w:pPr>
          </w:p>
        </w:tc>
        <w:tc>
          <w:tcPr>
            <w:tcW w:w="480" w:type="dxa"/>
            <w:vAlign w:val="bottom"/>
            <w:shd w:val="clear" w:color="auto" w:fill="EEECE1"/>
          </w:tcPr>
          <w:p>
            <w:pPr>
              <w:spacing w:after="0"/>
              <w:rPr>
                <w:sz w:val="6"/>
                <w:szCs w:val="6"/>
                <w:color w:val="auto"/>
              </w:rPr>
            </w:pPr>
          </w:p>
        </w:tc>
        <w:tc>
          <w:tcPr>
            <w:tcW w:w="480" w:type="dxa"/>
            <w:vAlign w:val="bottom"/>
            <w:tcBorders>
              <w:right w:val="single" w:sz="8" w:color="EEECE1"/>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0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elections</w:t>
            </w:r>
          </w:p>
        </w:tc>
        <w:tc>
          <w:tcPr>
            <w:tcW w:w="720" w:type="dxa"/>
            <w:vAlign w:val="bottom"/>
            <w:shd w:val="clear" w:color="auto" w:fill="EEECE1"/>
          </w:tcPr>
          <w:p>
            <w:pPr>
              <w:spacing w:after="0"/>
              <w:rPr>
                <w:sz w:val="16"/>
                <w:szCs w:val="16"/>
                <w:color w:val="auto"/>
              </w:rPr>
            </w:pPr>
          </w:p>
        </w:tc>
        <w:tc>
          <w:tcPr>
            <w:tcW w:w="460" w:type="dxa"/>
            <w:vAlign w:val="bottom"/>
            <w:shd w:val="clear" w:color="auto" w:fill="EEECE1"/>
          </w:tcPr>
          <w:p>
            <w:pPr>
              <w:spacing w:after="0"/>
              <w:rPr>
                <w:sz w:val="16"/>
                <w:szCs w:val="16"/>
                <w:color w:val="auto"/>
              </w:rPr>
            </w:pPr>
          </w:p>
        </w:tc>
        <w:tc>
          <w:tcPr>
            <w:tcW w:w="460" w:type="dxa"/>
            <w:vAlign w:val="bottom"/>
            <w:shd w:val="clear" w:color="auto" w:fill="EEECE1"/>
          </w:tcPr>
          <w:p>
            <w:pPr>
              <w:spacing w:after="0"/>
              <w:rPr>
                <w:sz w:val="16"/>
                <w:szCs w:val="16"/>
                <w:color w:val="auto"/>
              </w:rPr>
            </w:pPr>
          </w:p>
        </w:tc>
        <w:tc>
          <w:tcPr>
            <w:tcW w:w="460" w:type="dxa"/>
            <w:vAlign w:val="bottom"/>
            <w:shd w:val="clear" w:color="auto" w:fill="EEECE1"/>
          </w:tcPr>
          <w:p>
            <w:pPr>
              <w:spacing w:after="0"/>
              <w:rPr>
                <w:sz w:val="16"/>
                <w:szCs w:val="16"/>
                <w:color w:val="auto"/>
              </w:rPr>
            </w:pPr>
          </w:p>
        </w:tc>
        <w:tc>
          <w:tcPr>
            <w:tcW w:w="480" w:type="dxa"/>
            <w:vAlign w:val="bottom"/>
            <w:shd w:val="clear" w:color="auto" w:fill="EEECE1"/>
          </w:tcPr>
          <w:p>
            <w:pPr>
              <w:spacing w:after="0"/>
              <w:rPr>
                <w:sz w:val="16"/>
                <w:szCs w:val="16"/>
                <w:color w:val="auto"/>
              </w:rPr>
            </w:pPr>
          </w:p>
        </w:tc>
        <w:tc>
          <w:tcPr>
            <w:tcW w:w="480" w:type="dxa"/>
            <w:vAlign w:val="bottom"/>
            <w:tcBorders>
              <w:right w:val="single" w:sz="8" w:color="EEECE1"/>
            </w:tcBorders>
            <w:shd w:val="clear" w:color="auto" w:fill="EEECE1"/>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0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Others (e.g.: expenses</w:t>
            </w:r>
          </w:p>
        </w:tc>
        <w:tc>
          <w:tcPr>
            <w:tcW w:w="720" w:type="dxa"/>
            <w:vAlign w:val="bottom"/>
            <w:shd w:val="clear" w:color="auto" w:fill="EEECE1"/>
          </w:tcPr>
          <w:p>
            <w:pPr>
              <w:spacing w:after="0"/>
              <w:rPr>
                <w:sz w:val="21"/>
                <w:szCs w:val="21"/>
                <w:color w:val="auto"/>
              </w:rPr>
            </w:pPr>
          </w:p>
        </w:tc>
        <w:tc>
          <w:tcPr>
            <w:tcW w:w="460" w:type="dxa"/>
            <w:vAlign w:val="bottom"/>
            <w:shd w:val="clear" w:color="auto" w:fill="EEECE1"/>
          </w:tcPr>
          <w:p>
            <w:pPr>
              <w:spacing w:after="0"/>
              <w:rPr>
                <w:sz w:val="21"/>
                <w:szCs w:val="21"/>
                <w:color w:val="auto"/>
              </w:rPr>
            </w:pPr>
          </w:p>
        </w:tc>
        <w:tc>
          <w:tcPr>
            <w:tcW w:w="460" w:type="dxa"/>
            <w:vAlign w:val="bottom"/>
            <w:shd w:val="clear" w:color="auto" w:fill="EEECE1"/>
          </w:tcPr>
          <w:p>
            <w:pPr>
              <w:spacing w:after="0"/>
              <w:rPr>
                <w:sz w:val="21"/>
                <w:szCs w:val="21"/>
                <w:color w:val="auto"/>
              </w:rPr>
            </w:pPr>
          </w:p>
        </w:tc>
        <w:tc>
          <w:tcPr>
            <w:tcW w:w="460" w:type="dxa"/>
            <w:vAlign w:val="bottom"/>
            <w:shd w:val="clear" w:color="auto" w:fill="EEECE1"/>
          </w:tcPr>
          <w:p>
            <w:pPr>
              <w:spacing w:after="0"/>
              <w:rPr>
                <w:sz w:val="21"/>
                <w:szCs w:val="21"/>
                <w:color w:val="auto"/>
              </w:rPr>
            </w:pPr>
          </w:p>
        </w:tc>
        <w:tc>
          <w:tcPr>
            <w:tcW w:w="480" w:type="dxa"/>
            <w:vAlign w:val="bottom"/>
            <w:shd w:val="clear" w:color="auto" w:fill="EEECE1"/>
          </w:tcPr>
          <w:p>
            <w:pPr>
              <w:spacing w:after="0"/>
              <w:rPr>
                <w:sz w:val="21"/>
                <w:szCs w:val="21"/>
                <w:color w:val="auto"/>
              </w:rPr>
            </w:pPr>
          </w:p>
        </w:tc>
        <w:tc>
          <w:tcPr>
            <w:tcW w:w="480" w:type="dxa"/>
            <w:vAlign w:val="bottom"/>
            <w:tcBorders>
              <w:right w:val="single" w:sz="8" w:color="EEECE1"/>
            </w:tcBorders>
            <w:shd w:val="clear" w:color="auto" w:fill="EEECE1"/>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80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for electoral measures or</w:t>
            </w:r>
          </w:p>
        </w:tc>
        <w:tc>
          <w:tcPr>
            <w:tcW w:w="720" w:type="dxa"/>
            <w:vAlign w:val="bottom"/>
            <w:shd w:val="clear" w:color="auto" w:fill="EEECE1"/>
          </w:tcPr>
          <w:p>
            <w:pPr>
              <w:jc w:val="center"/>
              <w:spacing w:after="0"/>
              <w:rPr>
                <w:sz w:val="20"/>
                <w:szCs w:val="20"/>
                <w:color w:val="auto"/>
              </w:rPr>
            </w:pPr>
            <w:r>
              <w:rPr>
                <w:rFonts w:ascii="Arial" w:cs="Arial" w:eastAsia="Arial" w:hAnsi="Arial"/>
                <w:sz w:val="15"/>
                <w:szCs w:val="15"/>
                <w:color w:val="auto"/>
              </w:rPr>
              <w:t>PEN</w:t>
            </w:r>
          </w:p>
        </w:tc>
        <w:tc>
          <w:tcPr>
            <w:tcW w:w="460" w:type="dxa"/>
            <w:vAlign w:val="bottom"/>
            <w:shd w:val="clear" w:color="auto" w:fill="EEECE1"/>
          </w:tcPr>
          <w:p>
            <w:pPr>
              <w:jc w:val="center"/>
              <w:spacing w:after="0"/>
              <w:rPr>
                <w:sz w:val="20"/>
                <w:szCs w:val="20"/>
                <w:color w:val="auto"/>
              </w:rPr>
            </w:pPr>
            <w:r>
              <w:rPr>
                <w:rFonts w:ascii="Arial" w:cs="Arial" w:eastAsia="Arial" w:hAnsi="Arial"/>
                <w:sz w:val="15"/>
                <w:szCs w:val="15"/>
                <w:color w:val="auto"/>
              </w:rPr>
              <w:t>0</w:t>
            </w:r>
          </w:p>
        </w:tc>
        <w:tc>
          <w:tcPr>
            <w:tcW w:w="460" w:type="dxa"/>
            <w:vAlign w:val="bottom"/>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60" w:type="dxa"/>
            <w:vAlign w:val="bottom"/>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80" w:type="dxa"/>
            <w:vAlign w:val="bottom"/>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80" w:type="dxa"/>
            <w:vAlign w:val="bottom"/>
            <w:tcBorders>
              <w:right w:val="single" w:sz="8" w:color="EEECE1"/>
            </w:tcBorders>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185"/>
        </w:trPr>
        <w:tc>
          <w:tcPr>
            <w:tcW w:w="180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referendums).</w:t>
            </w:r>
          </w:p>
        </w:tc>
        <w:tc>
          <w:tcPr>
            <w:tcW w:w="720" w:type="dxa"/>
            <w:vAlign w:val="bottom"/>
            <w:shd w:val="clear" w:color="auto" w:fill="EEECE1"/>
          </w:tcPr>
          <w:p>
            <w:pPr>
              <w:spacing w:after="0"/>
              <w:rPr>
                <w:sz w:val="16"/>
                <w:szCs w:val="16"/>
                <w:color w:val="auto"/>
              </w:rPr>
            </w:pPr>
          </w:p>
        </w:tc>
        <w:tc>
          <w:tcPr>
            <w:tcW w:w="460" w:type="dxa"/>
            <w:vAlign w:val="bottom"/>
            <w:shd w:val="clear" w:color="auto" w:fill="EEECE1"/>
          </w:tcPr>
          <w:p>
            <w:pPr>
              <w:spacing w:after="0"/>
              <w:rPr>
                <w:sz w:val="16"/>
                <w:szCs w:val="16"/>
                <w:color w:val="auto"/>
              </w:rPr>
            </w:pPr>
          </w:p>
        </w:tc>
        <w:tc>
          <w:tcPr>
            <w:tcW w:w="460" w:type="dxa"/>
            <w:vAlign w:val="bottom"/>
            <w:shd w:val="clear" w:color="auto" w:fill="EEECE1"/>
          </w:tcPr>
          <w:p>
            <w:pPr>
              <w:spacing w:after="0"/>
              <w:rPr>
                <w:sz w:val="16"/>
                <w:szCs w:val="16"/>
                <w:color w:val="auto"/>
              </w:rPr>
            </w:pPr>
          </w:p>
        </w:tc>
        <w:tc>
          <w:tcPr>
            <w:tcW w:w="460" w:type="dxa"/>
            <w:vAlign w:val="bottom"/>
            <w:shd w:val="clear" w:color="auto" w:fill="EEECE1"/>
          </w:tcPr>
          <w:p>
            <w:pPr>
              <w:spacing w:after="0"/>
              <w:rPr>
                <w:sz w:val="16"/>
                <w:szCs w:val="16"/>
                <w:color w:val="auto"/>
              </w:rPr>
            </w:pPr>
          </w:p>
        </w:tc>
        <w:tc>
          <w:tcPr>
            <w:tcW w:w="480" w:type="dxa"/>
            <w:vAlign w:val="bottom"/>
            <w:shd w:val="clear" w:color="auto" w:fill="EEECE1"/>
          </w:tcPr>
          <w:p>
            <w:pPr>
              <w:spacing w:after="0"/>
              <w:rPr>
                <w:sz w:val="16"/>
                <w:szCs w:val="16"/>
                <w:color w:val="auto"/>
              </w:rPr>
            </w:pPr>
          </w:p>
        </w:tc>
        <w:tc>
          <w:tcPr>
            <w:tcW w:w="480" w:type="dxa"/>
            <w:vAlign w:val="bottom"/>
            <w:tcBorders>
              <w:right w:val="single" w:sz="8" w:color="EEECE1"/>
            </w:tcBorders>
            <w:shd w:val="clear" w:color="auto" w:fill="EEECE1"/>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0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Total of contributions</w:t>
            </w:r>
          </w:p>
        </w:tc>
        <w:tc>
          <w:tcPr>
            <w:tcW w:w="72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rPr>
              <w:t>PEN</w:t>
            </w:r>
          </w:p>
        </w:tc>
        <w:tc>
          <w:tcPr>
            <w:tcW w:w="46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rPr>
              <w:t>0</w:t>
            </w:r>
          </w:p>
        </w:tc>
        <w:tc>
          <w:tcPr>
            <w:tcW w:w="46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6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80" w:type="dxa"/>
            <w:vAlign w:val="bottom"/>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480" w:type="dxa"/>
            <w:vAlign w:val="bottom"/>
            <w:tcBorders>
              <w:right w:val="single" w:sz="8" w:color="EEECE1"/>
            </w:tcBorders>
            <w:vMerge w:val="restart"/>
            <w:shd w:val="clear" w:color="auto" w:fill="EEECE1"/>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93"/>
        </w:trPr>
        <w:tc>
          <w:tcPr>
            <w:tcW w:w="1800" w:type="dxa"/>
            <w:vAlign w:val="bottom"/>
            <w:vMerge w:val="restart"/>
            <w:shd w:val="clear" w:color="auto" w:fill="E93CAC"/>
          </w:tcPr>
          <w:p>
            <w:pPr>
              <w:ind w:left="60"/>
              <w:spacing w:after="0"/>
              <w:rPr>
                <w:sz w:val="20"/>
                <w:szCs w:val="20"/>
                <w:color w:val="auto"/>
              </w:rPr>
            </w:pPr>
            <w:r>
              <w:rPr>
                <w:rFonts w:ascii="Arial" w:cs="Arial" w:eastAsia="Arial" w:hAnsi="Arial"/>
                <w:sz w:val="15"/>
                <w:szCs w:val="15"/>
                <w:color w:val="FFFFFF"/>
              </w:rPr>
              <w:t>and other expenses</w:t>
            </w:r>
          </w:p>
        </w:tc>
        <w:tc>
          <w:tcPr>
            <w:tcW w:w="720" w:type="dxa"/>
            <w:vAlign w:val="bottom"/>
            <w:vMerge w:val="continue"/>
            <w:shd w:val="clear" w:color="auto" w:fill="EEECE1"/>
          </w:tcPr>
          <w:p>
            <w:pPr>
              <w:spacing w:after="0"/>
              <w:rPr>
                <w:sz w:val="8"/>
                <w:szCs w:val="8"/>
                <w:color w:val="auto"/>
              </w:rPr>
            </w:pPr>
          </w:p>
        </w:tc>
        <w:tc>
          <w:tcPr>
            <w:tcW w:w="460" w:type="dxa"/>
            <w:vAlign w:val="bottom"/>
            <w:vMerge w:val="continue"/>
            <w:shd w:val="clear" w:color="auto" w:fill="EEECE1"/>
          </w:tcPr>
          <w:p>
            <w:pPr>
              <w:spacing w:after="0"/>
              <w:rPr>
                <w:sz w:val="8"/>
                <w:szCs w:val="8"/>
                <w:color w:val="auto"/>
              </w:rPr>
            </w:pPr>
          </w:p>
        </w:tc>
        <w:tc>
          <w:tcPr>
            <w:tcW w:w="460" w:type="dxa"/>
            <w:vAlign w:val="bottom"/>
            <w:vMerge w:val="continue"/>
            <w:shd w:val="clear" w:color="auto" w:fill="EEECE1"/>
          </w:tcPr>
          <w:p>
            <w:pPr>
              <w:spacing w:after="0"/>
              <w:rPr>
                <w:sz w:val="8"/>
                <w:szCs w:val="8"/>
                <w:color w:val="auto"/>
              </w:rPr>
            </w:pPr>
          </w:p>
        </w:tc>
        <w:tc>
          <w:tcPr>
            <w:tcW w:w="460" w:type="dxa"/>
            <w:vAlign w:val="bottom"/>
            <w:vMerge w:val="continue"/>
            <w:shd w:val="clear" w:color="auto" w:fill="EEECE1"/>
          </w:tcPr>
          <w:p>
            <w:pPr>
              <w:spacing w:after="0"/>
              <w:rPr>
                <w:sz w:val="8"/>
                <w:szCs w:val="8"/>
                <w:color w:val="auto"/>
              </w:rPr>
            </w:pPr>
          </w:p>
        </w:tc>
        <w:tc>
          <w:tcPr>
            <w:tcW w:w="480" w:type="dxa"/>
            <w:vAlign w:val="bottom"/>
            <w:vMerge w:val="continue"/>
            <w:shd w:val="clear" w:color="auto" w:fill="EEECE1"/>
          </w:tcPr>
          <w:p>
            <w:pPr>
              <w:spacing w:after="0"/>
              <w:rPr>
                <w:sz w:val="8"/>
                <w:szCs w:val="8"/>
                <w:color w:val="auto"/>
              </w:rPr>
            </w:pPr>
          </w:p>
        </w:tc>
        <w:tc>
          <w:tcPr>
            <w:tcW w:w="480" w:type="dxa"/>
            <w:vAlign w:val="bottom"/>
            <w:tcBorders>
              <w:right w:val="single" w:sz="8" w:color="EEECE1"/>
            </w:tcBorders>
            <w:vMerge w:val="continue"/>
            <w:shd w:val="clear" w:color="auto" w:fill="EEECE1"/>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tcBorders>
              <w:bottom w:val="single" w:sz="8" w:color="E93CAC"/>
            </w:tcBorders>
            <w:vMerge w:val="continue"/>
            <w:shd w:val="clear" w:color="auto" w:fill="E93CAC"/>
          </w:tcPr>
          <w:p>
            <w:pPr>
              <w:spacing w:after="0"/>
              <w:rPr>
                <w:sz w:val="8"/>
                <w:szCs w:val="8"/>
                <w:color w:val="auto"/>
              </w:rPr>
            </w:pPr>
          </w:p>
        </w:tc>
        <w:tc>
          <w:tcPr>
            <w:tcW w:w="720" w:type="dxa"/>
            <w:vAlign w:val="bottom"/>
            <w:tcBorders>
              <w:bottom w:val="single" w:sz="8" w:color="EEECE1"/>
            </w:tcBorders>
            <w:shd w:val="clear" w:color="auto" w:fill="EEECE1"/>
          </w:tcPr>
          <w:p>
            <w:pPr>
              <w:spacing w:after="0"/>
              <w:rPr>
                <w:sz w:val="8"/>
                <w:szCs w:val="8"/>
                <w:color w:val="auto"/>
              </w:rPr>
            </w:pPr>
          </w:p>
        </w:tc>
        <w:tc>
          <w:tcPr>
            <w:tcW w:w="460" w:type="dxa"/>
            <w:vAlign w:val="bottom"/>
            <w:tcBorders>
              <w:bottom w:val="single" w:sz="8" w:color="EEECE1"/>
            </w:tcBorders>
            <w:shd w:val="clear" w:color="auto" w:fill="EEECE1"/>
          </w:tcPr>
          <w:p>
            <w:pPr>
              <w:spacing w:after="0"/>
              <w:rPr>
                <w:sz w:val="8"/>
                <w:szCs w:val="8"/>
                <w:color w:val="auto"/>
              </w:rPr>
            </w:pPr>
          </w:p>
        </w:tc>
        <w:tc>
          <w:tcPr>
            <w:tcW w:w="460" w:type="dxa"/>
            <w:vAlign w:val="bottom"/>
            <w:tcBorders>
              <w:bottom w:val="single" w:sz="8" w:color="EEECE1"/>
            </w:tcBorders>
            <w:shd w:val="clear" w:color="auto" w:fill="EEECE1"/>
          </w:tcPr>
          <w:p>
            <w:pPr>
              <w:spacing w:after="0"/>
              <w:rPr>
                <w:sz w:val="8"/>
                <w:szCs w:val="8"/>
                <w:color w:val="auto"/>
              </w:rPr>
            </w:pPr>
          </w:p>
        </w:tc>
        <w:tc>
          <w:tcPr>
            <w:tcW w:w="460" w:type="dxa"/>
            <w:vAlign w:val="bottom"/>
            <w:tcBorders>
              <w:bottom w:val="single" w:sz="8" w:color="EEECE1"/>
            </w:tcBorders>
            <w:shd w:val="clear" w:color="auto" w:fill="EEECE1"/>
          </w:tcPr>
          <w:p>
            <w:pPr>
              <w:spacing w:after="0"/>
              <w:rPr>
                <w:sz w:val="8"/>
                <w:szCs w:val="8"/>
                <w:color w:val="auto"/>
              </w:rPr>
            </w:pPr>
          </w:p>
        </w:tc>
        <w:tc>
          <w:tcPr>
            <w:tcW w:w="480" w:type="dxa"/>
            <w:vAlign w:val="bottom"/>
            <w:tcBorders>
              <w:bottom w:val="single" w:sz="8" w:color="EEECE1"/>
            </w:tcBorders>
            <w:shd w:val="clear" w:color="auto" w:fill="EEECE1"/>
          </w:tcPr>
          <w:p>
            <w:pPr>
              <w:spacing w:after="0"/>
              <w:rPr>
                <w:sz w:val="8"/>
                <w:szCs w:val="8"/>
                <w:color w:val="auto"/>
              </w:rPr>
            </w:pPr>
          </w:p>
        </w:tc>
        <w:tc>
          <w:tcPr>
            <w:tcW w:w="480" w:type="dxa"/>
            <w:vAlign w:val="bottom"/>
            <w:tcBorders>
              <w:bottom w:val="single" w:sz="8" w:color="EEECE1"/>
              <w:right w:val="single" w:sz="8" w:color="EEECE1"/>
            </w:tcBorders>
            <w:shd w:val="clear" w:color="auto" w:fill="EEECE1"/>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800" w:type="dxa"/>
            <w:vAlign w:val="bottom"/>
            <w:shd w:val="clear" w:color="auto" w:fill="EEECE1"/>
          </w:tcPr>
          <w:p>
            <w:pPr>
              <w:spacing w:after="0"/>
              <w:rPr>
                <w:sz w:val="2"/>
                <w:szCs w:val="2"/>
                <w:color w:val="auto"/>
              </w:rPr>
            </w:pPr>
          </w:p>
        </w:tc>
        <w:tc>
          <w:tcPr>
            <w:tcW w:w="720" w:type="dxa"/>
            <w:vAlign w:val="bottom"/>
            <w:shd w:val="clear" w:color="auto" w:fill="EEECE1"/>
          </w:tcPr>
          <w:p>
            <w:pPr>
              <w:spacing w:after="0"/>
              <w:rPr>
                <w:sz w:val="2"/>
                <w:szCs w:val="2"/>
                <w:color w:val="auto"/>
              </w:rPr>
            </w:pPr>
          </w:p>
        </w:tc>
        <w:tc>
          <w:tcPr>
            <w:tcW w:w="460" w:type="dxa"/>
            <w:vAlign w:val="bottom"/>
            <w:shd w:val="clear" w:color="auto" w:fill="EEECE1"/>
          </w:tcPr>
          <w:p>
            <w:pPr>
              <w:spacing w:after="0"/>
              <w:rPr>
                <w:sz w:val="2"/>
                <w:szCs w:val="2"/>
                <w:color w:val="auto"/>
              </w:rPr>
            </w:pPr>
          </w:p>
        </w:tc>
        <w:tc>
          <w:tcPr>
            <w:tcW w:w="460" w:type="dxa"/>
            <w:vAlign w:val="bottom"/>
            <w:shd w:val="clear" w:color="auto" w:fill="EEECE1"/>
          </w:tcPr>
          <w:p>
            <w:pPr>
              <w:spacing w:after="0"/>
              <w:rPr>
                <w:sz w:val="2"/>
                <w:szCs w:val="2"/>
                <w:color w:val="auto"/>
              </w:rPr>
            </w:pPr>
          </w:p>
        </w:tc>
        <w:tc>
          <w:tcPr>
            <w:tcW w:w="460" w:type="dxa"/>
            <w:vAlign w:val="bottom"/>
            <w:shd w:val="clear" w:color="auto" w:fill="EEECE1"/>
          </w:tcPr>
          <w:p>
            <w:pPr>
              <w:spacing w:after="0"/>
              <w:rPr>
                <w:sz w:val="2"/>
                <w:szCs w:val="2"/>
                <w:color w:val="auto"/>
              </w:rPr>
            </w:pPr>
          </w:p>
        </w:tc>
        <w:tc>
          <w:tcPr>
            <w:tcW w:w="480" w:type="dxa"/>
            <w:vAlign w:val="bottom"/>
            <w:shd w:val="clear" w:color="auto" w:fill="EEECE1"/>
          </w:tcPr>
          <w:p>
            <w:pPr>
              <w:spacing w:after="0"/>
              <w:rPr>
                <w:sz w:val="2"/>
                <w:szCs w:val="2"/>
                <w:color w:val="auto"/>
              </w:rPr>
            </w:pPr>
          </w:p>
        </w:tc>
        <w:tc>
          <w:tcPr>
            <w:tcW w:w="480" w:type="dxa"/>
            <w:vAlign w:val="bottom"/>
            <w:tcBorders>
              <w:right w:val="single" w:sz="8" w:color="EEECE1"/>
            </w:tcBorders>
            <w:shd w:val="clear" w:color="auto" w:fill="EEEC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47" w:name="page148"/>
    <w:bookmarkEnd w:id="147"/>
    <w:p>
      <w:pPr>
        <w:spacing w:after="0"/>
        <w:rPr>
          <w:sz w:val="20"/>
          <w:szCs w:val="20"/>
          <w:color w:val="auto"/>
        </w:rPr>
      </w:pPr>
      <w:r>
        <w:rPr>
          <w:rFonts w:ascii="Arial" w:cs="Arial" w:eastAsia="Arial" w:hAnsi="Arial"/>
          <w:sz w:val="25"/>
          <w:szCs w:val="25"/>
          <w:b w:val="1"/>
          <w:bCs w:val="1"/>
          <w:color w:val="auto"/>
        </w:rPr>
        <w:t>Corporate Compliance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5264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2-23, 2-24, 2-27, 3-3, 205-1, 205-2, 205-3, 206-1</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FN-CB-510a.1, FN-CB-510a.2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F81BD"/>
        </w:rPr>
        <w:t>WE COMPLY WITH REGULATIONS AND EFFORTS TO PREVENT OF FINANCIAL CRIMES TO ENSURE EFFECTIVE RISK MANAGEMENT</w:t>
      </w:r>
    </w:p>
    <w:p>
      <w:pPr>
        <w:spacing w:after="0" w:line="191" w:lineRule="exact"/>
        <w:rPr>
          <w:sz w:val="20"/>
          <w:szCs w:val="20"/>
          <w:color w:val="auto"/>
        </w:rPr>
      </w:pPr>
    </w:p>
    <w:p>
      <w:pPr>
        <w:jc w:val="both"/>
        <w:ind w:right="280"/>
        <w:spacing w:after="0" w:line="249" w:lineRule="auto"/>
        <w:rPr>
          <w:sz w:val="20"/>
          <w:szCs w:val="20"/>
          <w:color w:val="auto"/>
        </w:rPr>
      </w:pPr>
      <w:r>
        <w:rPr>
          <w:rFonts w:ascii="Arial" w:cs="Arial" w:eastAsia="Arial" w:hAnsi="Arial"/>
          <w:sz w:val="15"/>
          <w:szCs w:val="15"/>
          <w:color w:val="121212"/>
        </w:rPr>
        <w:t>Under our system to manage compliance and ethics-related risks, we have developed policies to complement our Code of Ethics, which strengthens the decision-making process and ensures compliance with local regulations for the prevention of financial crimes. Each policy is equipped with mechanisms to ensure effective implementation,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99060</wp:posOffset>
            </wp:positionV>
            <wp:extent cx="5490845" cy="14712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490845" cy="147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 xml:space="preserve">The Compliance and Ethics Division determines responsibilities and hierarchies and systematically reviews the same at all of Credicorp’s companies to ensure that the Code and its complementary Policies are efficaciously managed. Our </w:t>
      </w:r>
      <w:r>
        <w:rPr>
          <w:rFonts w:ascii="Arial" w:cs="Arial" w:eastAsia="Arial" w:hAnsi="Arial"/>
          <w:sz w:val="15"/>
          <w:szCs w:val="15"/>
          <w:i w:val="1"/>
          <w:iCs w:val="1"/>
          <w:color w:val="auto"/>
        </w:rPr>
        <w:t>Chief Compliance</w:t>
      </w:r>
      <w:r>
        <w:rPr>
          <w:rFonts w:ascii="Arial" w:cs="Arial" w:eastAsia="Arial" w:hAnsi="Arial"/>
          <w:sz w:val="15"/>
          <w:szCs w:val="15"/>
          <w:color w:val="auto"/>
        </w:rPr>
        <w:t xml:space="preserve"> and </w:t>
      </w:r>
      <w:r>
        <w:rPr>
          <w:rFonts w:ascii="Arial" w:cs="Arial" w:eastAsia="Arial" w:hAnsi="Arial"/>
          <w:sz w:val="15"/>
          <w:szCs w:val="15"/>
          <w:i w:val="1"/>
          <w:iCs w:val="1"/>
          <w:color w:val="auto"/>
        </w:rPr>
        <w:t>Ethics Officer</w:t>
      </w:r>
      <w:r>
        <w:rPr>
          <w:rFonts w:ascii="Arial" w:cs="Arial" w:eastAsia="Arial" w:hAnsi="Arial"/>
          <w:sz w:val="15"/>
          <w:szCs w:val="15"/>
          <w:color w:val="auto"/>
        </w:rPr>
        <w:t xml:space="preserve"> reports directly to the Board and presents periodic and consolidated reports on the performance of Credicorp’s compliance programs. </w:t>
      </w:r>
      <w:r>
        <w:rPr>
          <w:rFonts w:ascii="Arial" w:cs="Arial" w:eastAsia="Arial" w:hAnsi="Arial"/>
          <w:sz w:val="15"/>
          <w:szCs w:val="15"/>
          <w:color w:val="121212"/>
        </w:rPr>
        <w:t>Each subsidiary has a compliance and ethics official, who works with a specialized</w:t>
      </w:r>
      <w:r>
        <w:rPr>
          <w:rFonts w:ascii="Arial" w:cs="Arial" w:eastAsia="Arial" w:hAnsi="Arial"/>
          <w:sz w:val="15"/>
          <w:szCs w:val="15"/>
          <w:color w:val="auto"/>
        </w:rPr>
        <w:t xml:space="preserve"> </w:t>
      </w:r>
      <w:r>
        <w:rPr>
          <w:rFonts w:ascii="Arial" w:cs="Arial" w:eastAsia="Arial" w:hAnsi="Arial"/>
          <w:sz w:val="15"/>
          <w:szCs w:val="15"/>
          <w:color w:val="121212"/>
        </w:rPr>
        <w:t>team and reports to the main office.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Today, we have a framework for advice on compliance and integral ethics to ensure that our new products, channels, initiatives, services or changes in offerings/conditions are assessed in a timely manner at all stages, from ideation and conception to implementation and follow-up. Under this form of work, in 2022 we evaluated more than 750 initiatives, where we applied more than 300 controls, the majority of which entailed adequate protection of personal data; prevention of money laundering; and contributing to fiscal transparency and adequate market behavior.</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79" w:right="319" w:bottom="1440" w:gutter="0" w:footer="0" w:header="0"/>
        </w:sectPr>
      </w:pPr>
    </w:p>
    <w:bookmarkStart w:id="148" w:name="page149"/>
    <w:bookmarkEnd w:id="148"/>
    <w:p>
      <w:pPr>
        <w:ind w:left="8"/>
        <w:spacing w:after="0"/>
        <w:rPr>
          <w:sz w:val="20"/>
          <w:szCs w:val="20"/>
          <w:color w:val="auto"/>
        </w:rPr>
      </w:pPr>
      <w:r>
        <w:rPr>
          <w:rFonts w:ascii="Arial" w:cs="Arial" w:eastAsia="Arial" w:hAnsi="Arial"/>
          <w:sz w:val="15"/>
          <w:szCs w:val="15"/>
          <w:color w:val="121212"/>
        </w:rPr>
        <w:t>Next, we present the main aspects of how we manage the policies that complement the Code and provide details on the achievements registered in 2022:</w:t>
      </w:r>
    </w:p>
    <w:p>
      <w:pPr>
        <w:spacing w:after="0" w:line="154" w:lineRule="exact"/>
        <w:rPr>
          <w:sz w:val="20"/>
          <w:szCs w:val="20"/>
          <w:color w:val="auto"/>
        </w:rPr>
      </w:pPr>
    </w:p>
    <w:tbl>
      <w:tblPr>
        <w:tblLayout w:type="fixed"/>
        <w:tblInd w:w="18" w:type="dxa"/>
        <w:tblCellMar>
          <w:top w:w="0" w:type="dxa"/>
          <w:left w:w="0" w:type="dxa"/>
          <w:bottom w:w="0" w:type="dxa"/>
          <w:right w:w="0" w:type="dxa"/>
        </w:tblCellMar>
      </w:tblPr>
      <w:tr>
        <w:trPr>
          <w:trHeight w:val="311"/>
        </w:trPr>
        <w:tc>
          <w:tcPr>
            <w:tcW w:w="6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5"/>
                <w:szCs w:val="15"/>
                <w:b w:val="1"/>
                <w:bCs w:val="1"/>
                <w:color w:val="121212"/>
              </w:rPr>
              <w:t>Policy</w:t>
            </w: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gridSpan w:val="3"/>
          </w:tcPr>
          <w:p>
            <w:pPr>
              <w:jc w:val="center"/>
              <w:ind w:right="143"/>
              <w:spacing w:after="0"/>
              <w:rPr>
                <w:sz w:val="20"/>
                <w:szCs w:val="20"/>
                <w:color w:val="auto"/>
              </w:rPr>
            </w:pPr>
            <w:r>
              <w:rPr>
                <w:rFonts w:ascii="Arial" w:cs="Arial" w:eastAsia="Arial" w:hAnsi="Arial"/>
                <w:sz w:val="15"/>
                <w:szCs w:val="15"/>
                <w:b w:val="1"/>
                <w:bCs w:val="1"/>
                <w:color w:val="121212"/>
              </w:rPr>
              <w:t>Declaration</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121212"/>
              </w:rPr>
              <w:t>Applicable Regulation</w:t>
            </w: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360" w:type="dxa"/>
            <w:vAlign w:val="bottom"/>
            <w:tcBorders>
              <w:top w:val="single" w:sz="8" w:color="auto"/>
              <w:right w:val="single" w:sz="8" w:color="auto"/>
            </w:tcBorders>
            <w:gridSpan w:val="4"/>
          </w:tcPr>
          <w:p>
            <w:pPr>
              <w:ind w:left="1260"/>
              <w:spacing w:after="0"/>
              <w:rPr>
                <w:sz w:val="20"/>
                <w:szCs w:val="20"/>
                <w:color w:val="auto"/>
              </w:rPr>
            </w:pPr>
            <w:r>
              <w:rPr>
                <w:rFonts w:ascii="Arial" w:cs="Arial" w:eastAsia="Arial" w:hAnsi="Arial"/>
                <w:sz w:val="15"/>
                <w:szCs w:val="15"/>
                <w:b w:val="1"/>
                <w:bCs w:val="1"/>
                <w:color w:val="121212"/>
              </w:rPr>
              <w:t>Management and Progress 2022</w:t>
            </w:r>
          </w:p>
        </w:tc>
        <w:tc>
          <w:tcPr>
            <w:tcW w:w="0" w:type="dxa"/>
            <w:vAlign w:val="bottom"/>
          </w:tcPr>
          <w:p>
            <w:pPr>
              <w:spacing w:after="0"/>
              <w:rPr>
                <w:sz w:val="1"/>
                <w:szCs w:val="1"/>
                <w:color w:val="auto"/>
              </w:rPr>
            </w:pPr>
          </w:p>
        </w:tc>
      </w:tr>
      <w:tr>
        <w:trPr>
          <w:trHeight w:val="104"/>
        </w:trPr>
        <w:tc>
          <w:tcPr>
            <w:tcW w:w="6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gridSpan w:val="3"/>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5820" w:type="dxa"/>
            <w:vAlign w:val="bottom"/>
            <w:tcBorders>
              <w:bottom w:val="single" w:sz="8" w:color="auto"/>
              <w:right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60" w:type="dxa"/>
            <w:vAlign w:val="bottom"/>
            <w:tcBorders>
              <w:left w:val="single" w:sz="8" w:color="auto"/>
            </w:tcBorders>
          </w:tcPr>
          <w:p>
            <w:pPr>
              <w:spacing w:after="0"/>
              <w:rPr>
                <w:sz w:val="17"/>
                <w:szCs w:val="17"/>
                <w:color w:val="auto"/>
              </w:rPr>
            </w:pPr>
          </w:p>
        </w:tc>
        <w:tc>
          <w:tcPr>
            <w:tcW w:w="1320" w:type="dxa"/>
            <w:vAlign w:val="bottom"/>
            <w:tcBorders>
              <w:right w:val="single" w:sz="8" w:color="auto"/>
            </w:tcBorders>
            <w:gridSpan w:val="4"/>
          </w:tcPr>
          <w:p>
            <w:pPr>
              <w:spacing w:after="0"/>
              <w:rPr>
                <w:sz w:val="20"/>
                <w:szCs w:val="20"/>
                <w:color w:val="auto"/>
              </w:rPr>
            </w:pPr>
            <w:r>
              <w:rPr>
                <w:rFonts w:ascii="Arial" w:cs="Arial" w:eastAsia="Arial" w:hAnsi="Arial"/>
                <w:sz w:val="15"/>
                <w:szCs w:val="15"/>
                <w:b w:val="1"/>
                <w:bCs w:val="1"/>
                <w:color w:val="3265FF"/>
              </w:rPr>
              <w:t>Anticorruption</w:t>
            </w:r>
          </w:p>
        </w:tc>
        <w:tc>
          <w:tcPr>
            <w:tcW w:w="180" w:type="dxa"/>
            <w:vAlign w:val="bottom"/>
          </w:tcPr>
          <w:p>
            <w:pPr>
              <w:spacing w:after="0"/>
              <w:rPr>
                <w:sz w:val="17"/>
                <w:szCs w:val="17"/>
                <w:color w:val="auto"/>
              </w:rPr>
            </w:pPr>
          </w:p>
        </w:tc>
        <w:tc>
          <w:tcPr>
            <w:tcW w:w="1500" w:type="dxa"/>
            <w:vAlign w:val="bottom"/>
            <w:tcBorders>
              <w:right w:val="single" w:sz="8" w:color="auto"/>
            </w:tcBorders>
            <w:gridSpan w:val="3"/>
          </w:tcPr>
          <w:p>
            <w:pPr>
              <w:jc w:val="center"/>
              <w:ind w:right="143"/>
              <w:spacing w:after="0"/>
              <w:rPr>
                <w:sz w:val="20"/>
                <w:szCs w:val="20"/>
                <w:color w:val="auto"/>
              </w:rPr>
            </w:pPr>
            <w:r>
              <w:rPr>
                <w:rFonts w:ascii="Arial" w:cs="Arial" w:eastAsia="Arial" w:hAnsi="Arial"/>
                <w:sz w:val="15"/>
                <w:szCs w:val="15"/>
                <w:b w:val="1"/>
                <w:bCs w:val="1"/>
                <w:color w:val="121212"/>
              </w:rPr>
              <w:t>Zero Tolerance to</w:t>
            </w:r>
          </w:p>
        </w:tc>
        <w:tc>
          <w:tcPr>
            <w:tcW w:w="220" w:type="dxa"/>
            <w:vAlign w:val="bottom"/>
          </w:tcPr>
          <w:p>
            <w:pPr>
              <w:ind w:left="60"/>
              <w:spacing w:after="0"/>
              <w:rPr>
                <w:sz w:val="20"/>
                <w:szCs w:val="20"/>
                <w:color w:val="auto"/>
              </w:rPr>
            </w:pPr>
            <w:r>
              <w:rPr>
                <w:rFonts w:ascii="Arial" w:cs="Arial" w:eastAsia="Arial" w:hAnsi="Arial"/>
                <w:sz w:val="15"/>
                <w:szCs w:val="15"/>
                <w:color w:val="auto"/>
              </w:rPr>
              <w:t>1.</w:t>
            </w:r>
          </w:p>
        </w:tc>
        <w:tc>
          <w:tcPr>
            <w:tcW w:w="216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Law 30424 - Perú</w:t>
            </w:r>
          </w:p>
        </w:tc>
        <w:tc>
          <w:tcPr>
            <w:tcW w:w="5820" w:type="dxa"/>
            <w:vAlign w:val="bottom"/>
            <w:tcBorders>
              <w:right w:val="single" w:sz="8" w:color="auto"/>
            </w:tcBorders>
            <w:gridSpan w:val="6"/>
          </w:tcPr>
          <w:p>
            <w:pPr>
              <w:ind w:left="40"/>
              <w:spacing w:after="0" w:line="199" w:lineRule="exact"/>
              <w:rPr>
                <w:sz w:val="20"/>
                <w:szCs w:val="20"/>
                <w:color w:val="auto"/>
              </w:rPr>
            </w:pPr>
            <w:r>
              <w:rPr>
                <w:rFonts w:ascii="Arial" w:cs="Arial" w:eastAsia="Arial" w:hAnsi="Arial"/>
                <w:sz w:val="14"/>
                <w:szCs w:val="14"/>
                <w:b w:val="1"/>
                <w:bCs w:val="1"/>
                <w:color w:val="auto"/>
              </w:rPr>
              <w:t xml:space="preserve">Risk Assessment: </w:t>
            </w:r>
            <w:r>
              <w:rPr>
                <w:rFonts w:ascii="Arial" w:cs="Arial" w:eastAsia="Arial" w:hAnsi="Arial"/>
                <w:sz w:val="14"/>
                <w:szCs w:val="14"/>
                <w:color w:val="auto"/>
              </w:rPr>
              <w:t>100% of our 8 main subsidiaries</w:t>
            </w:r>
            <w:r>
              <w:rPr>
                <w:rFonts w:ascii="Arial" w:cs="Arial" w:eastAsia="Arial" w:hAnsi="Arial"/>
                <w:sz w:val="23"/>
                <w:szCs w:val="23"/>
                <w:color w:val="auto"/>
                <w:vertAlign w:val="superscript"/>
              </w:rPr>
              <w:t>54</w:t>
            </w:r>
            <w:r>
              <w:rPr>
                <w:rFonts w:ascii="Arial" w:cs="Arial" w:eastAsia="Arial" w:hAnsi="Arial"/>
                <w:sz w:val="14"/>
                <w:szCs w:val="14"/>
                <w:b w:val="1"/>
                <w:bCs w:val="1"/>
                <w:color w:val="auto"/>
              </w:rPr>
              <w:t xml:space="preserve"> </w:t>
            </w:r>
            <w:r>
              <w:rPr>
                <w:rFonts w:ascii="Arial" w:cs="Arial" w:eastAsia="Arial" w:hAnsi="Arial"/>
                <w:sz w:val="14"/>
                <w:szCs w:val="14"/>
                <w:color w:val="auto"/>
              </w:rPr>
              <w:t>are equipped with a risk</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320" w:type="dxa"/>
            <w:vAlign w:val="bottom"/>
            <w:tcBorders>
              <w:top w:val="single" w:sz="8" w:color="3265FF"/>
            </w:tcBorders>
          </w:tcPr>
          <w:p>
            <w:pPr>
              <w:spacing w:after="0"/>
              <w:rPr>
                <w:sz w:val="15"/>
                <w:szCs w:val="15"/>
                <w:color w:val="auto"/>
              </w:rPr>
            </w:pPr>
          </w:p>
        </w:tc>
        <w:tc>
          <w:tcPr>
            <w:tcW w:w="580" w:type="dxa"/>
            <w:vAlign w:val="bottom"/>
            <w:tcBorders>
              <w:top w:val="single" w:sz="8" w:color="3265FF"/>
            </w:tcBorders>
          </w:tcPr>
          <w:p>
            <w:pPr>
              <w:spacing w:after="0"/>
              <w:rPr>
                <w:sz w:val="15"/>
                <w:szCs w:val="15"/>
                <w:color w:val="auto"/>
              </w:rPr>
            </w:pPr>
          </w:p>
        </w:tc>
        <w:tc>
          <w:tcPr>
            <w:tcW w:w="180" w:type="dxa"/>
            <w:vAlign w:val="bottom"/>
            <w:tcBorders>
              <w:top w:val="single" w:sz="8" w:color="3265FF"/>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Borders>
              <w:right w:val="single" w:sz="8" w:color="auto"/>
            </w:tcBorders>
            <w:gridSpan w:val="3"/>
          </w:tcPr>
          <w:p>
            <w:pPr>
              <w:jc w:val="center"/>
              <w:ind w:right="143"/>
              <w:spacing w:after="0"/>
              <w:rPr>
                <w:sz w:val="20"/>
                <w:szCs w:val="20"/>
                <w:color w:val="auto"/>
              </w:rPr>
            </w:pPr>
            <w:r>
              <w:rPr>
                <w:rFonts w:ascii="Arial" w:cs="Arial" w:eastAsia="Arial" w:hAnsi="Arial"/>
                <w:sz w:val="15"/>
                <w:szCs w:val="15"/>
                <w:b w:val="1"/>
                <w:bCs w:val="1"/>
                <w:color w:val="121212"/>
              </w:rPr>
              <w:t>Corruption</w:t>
            </w:r>
          </w:p>
        </w:tc>
        <w:tc>
          <w:tcPr>
            <w:tcW w:w="220" w:type="dxa"/>
            <w:vAlign w:val="bottom"/>
          </w:tcPr>
          <w:p>
            <w:pPr>
              <w:ind w:left="60"/>
              <w:spacing w:after="0"/>
              <w:rPr>
                <w:sz w:val="20"/>
                <w:szCs w:val="20"/>
                <w:color w:val="auto"/>
              </w:rPr>
            </w:pPr>
            <w:r>
              <w:rPr>
                <w:rFonts w:ascii="Arial" w:cs="Arial" w:eastAsia="Arial" w:hAnsi="Arial"/>
                <w:sz w:val="15"/>
                <w:szCs w:val="15"/>
                <w:color w:val="auto"/>
              </w:rPr>
              <w:t>2.</w:t>
            </w:r>
          </w:p>
        </w:tc>
        <w:tc>
          <w:tcPr>
            <w:tcW w:w="216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i w:val="1"/>
                <w:iCs w:val="1"/>
                <w:color w:val="auto"/>
              </w:rPr>
              <w:t>Foreign Corrupt Practice Act</w:t>
            </w:r>
          </w:p>
        </w:tc>
        <w:tc>
          <w:tcPr>
            <w:tcW w:w="2000" w:type="dxa"/>
            <w:vAlign w:val="bottom"/>
            <w:gridSpan w:val="3"/>
          </w:tcPr>
          <w:p>
            <w:pPr>
              <w:ind w:left="40"/>
              <w:spacing w:after="0"/>
              <w:rPr>
                <w:sz w:val="20"/>
                <w:szCs w:val="20"/>
                <w:color w:val="auto"/>
              </w:rPr>
            </w:pPr>
            <w:r>
              <w:rPr>
                <w:rFonts w:ascii="Arial" w:cs="Arial" w:eastAsia="Arial" w:hAnsi="Arial"/>
                <w:sz w:val="15"/>
                <w:szCs w:val="15"/>
                <w:color w:val="auto"/>
              </w:rPr>
              <w:t>matrix for corruption.</w:t>
            </w:r>
          </w:p>
        </w:tc>
        <w:tc>
          <w:tcPr>
            <w:tcW w:w="1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Borders>
              <w:right w:val="single" w:sz="8" w:color="auto"/>
            </w:tcBorders>
            <w:gridSpan w:val="2"/>
          </w:tcPr>
          <w:p>
            <w:pPr>
              <w:ind w:left="40"/>
              <w:spacing w:after="0" w:line="157" w:lineRule="exact"/>
              <w:rPr>
                <w:sz w:val="20"/>
                <w:szCs w:val="20"/>
                <w:color w:val="auto"/>
              </w:rPr>
            </w:pPr>
            <w:r>
              <w:rPr>
                <w:rFonts w:ascii="Arial" w:cs="Arial" w:eastAsia="Arial" w:hAnsi="Arial"/>
                <w:sz w:val="15"/>
                <w:szCs w:val="15"/>
                <w:color w:val="auto"/>
              </w:rPr>
              <w:t>(FCPA)</w:t>
            </w:r>
          </w:p>
        </w:tc>
        <w:tc>
          <w:tcPr>
            <w:tcW w:w="20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Policies and controls:</w:t>
            </w:r>
          </w:p>
        </w:tc>
        <w:tc>
          <w:tcPr>
            <w:tcW w:w="1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None  of</w:t>
            </w:r>
          </w:p>
        </w:tc>
        <w:tc>
          <w:tcPr>
            <w:tcW w:w="360" w:type="dxa"/>
            <w:vAlign w:val="bottom"/>
          </w:tcPr>
          <w:p>
            <w:pPr>
              <w:jc w:val="center"/>
              <w:ind w:right="3"/>
              <w:spacing w:after="0"/>
              <w:rPr>
                <w:sz w:val="20"/>
                <w:szCs w:val="20"/>
                <w:color w:val="auto"/>
              </w:rPr>
            </w:pPr>
            <w:r>
              <w:rPr>
                <w:rFonts w:ascii="Arial" w:cs="Arial" w:eastAsia="Arial" w:hAnsi="Arial"/>
                <w:sz w:val="15"/>
                <w:szCs w:val="15"/>
                <w:color w:val="auto"/>
                <w:w w:val="95"/>
              </w:rPr>
              <w:t>the</w:t>
            </w:r>
          </w:p>
        </w:tc>
        <w:tc>
          <w:tcPr>
            <w:tcW w:w="52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cases</w:t>
            </w:r>
          </w:p>
        </w:tc>
        <w:tc>
          <w:tcPr>
            <w:tcW w:w="220" w:type="dxa"/>
            <w:vAlign w:val="bottom"/>
          </w:tcPr>
          <w:p>
            <w:pPr>
              <w:ind w:left="60"/>
              <w:spacing w:after="0"/>
              <w:rPr>
                <w:sz w:val="20"/>
                <w:szCs w:val="20"/>
                <w:color w:val="auto"/>
              </w:rPr>
            </w:pPr>
            <w:r>
              <w:rPr>
                <w:rFonts w:ascii="Arial" w:cs="Arial" w:eastAsia="Arial" w:hAnsi="Arial"/>
                <w:sz w:val="15"/>
                <w:szCs w:val="15"/>
                <w:color w:val="121212"/>
              </w:rPr>
              <w:t>3.</w:t>
            </w:r>
          </w:p>
        </w:tc>
        <w:tc>
          <w:tcPr>
            <w:tcW w:w="216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i w:val="1"/>
                <w:iCs w:val="1"/>
                <w:color w:val="auto"/>
              </w:rPr>
              <w:t>UK Bribery Act</w:t>
            </w:r>
          </w:p>
        </w:tc>
        <w:tc>
          <w:tcPr>
            <w:tcW w:w="2000" w:type="dxa"/>
            <w:vAlign w:val="bottom"/>
            <w:gridSpan w:val="3"/>
            <w:vMerge w:val="continue"/>
          </w:tcPr>
          <w:p>
            <w:pPr>
              <w:spacing w:after="0"/>
              <w:rPr>
                <w:sz w:val="16"/>
                <w:szCs w:val="16"/>
                <w:color w:val="auto"/>
              </w:rPr>
            </w:pPr>
          </w:p>
        </w:tc>
        <w:tc>
          <w:tcPr>
            <w:tcW w:w="1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received</w:t>
            </w:r>
          </w:p>
        </w:tc>
        <w:tc>
          <w:tcPr>
            <w:tcW w:w="360" w:type="dxa"/>
            <w:vAlign w:val="bottom"/>
          </w:tcPr>
          <w:p>
            <w:pPr>
              <w:jc w:val="center"/>
              <w:ind w:right="43"/>
              <w:spacing w:after="0"/>
              <w:rPr>
                <w:sz w:val="20"/>
                <w:szCs w:val="20"/>
                <w:color w:val="auto"/>
              </w:rPr>
            </w:pPr>
            <w:r>
              <w:rPr>
                <w:rFonts w:ascii="Arial" w:cs="Arial" w:eastAsia="Arial" w:hAnsi="Arial"/>
                <w:sz w:val="15"/>
                <w:szCs w:val="15"/>
                <w:color w:val="auto"/>
              </w:rPr>
              <w:t>by</w:t>
            </w:r>
          </w:p>
        </w:tc>
        <w:tc>
          <w:tcPr>
            <w:tcW w:w="52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Alerta</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5820" w:type="dxa"/>
            <w:vAlign w:val="bottom"/>
            <w:tcBorders>
              <w:right w:val="single" w:sz="8" w:color="auto"/>
            </w:tcBorders>
            <w:gridSpan w:val="6"/>
          </w:tcPr>
          <w:p>
            <w:pPr>
              <w:ind w:left="40"/>
              <w:spacing w:after="0"/>
              <w:rPr>
                <w:sz w:val="20"/>
                <w:szCs w:val="20"/>
                <w:color w:val="auto"/>
              </w:rPr>
            </w:pPr>
            <w:r>
              <w:rPr>
                <w:rFonts w:ascii="Arial" w:cs="Arial" w:eastAsia="Arial" w:hAnsi="Arial"/>
                <w:sz w:val="15"/>
                <w:szCs w:val="15"/>
                <w:color w:val="auto"/>
              </w:rPr>
              <w:t>Guidelines for anti-corruption prevent risks related to:</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GenÉTICA were found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3"/>
          </w:tcPr>
          <w:p>
            <w:pPr>
              <w:ind w:left="120"/>
              <w:spacing w:after="0"/>
              <w:rPr>
                <w:sz w:val="20"/>
                <w:szCs w:val="20"/>
                <w:color w:val="auto"/>
              </w:rPr>
            </w:pPr>
            <w:r>
              <w:rPr>
                <w:rFonts w:ascii="Arial" w:cs="Arial" w:eastAsia="Arial" w:hAnsi="Arial"/>
                <w:sz w:val="15"/>
                <w:szCs w:val="15"/>
                <w:color w:val="auto"/>
              </w:rPr>
              <w:t>● Donations or non-commercial sponsorship</w:t>
            </w:r>
          </w:p>
        </w:tc>
        <w:tc>
          <w:tcPr>
            <w:tcW w:w="20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auto"/>
                <w:w w:val="95"/>
              </w:rPr>
              <w:t>to</w:t>
            </w:r>
          </w:p>
        </w:tc>
        <w:tc>
          <w:tcPr>
            <w:tcW w:w="150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rPr>
              <w:t>constitute cases of</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3100" w:type="dxa"/>
            <w:vAlign w:val="bottom"/>
            <w:gridSpan w:val="2"/>
          </w:tcPr>
          <w:p>
            <w:pPr>
              <w:ind w:left="40"/>
              <w:spacing w:after="0"/>
              <w:rPr>
                <w:sz w:val="20"/>
                <w:szCs w:val="20"/>
                <w:color w:val="auto"/>
              </w:rPr>
            </w:pPr>
            <w:r>
              <w:rPr>
                <w:rFonts w:ascii="Arial" w:cs="Arial" w:eastAsia="Arial" w:hAnsi="Arial"/>
                <w:sz w:val="15"/>
                <w:szCs w:val="15"/>
                <w:color w:val="auto"/>
              </w:rPr>
              <w:t>Reception and/or delivery of gifts or similar</w:t>
            </w:r>
          </w:p>
        </w:tc>
        <w:tc>
          <w:tcPr>
            <w:tcW w:w="20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corruption.</w:t>
            </w:r>
          </w:p>
        </w:tc>
        <w:tc>
          <w:tcPr>
            <w:tcW w:w="3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53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Financial aspects and commercial relations with suppliers, agents and third</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5"/>
                <w:szCs w:val="15"/>
                <w:color w:val="auto"/>
              </w:rPr>
              <w:t>parties</w:t>
            </w:r>
          </w:p>
        </w:tc>
        <w:tc>
          <w:tcPr>
            <w:tcW w:w="1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6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6"/>
          </w:tcPr>
          <w:p>
            <w:pPr>
              <w:ind w:left="40"/>
              <w:spacing w:after="0"/>
              <w:rPr>
                <w:sz w:val="20"/>
                <w:szCs w:val="20"/>
                <w:color w:val="auto"/>
              </w:rPr>
            </w:pPr>
            <w:r>
              <w:rPr>
                <w:rFonts w:ascii="Arial" w:cs="Arial" w:eastAsia="Arial" w:hAnsi="Arial"/>
                <w:sz w:val="15"/>
                <w:szCs w:val="15"/>
                <w:b w:val="1"/>
                <w:bCs w:val="1"/>
                <w:color w:val="auto"/>
              </w:rPr>
              <w:t xml:space="preserve">Culture: </w:t>
            </w:r>
            <w:r>
              <w:rPr>
                <w:rFonts w:ascii="Arial" w:cs="Arial" w:eastAsia="Arial" w:hAnsi="Arial"/>
                <w:sz w:val="15"/>
                <w:szCs w:val="15"/>
                <w:color w:val="auto"/>
              </w:rPr>
              <w:t>We train 100% of areas and/or processes that are considered RHC</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0" w:type="dxa"/>
            <w:vAlign w:val="bottom"/>
            <w:gridSpan w:val="3"/>
          </w:tcPr>
          <w:p>
            <w:pPr>
              <w:ind w:left="40"/>
              <w:spacing w:after="0"/>
              <w:rPr>
                <w:sz w:val="20"/>
                <w:szCs w:val="20"/>
                <w:color w:val="auto"/>
              </w:rPr>
            </w:pPr>
            <w:r>
              <w:rPr>
                <w:rFonts w:ascii="Arial" w:cs="Arial" w:eastAsia="Arial" w:hAnsi="Arial"/>
                <w:sz w:val="15"/>
                <w:szCs w:val="15"/>
                <w:color w:val="auto"/>
              </w:rPr>
              <w:t>(relevant, high and critical)</w:t>
            </w:r>
          </w:p>
        </w:tc>
        <w:tc>
          <w:tcPr>
            <w:tcW w:w="1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6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000" w:type="dxa"/>
            <w:vAlign w:val="bottom"/>
            <w:gridSpan w:val="3"/>
          </w:tcPr>
          <w:p>
            <w:pPr>
              <w:ind w:left="40"/>
              <w:spacing w:after="0"/>
              <w:rPr>
                <w:sz w:val="20"/>
                <w:szCs w:val="20"/>
                <w:color w:val="auto"/>
              </w:rPr>
            </w:pPr>
            <w:r>
              <w:rPr>
                <w:rFonts w:ascii="Arial" w:cs="Arial" w:eastAsia="Arial" w:hAnsi="Arial"/>
                <w:sz w:val="15"/>
                <w:szCs w:val="15"/>
                <w:b w:val="1"/>
                <w:bCs w:val="1"/>
                <w:color w:val="auto"/>
              </w:rPr>
              <w:t>Training:</w:t>
            </w: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shd w:val="clear" w:color="auto" w:fill="F2F2F2"/>
          </w:tcPr>
          <w:p>
            <w:pPr>
              <w:spacing w:after="0"/>
              <w:rPr>
                <w:sz w:val="21"/>
                <w:szCs w:val="21"/>
                <w:color w:val="auto"/>
              </w:rPr>
            </w:pPr>
          </w:p>
        </w:tc>
        <w:tc>
          <w:tcPr>
            <w:tcW w:w="1540" w:type="dxa"/>
            <w:vAlign w:val="bottom"/>
            <w:shd w:val="clear" w:color="auto" w:fill="F2F2F2"/>
          </w:tcPr>
          <w:p>
            <w:pPr>
              <w:spacing w:after="0"/>
              <w:rPr>
                <w:sz w:val="21"/>
                <w:szCs w:val="21"/>
                <w:color w:val="auto"/>
              </w:rPr>
            </w:pPr>
          </w:p>
        </w:tc>
        <w:tc>
          <w:tcPr>
            <w:tcW w:w="1560" w:type="dxa"/>
            <w:vAlign w:val="bottom"/>
            <w:shd w:val="clear" w:color="auto" w:fill="F2F2F2"/>
          </w:tcPr>
          <w:p>
            <w:pPr>
              <w:spacing w:after="0"/>
              <w:rPr>
                <w:sz w:val="21"/>
                <w:szCs w:val="21"/>
                <w:color w:val="auto"/>
              </w:rPr>
            </w:pPr>
          </w:p>
        </w:tc>
        <w:tc>
          <w:tcPr>
            <w:tcW w:w="20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In some of the main</w:t>
            </w: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540" w:type="dxa"/>
            <w:vAlign w:val="bottom"/>
            <w:shd w:val="clear" w:color="auto" w:fill="F2F2F2"/>
          </w:tcPr>
          <w:p>
            <w:pPr>
              <w:spacing w:after="0"/>
              <w:rPr>
                <w:sz w:val="16"/>
                <w:szCs w:val="16"/>
                <w:color w:val="auto"/>
              </w:rPr>
            </w:pPr>
          </w:p>
        </w:tc>
        <w:tc>
          <w:tcPr>
            <w:tcW w:w="1560" w:type="dxa"/>
            <w:vAlign w:val="bottom"/>
            <w:shd w:val="clear" w:color="auto" w:fill="F2F2F2"/>
          </w:tcPr>
          <w:p>
            <w:pPr>
              <w:spacing w:after="0"/>
              <w:rPr>
                <w:sz w:val="16"/>
                <w:szCs w:val="16"/>
                <w:color w:val="auto"/>
              </w:rPr>
            </w:pPr>
          </w:p>
        </w:tc>
        <w:tc>
          <w:tcPr>
            <w:tcW w:w="20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 xml:space="preserve">subsidiaries, 250 </w:t>
            </w:r>
            <w:r>
              <w:rPr>
                <w:rFonts w:ascii="Arial" w:cs="Arial" w:eastAsia="Arial" w:hAnsi="Arial"/>
                <w:sz w:val="15"/>
                <w:szCs w:val="15"/>
                <w:b w:val="1"/>
                <w:bCs w:val="1"/>
                <w:color w:val="auto"/>
              </w:rPr>
              <w:t>suppliers</w:t>
            </w: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1540" w:type="dxa"/>
            <w:vAlign w:val="bottom"/>
            <w:vMerge w:val="restart"/>
            <w:shd w:val="clear" w:color="auto" w:fill="F2F2F2"/>
          </w:tcPr>
          <w:p>
            <w:pPr>
              <w:jc w:val="center"/>
              <w:ind w:right="203"/>
              <w:spacing w:after="0"/>
              <w:rPr>
                <w:sz w:val="20"/>
                <w:szCs w:val="20"/>
                <w:color w:val="auto"/>
              </w:rPr>
            </w:pPr>
            <w:r>
              <w:rPr>
                <w:rFonts w:ascii="Arial" w:cs="Arial" w:eastAsia="Arial" w:hAnsi="Arial"/>
                <w:sz w:val="15"/>
                <w:szCs w:val="15"/>
                <w:color w:val="auto"/>
              </w:rPr>
              <w:t>98 % (32,717) of</w:t>
            </w:r>
          </w:p>
        </w:tc>
        <w:tc>
          <w:tcPr>
            <w:tcW w:w="1560" w:type="dxa"/>
            <w:vAlign w:val="bottom"/>
            <w:shd w:val="clear" w:color="auto" w:fill="F2F2F2"/>
          </w:tcPr>
          <w:p>
            <w:pPr>
              <w:spacing w:after="0"/>
              <w:rPr>
                <w:sz w:val="15"/>
                <w:szCs w:val="15"/>
                <w:color w:val="auto"/>
              </w:rPr>
            </w:pPr>
          </w:p>
        </w:tc>
        <w:tc>
          <w:tcPr>
            <w:tcW w:w="20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were trained who, due to</w:t>
            </w: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F2F2F2"/>
          </w:tcPr>
          <w:p>
            <w:pPr>
              <w:spacing w:after="0"/>
              <w:rPr>
                <w:sz w:val="5"/>
                <w:szCs w:val="5"/>
                <w:color w:val="auto"/>
              </w:rPr>
            </w:pPr>
          </w:p>
        </w:tc>
        <w:tc>
          <w:tcPr>
            <w:tcW w:w="1540" w:type="dxa"/>
            <w:vAlign w:val="bottom"/>
            <w:vMerge w:val="continue"/>
            <w:shd w:val="clear" w:color="auto" w:fill="F2F2F2"/>
          </w:tcPr>
          <w:p>
            <w:pPr>
              <w:spacing w:after="0"/>
              <w:rPr>
                <w:sz w:val="5"/>
                <w:szCs w:val="5"/>
                <w:color w:val="auto"/>
              </w:rPr>
            </w:pPr>
          </w:p>
        </w:tc>
        <w:tc>
          <w:tcPr>
            <w:tcW w:w="1560" w:type="dxa"/>
            <w:vAlign w:val="bottom"/>
            <w:vMerge w:val="restart"/>
            <w:shd w:val="clear" w:color="auto" w:fill="F2F2F2"/>
          </w:tcPr>
          <w:p>
            <w:pPr>
              <w:jc w:val="center"/>
              <w:spacing w:after="0" w:line="155" w:lineRule="exact"/>
              <w:rPr>
                <w:sz w:val="20"/>
                <w:szCs w:val="20"/>
                <w:color w:val="auto"/>
              </w:rPr>
            </w:pPr>
            <w:r>
              <w:rPr>
                <w:rFonts w:ascii="Arial" w:cs="Arial" w:eastAsia="Arial" w:hAnsi="Arial"/>
                <w:sz w:val="15"/>
                <w:szCs w:val="15"/>
                <w:color w:val="auto"/>
              </w:rPr>
              <w:t>100% (63) of</w:t>
            </w:r>
          </w:p>
        </w:tc>
        <w:tc>
          <w:tcPr>
            <w:tcW w:w="2020" w:type="dxa"/>
            <w:vAlign w:val="bottom"/>
            <w:vMerge w:val="restart"/>
            <w:shd w:val="clear" w:color="auto" w:fill="F2F2F2"/>
          </w:tcPr>
          <w:p>
            <w:pPr>
              <w:jc w:val="center"/>
              <w:spacing w:after="0" w:line="155" w:lineRule="exact"/>
              <w:rPr>
                <w:sz w:val="20"/>
                <w:szCs w:val="20"/>
                <w:color w:val="auto"/>
              </w:rPr>
            </w:pPr>
            <w:r>
              <w:rPr>
                <w:rFonts w:ascii="Arial" w:cs="Arial" w:eastAsia="Arial" w:hAnsi="Arial"/>
                <w:sz w:val="15"/>
                <w:szCs w:val="15"/>
                <w:color w:val="auto"/>
              </w:rPr>
              <w:t>the nature of their</w:t>
            </w:r>
          </w:p>
        </w:tc>
        <w:tc>
          <w:tcPr>
            <w:tcW w:w="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gridSpan w:val="2"/>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 xml:space="preserve">employees </w:t>
            </w:r>
            <w:r>
              <w:rPr>
                <w:rFonts w:ascii="Arial" w:cs="Arial" w:eastAsia="Arial" w:hAnsi="Arial"/>
                <w:sz w:val="15"/>
                <w:szCs w:val="15"/>
                <w:color w:val="auto"/>
              </w:rPr>
              <w:t>at the main</w:t>
            </w:r>
          </w:p>
        </w:tc>
        <w:tc>
          <w:tcPr>
            <w:tcW w:w="1560" w:type="dxa"/>
            <w:vAlign w:val="bottom"/>
            <w:vMerge w:val="continue"/>
            <w:shd w:val="clear" w:color="auto" w:fill="F2F2F2"/>
          </w:tcPr>
          <w:p>
            <w:pPr>
              <w:spacing w:after="0"/>
              <w:rPr>
                <w:sz w:val="8"/>
                <w:szCs w:val="8"/>
                <w:color w:val="auto"/>
              </w:rPr>
            </w:pPr>
          </w:p>
        </w:tc>
        <w:tc>
          <w:tcPr>
            <w:tcW w:w="2020" w:type="dxa"/>
            <w:vAlign w:val="bottom"/>
            <w:vMerge w:val="continue"/>
            <w:shd w:val="clear" w:color="auto" w:fill="F2F2F2"/>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gridSpan w:val="2"/>
            <w:vMerge w:val="continue"/>
            <w:shd w:val="clear" w:color="auto" w:fill="F2F2F2"/>
          </w:tcPr>
          <w:p>
            <w:pPr>
              <w:spacing w:after="0"/>
              <w:rPr>
                <w:sz w:val="7"/>
                <w:szCs w:val="7"/>
                <w:color w:val="auto"/>
              </w:rPr>
            </w:pPr>
          </w:p>
        </w:tc>
        <w:tc>
          <w:tcPr>
            <w:tcW w:w="1560" w:type="dxa"/>
            <w:vAlign w:val="bottom"/>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 xml:space="preserve">directors </w:t>
            </w:r>
            <w:r>
              <w:rPr>
                <w:rFonts w:ascii="Arial" w:cs="Arial" w:eastAsia="Arial" w:hAnsi="Arial"/>
                <w:sz w:val="15"/>
                <w:szCs w:val="15"/>
                <w:color w:val="auto"/>
              </w:rPr>
              <w:t>at the</w:t>
            </w:r>
          </w:p>
        </w:tc>
        <w:tc>
          <w:tcPr>
            <w:tcW w:w="20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functions, presented a</w:t>
            </w: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gridSpan w:val="2"/>
            <w:vMerge w:val="restart"/>
            <w:shd w:val="clear" w:color="auto" w:fill="F2F2F2"/>
          </w:tcPr>
          <w:p>
            <w:pPr>
              <w:ind w:left="140"/>
              <w:spacing w:after="0" w:line="185" w:lineRule="exact"/>
              <w:rPr>
                <w:sz w:val="20"/>
                <w:szCs w:val="20"/>
                <w:color w:val="auto"/>
              </w:rPr>
            </w:pPr>
            <w:r>
              <w:rPr>
                <w:rFonts w:ascii="Arial" w:cs="Arial" w:eastAsia="Arial" w:hAnsi="Arial"/>
                <w:sz w:val="13"/>
                <w:szCs w:val="13"/>
                <w:color w:val="auto"/>
              </w:rPr>
              <w:t>subsidiaries</w:t>
            </w:r>
            <w:r>
              <w:rPr>
                <w:rFonts w:ascii="Arial" w:cs="Arial" w:eastAsia="Arial" w:hAnsi="Arial"/>
                <w:sz w:val="21"/>
                <w:szCs w:val="21"/>
                <w:color w:val="auto"/>
                <w:vertAlign w:val="superscript"/>
              </w:rPr>
              <w:t>55</w:t>
            </w:r>
            <w:r>
              <w:rPr>
                <w:rFonts w:ascii="Arial" w:cs="Arial" w:eastAsia="Arial" w:hAnsi="Arial"/>
                <w:sz w:val="13"/>
                <w:szCs w:val="13"/>
                <w:color w:val="auto"/>
              </w:rPr>
              <w:t xml:space="preserve"> trained;</w:t>
            </w:r>
          </w:p>
        </w:tc>
        <w:tc>
          <w:tcPr>
            <w:tcW w:w="1560" w:type="dxa"/>
            <w:vAlign w:val="bottom"/>
            <w:vMerge w:val="continue"/>
            <w:shd w:val="clear" w:color="auto" w:fill="F2F2F2"/>
          </w:tcPr>
          <w:p>
            <w:pPr>
              <w:spacing w:after="0"/>
              <w:rPr>
                <w:sz w:val="8"/>
                <w:szCs w:val="8"/>
                <w:color w:val="auto"/>
              </w:rPr>
            </w:pPr>
          </w:p>
        </w:tc>
        <w:tc>
          <w:tcPr>
            <w:tcW w:w="2020" w:type="dxa"/>
            <w:vAlign w:val="bottom"/>
            <w:vMerge w:val="continue"/>
            <w:shd w:val="clear" w:color="auto" w:fill="F2F2F2"/>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gridSpan w:val="2"/>
            <w:vMerge w:val="continue"/>
            <w:shd w:val="clear" w:color="auto" w:fill="F2F2F2"/>
          </w:tcPr>
          <w:p>
            <w:pPr>
              <w:spacing w:after="0"/>
              <w:rPr>
                <w:sz w:val="8"/>
                <w:szCs w:val="8"/>
                <w:color w:val="auto"/>
              </w:rPr>
            </w:pPr>
          </w:p>
        </w:tc>
        <w:tc>
          <w:tcPr>
            <w:tcW w:w="1560" w:type="dxa"/>
            <w:vAlign w:val="bottom"/>
            <w:vMerge w:val="restart"/>
            <w:shd w:val="clear" w:color="auto" w:fill="F2F2F2"/>
          </w:tcPr>
          <w:p>
            <w:pPr>
              <w:jc w:val="center"/>
              <w:spacing w:after="0" w:line="185" w:lineRule="exact"/>
              <w:rPr>
                <w:sz w:val="20"/>
                <w:szCs w:val="20"/>
                <w:color w:val="auto"/>
              </w:rPr>
            </w:pPr>
            <w:r>
              <w:rPr>
                <w:rFonts w:ascii="Arial" w:cs="Arial" w:eastAsia="Arial" w:hAnsi="Arial"/>
                <w:sz w:val="13"/>
                <w:szCs w:val="13"/>
                <w:color w:val="auto"/>
              </w:rPr>
              <w:t>main subsidiaries</w:t>
            </w:r>
            <w:r>
              <w:rPr>
                <w:rFonts w:ascii="Arial" w:cs="Arial" w:eastAsia="Arial" w:hAnsi="Arial"/>
                <w:sz w:val="21"/>
                <w:szCs w:val="21"/>
                <w:color w:val="auto"/>
                <w:vertAlign w:val="superscript"/>
              </w:rPr>
              <w:t>56</w:t>
            </w:r>
          </w:p>
        </w:tc>
        <w:tc>
          <w:tcPr>
            <w:tcW w:w="20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greater exposure to bribery</w:t>
            </w: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540" w:type="dxa"/>
            <w:vAlign w:val="bottom"/>
            <w:vMerge w:val="restart"/>
            <w:shd w:val="clear" w:color="auto" w:fill="F2F2F2"/>
          </w:tcPr>
          <w:p>
            <w:pPr>
              <w:jc w:val="center"/>
              <w:ind w:right="203"/>
              <w:spacing w:after="0"/>
              <w:rPr>
                <w:sz w:val="20"/>
                <w:szCs w:val="20"/>
                <w:color w:val="auto"/>
              </w:rPr>
            </w:pPr>
            <w:r>
              <w:rPr>
                <w:rFonts w:ascii="Arial" w:cs="Arial" w:eastAsia="Arial" w:hAnsi="Arial"/>
                <w:sz w:val="15"/>
                <w:szCs w:val="15"/>
                <w:color w:val="auto"/>
              </w:rPr>
              <w:t>these individuals</w:t>
            </w:r>
          </w:p>
        </w:tc>
        <w:tc>
          <w:tcPr>
            <w:tcW w:w="1560" w:type="dxa"/>
            <w:vAlign w:val="bottom"/>
            <w:vMerge w:val="continue"/>
            <w:shd w:val="clear" w:color="auto" w:fill="F2F2F2"/>
          </w:tcPr>
          <w:p>
            <w:pPr>
              <w:spacing w:after="0"/>
              <w:rPr>
                <w:sz w:val="8"/>
                <w:szCs w:val="8"/>
                <w:color w:val="auto"/>
              </w:rPr>
            </w:pPr>
          </w:p>
        </w:tc>
        <w:tc>
          <w:tcPr>
            <w:tcW w:w="2020" w:type="dxa"/>
            <w:vAlign w:val="bottom"/>
            <w:vMerge w:val="continue"/>
            <w:shd w:val="clear" w:color="auto" w:fill="F2F2F2"/>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1540" w:type="dxa"/>
            <w:vAlign w:val="bottom"/>
            <w:vMerge w:val="continue"/>
            <w:shd w:val="clear" w:color="auto" w:fill="F2F2F2"/>
          </w:tcPr>
          <w:p>
            <w:pPr>
              <w:spacing w:after="0"/>
              <w:rPr>
                <w:sz w:val="7"/>
                <w:szCs w:val="7"/>
                <w:color w:val="auto"/>
              </w:rPr>
            </w:pPr>
          </w:p>
        </w:tc>
        <w:tc>
          <w:tcPr>
            <w:tcW w:w="156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were trained upon</w:t>
            </w:r>
          </w:p>
        </w:tc>
        <w:tc>
          <w:tcPr>
            <w:tcW w:w="20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risks. Likewise, they signed</w:t>
            </w: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540" w:type="dxa"/>
            <w:vAlign w:val="bottom"/>
            <w:vMerge w:val="restart"/>
            <w:shd w:val="clear" w:color="auto" w:fill="F2F2F2"/>
          </w:tcPr>
          <w:p>
            <w:pPr>
              <w:ind w:left="120"/>
              <w:spacing w:after="0"/>
              <w:rPr>
                <w:sz w:val="20"/>
                <w:szCs w:val="20"/>
                <w:color w:val="auto"/>
              </w:rPr>
            </w:pPr>
            <w:r>
              <w:rPr>
                <w:rFonts w:ascii="Arial" w:cs="Arial" w:eastAsia="Arial" w:hAnsi="Arial"/>
                <w:sz w:val="15"/>
                <w:szCs w:val="15"/>
                <w:color w:val="auto"/>
              </w:rPr>
              <w:t>reaffirmed their</w:t>
            </w:r>
          </w:p>
        </w:tc>
        <w:tc>
          <w:tcPr>
            <w:tcW w:w="1560" w:type="dxa"/>
            <w:vAlign w:val="bottom"/>
            <w:vMerge w:val="continue"/>
            <w:shd w:val="clear" w:color="auto" w:fill="F2F2F2"/>
          </w:tcPr>
          <w:p>
            <w:pPr>
              <w:spacing w:after="0"/>
              <w:rPr>
                <w:sz w:val="8"/>
                <w:szCs w:val="8"/>
                <w:color w:val="auto"/>
              </w:rPr>
            </w:pPr>
          </w:p>
        </w:tc>
        <w:tc>
          <w:tcPr>
            <w:tcW w:w="2020" w:type="dxa"/>
            <w:vAlign w:val="bottom"/>
            <w:vMerge w:val="continue"/>
            <w:shd w:val="clear" w:color="auto" w:fill="F2F2F2"/>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1540" w:type="dxa"/>
            <w:vAlign w:val="bottom"/>
            <w:vMerge w:val="continue"/>
            <w:shd w:val="clear" w:color="auto" w:fill="F2F2F2"/>
          </w:tcPr>
          <w:p>
            <w:pPr>
              <w:spacing w:after="0"/>
              <w:rPr>
                <w:sz w:val="7"/>
                <w:szCs w:val="7"/>
                <w:color w:val="auto"/>
              </w:rPr>
            </w:pPr>
          </w:p>
        </w:tc>
        <w:tc>
          <w:tcPr>
            <w:tcW w:w="156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induction and yearly</w:t>
            </w:r>
          </w:p>
        </w:tc>
        <w:tc>
          <w:tcPr>
            <w:tcW w:w="20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anti-corruption</w:t>
            </w: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gridSpan w:val="2"/>
            <w:vMerge w:val="restart"/>
            <w:shd w:val="clear" w:color="auto" w:fill="F2F2F2"/>
          </w:tcPr>
          <w:p>
            <w:pPr>
              <w:jc w:val="center"/>
              <w:spacing w:after="0"/>
              <w:rPr>
                <w:sz w:val="20"/>
                <w:szCs w:val="20"/>
                <w:color w:val="auto"/>
              </w:rPr>
            </w:pPr>
            <w:r>
              <w:rPr>
                <w:rFonts w:ascii="Arial" w:cs="Arial" w:eastAsia="Arial" w:hAnsi="Arial"/>
                <w:sz w:val="15"/>
                <w:szCs w:val="15"/>
                <w:color w:val="auto"/>
              </w:rPr>
              <w:t>commitment to the anti-</w:t>
            </w:r>
          </w:p>
        </w:tc>
        <w:tc>
          <w:tcPr>
            <w:tcW w:w="1560" w:type="dxa"/>
            <w:vAlign w:val="bottom"/>
            <w:vMerge w:val="continue"/>
            <w:shd w:val="clear" w:color="auto" w:fill="F2F2F2"/>
          </w:tcPr>
          <w:p>
            <w:pPr>
              <w:spacing w:after="0"/>
              <w:rPr>
                <w:sz w:val="8"/>
                <w:szCs w:val="8"/>
                <w:color w:val="auto"/>
              </w:rPr>
            </w:pPr>
          </w:p>
        </w:tc>
        <w:tc>
          <w:tcPr>
            <w:tcW w:w="2020" w:type="dxa"/>
            <w:vAlign w:val="bottom"/>
            <w:vMerge w:val="continue"/>
            <w:shd w:val="clear" w:color="auto" w:fill="F2F2F2"/>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gridSpan w:val="2"/>
            <w:vMerge w:val="continue"/>
            <w:shd w:val="clear" w:color="auto" w:fill="F2F2F2"/>
          </w:tcPr>
          <w:p>
            <w:pPr>
              <w:spacing w:after="0"/>
              <w:rPr>
                <w:sz w:val="7"/>
                <w:szCs w:val="7"/>
                <w:color w:val="auto"/>
              </w:rPr>
            </w:pPr>
          </w:p>
        </w:tc>
        <w:tc>
          <w:tcPr>
            <w:tcW w:w="156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w w:val="99"/>
              </w:rPr>
              <w:t>thereafter.</w:t>
            </w:r>
          </w:p>
        </w:tc>
        <w:tc>
          <w:tcPr>
            <w:tcW w:w="20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commitments in addition to</w:t>
            </w: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540" w:type="dxa"/>
            <w:vAlign w:val="bottom"/>
            <w:vMerge w:val="restart"/>
            <w:shd w:val="clear" w:color="auto" w:fill="F2F2F2"/>
          </w:tcPr>
          <w:p>
            <w:pPr>
              <w:jc w:val="center"/>
              <w:ind w:right="183"/>
              <w:spacing w:after="0"/>
              <w:rPr>
                <w:sz w:val="20"/>
                <w:szCs w:val="20"/>
                <w:color w:val="auto"/>
              </w:rPr>
            </w:pPr>
            <w:r>
              <w:rPr>
                <w:rFonts w:ascii="Arial" w:cs="Arial" w:eastAsia="Arial" w:hAnsi="Arial"/>
                <w:sz w:val="15"/>
                <w:szCs w:val="15"/>
                <w:color w:val="auto"/>
              </w:rPr>
              <w:t>corruption policy</w:t>
            </w:r>
          </w:p>
        </w:tc>
        <w:tc>
          <w:tcPr>
            <w:tcW w:w="1560" w:type="dxa"/>
            <w:vAlign w:val="bottom"/>
            <w:vMerge w:val="continue"/>
            <w:shd w:val="clear" w:color="auto" w:fill="F2F2F2"/>
          </w:tcPr>
          <w:p>
            <w:pPr>
              <w:spacing w:after="0"/>
              <w:rPr>
                <w:sz w:val="8"/>
                <w:szCs w:val="8"/>
                <w:color w:val="auto"/>
              </w:rPr>
            </w:pPr>
          </w:p>
        </w:tc>
        <w:tc>
          <w:tcPr>
            <w:tcW w:w="2020" w:type="dxa"/>
            <w:vAlign w:val="bottom"/>
            <w:vMerge w:val="continue"/>
            <w:shd w:val="clear" w:color="auto" w:fill="F2F2F2"/>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540" w:type="dxa"/>
            <w:vAlign w:val="bottom"/>
            <w:vMerge w:val="continue"/>
            <w:shd w:val="clear" w:color="auto" w:fill="F2F2F2"/>
          </w:tcPr>
          <w:p>
            <w:pPr>
              <w:spacing w:after="0"/>
              <w:rPr>
                <w:sz w:val="8"/>
                <w:szCs w:val="8"/>
                <w:color w:val="auto"/>
              </w:rPr>
            </w:pPr>
          </w:p>
        </w:tc>
        <w:tc>
          <w:tcPr>
            <w:tcW w:w="1560" w:type="dxa"/>
            <w:vAlign w:val="bottom"/>
            <w:shd w:val="clear" w:color="auto" w:fill="F2F2F2"/>
          </w:tcPr>
          <w:p>
            <w:pPr>
              <w:spacing w:after="0"/>
              <w:rPr>
                <w:sz w:val="8"/>
                <w:szCs w:val="8"/>
                <w:color w:val="auto"/>
              </w:rPr>
            </w:pPr>
          </w:p>
        </w:tc>
        <w:tc>
          <w:tcPr>
            <w:tcW w:w="20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rPr>
              <w:t>those stipulated in anti-</w:t>
            </w: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shd w:val="clear" w:color="auto" w:fill="F2F2F2"/>
          </w:tcPr>
          <w:p>
            <w:pPr>
              <w:spacing w:after="0"/>
              <w:rPr>
                <w:sz w:val="6"/>
                <w:szCs w:val="6"/>
                <w:color w:val="auto"/>
              </w:rPr>
            </w:pPr>
          </w:p>
        </w:tc>
        <w:tc>
          <w:tcPr>
            <w:tcW w:w="1540" w:type="dxa"/>
            <w:vAlign w:val="bottom"/>
            <w:shd w:val="clear" w:color="auto" w:fill="F2F2F2"/>
          </w:tcPr>
          <w:p>
            <w:pPr>
              <w:spacing w:after="0"/>
              <w:rPr>
                <w:sz w:val="6"/>
                <w:szCs w:val="6"/>
                <w:color w:val="auto"/>
              </w:rPr>
            </w:pPr>
          </w:p>
        </w:tc>
        <w:tc>
          <w:tcPr>
            <w:tcW w:w="1560" w:type="dxa"/>
            <w:vAlign w:val="bottom"/>
            <w:shd w:val="clear" w:color="auto" w:fill="F2F2F2"/>
          </w:tcPr>
          <w:p>
            <w:pPr>
              <w:spacing w:after="0"/>
              <w:rPr>
                <w:sz w:val="6"/>
                <w:szCs w:val="6"/>
                <w:color w:val="auto"/>
              </w:rPr>
            </w:pPr>
          </w:p>
        </w:tc>
        <w:tc>
          <w:tcPr>
            <w:tcW w:w="2020" w:type="dxa"/>
            <w:vAlign w:val="bottom"/>
            <w:vMerge w:val="continue"/>
            <w:shd w:val="clear" w:color="auto" w:fill="F2F2F2"/>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1560" w:type="dxa"/>
            <w:vAlign w:val="bottom"/>
            <w:shd w:val="clear" w:color="auto" w:fill="F2F2F2"/>
          </w:tcPr>
          <w:p>
            <w:pPr>
              <w:spacing w:after="0"/>
              <w:rPr>
                <w:sz w:val="15"/>
                <w:szCs w:val="15"/>
                <w:color w:val="auto"/>
              </w:rPr>
            </w:pPr>
          </w:p>
        </w:tc>
        <w:tc>
          <w:tcPr>
            <w:tcW w:w="20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corruption clauses of their</w:t>
            </w: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540" w:type="dxa"/>
            <w:vAlign w:val="bottom"/>
            <w:shd w:val="clear" w:color="auto" w:fill="F2F2F2"/>
          </w:tcPr>
          <w:p>
            <w:pPr>
              <w:spacing w:after="0"/>
              <w:rPr>
                <w:sz w:val="16"/>
                <w:szCs w:val="16"/>
                <w:color w:val="auto"/>
              </w:rPr>
            </w:pPr>
          </w:p>
        </w:tc>
        <w:tc>
          <w:tcPr>
            <w:tcW w:w="1560" w:type="dxa"/>
            <w:vAlign w:val="bottom"/>
            <w:shd w:val="clear" w:color="auto" w:fill="F2F2F2"/>
          </w:tcPr>
          <w:p>
            <w:pPr>
              <w:spacing w:after="0"/>
              <w:rPr>
                <w:sz w:val="16"/>
                <w:szCs w:val="16"/>
                <w:color w:val="auto"/>
              </w:rPr>
            </w:pPr>
          </w:p>
        </w:tc>
        <w:tc>
          <w:tcPr>
            <w:tcW w:w="20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contracts</w:t>
            </w: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380" w:type="dxa"/>
            <w:vAlign w:val="bottom"/>
            <w:gridSpan w:val="4"/>
            <w:shd w:val="clear" w:color="auto" w:fill="F2F2F2"/>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5820" w:type="dxa"/>
            <w:vAlign w:val="bottom"/>
            <w:tcBorders>
              <w:right w:val="single" w:sz="8" w:color="auto"/>
            </w:tcBorders>
            <w:gridSpan w:val="6"/>
          </w:tcPr>
          <w:p>
            <w:pPr>
              <w:ind w:left="40"/>
              <w:spacing w:after="0"/>
              <w:rPr>
                <w:sz w:val="20"/>
                <w:szCs w:val="20"/>
                <w:color w:val="auto"/>
              </w:rPr>
            </w:pPr>
            <w:r>
              <w:rPr>
                <w:rFonts w:ascii="Arial" w:cs="Arial" w:eastAsia="Arial" w:hAnsi="Arial"/>
                <w:sz w:val="15"/>
                <w:szCs w:val="15"/>
                <w:b w:val="1"/>
                <w:bCs w:val="1"/>
                <w:color w:val="auto"/>
              </w:rPr>
              <w:t xml:space="preserve">Monitoring: </w:t>
            </w:r>
            <w:r>
              <w:rPr>
                <w:rFonts w:ascii="Arial" w:cs="Arial" w:eastAsia="Arial" w:hAnsi="Arial"/>
                <w:sz w:val="15"/>
                <w:szCs w:val="15"/>
                <w:color w:val="auto"/>
              </w:rPr>
              <w:t>9 new analytical models were developed to detect potential cases of</w:t>
            </w:r>
          </w:p>
        </w:tc>
        <w:tc>
          <w:tcPr>
            <w:tcW w:w="0" w:type="dxa"/>
            <w:vAlign w:val="bottom"/>
          </w:tcPr>
          <w:p>
            <w:pPr>
              <w:spacing w:after="0"/>
              <w:rPr>
                <w:sz w:val="1"/>
                <w:szCs w:val="1"/>
                <w:color w:val="auto"/>
              </w:rPr>
            </w:pPr>
          </w:p>
        </w:tc>
      </w:tr>
      <w:tr>
        <w:trPr>
          <w:trHeight w:val="328"/>
        </w:trPr>
        <w:tc>
          <w:tcPr>
            <w:tcW w:w="6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560" w:type="dxa"/>
            <w:vAlign w:val="bottom"/>
            <w:gridSpan w:val="4"/>
          </w:tcPr>
          <w:p>
            <w:pPr>
              <w:ind w:left="40"/>
              <w:spacing w:after="0"/>
              <w:rPr>
                <w:sz w:val="20"/>
                <w:szCs w:val="20"/>
                <w:color w:val="auto"/>
              </w:rPr>
            </w:pPr>
            <w:r>
              <w:rPr>
                <w:rFonts w:ascii="Arial" w:cs="Arial" w:eastAsia="Arial" w:hAnsi="Arial"/>
                <w:sz w:val="15"/>
                <w:szCs w:val="15"/>
                <w:color w:val="auto"/>
              </w:rPr>
              <w:t>corruption and to monitor RHC processes</w:t>
            </w:r>
            <w:r>
              <w:rPr>
                <w:rFonts w:ascii="Arial" w:cs="Arial" w:eastAsia="Arial" w:hAnsi="Arial"/>
                <w:sz w:val="25"/>
                <w:szCs w:val="25"/>
                <w:color w:val="auto"/>
                <w:vertAlign w:val="superscript"/>
              </w:rPr>
              <w:t>57</w:t>
            </w: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0" w:type="dxa"/>
            <w:vAlign w:val="bottom"/>
            <w:gridSpan w:val="3"/>
          </w:tcPr>
          <w:p>
            <w:pPr>
              <w:ind w:left="40"/>
              <w:spacing w:after="0"/>
              <w:rPr>
                <w:sz w:val="20"/>
                <w:szCs w:val="20"/>
                <w:color w:val="auto"/>
              </w:rPr>
            </w:pPr>
            <w:r>
              <w:rPr>
                <w:rFonts w:ascii="Arial" w:cs="Arial" w:eastAsia="Arial" w:hAnsi="Arial"/>
                <w:sz w:val="15"/>
                <w:szCs w:val="15"/>
                <w:b w:val="1"/>
                <w:bCs w:val="1"/>
                <w:color w:val="auto"/>
              </w:rPr>
              <w:t>Supervision:</w:t>
            </w:r>
          </w:p>
        </w:tc>
        <w:tc>
          <w:tcPr>
            <w:tcW w:w="1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1540" w:type="dxa"/>
            <w:vAlign w:val="bottom"/>
          </w:tcPr>
          <w:p>
            <w:pPr>
              <w:ind w:left="120"/>
              <w:spacing w:after="0"/>
              <w:rPr>
                <w:sz w:val="20"/>
                <w:szCs w:val="20"/>
                <w:color w:val="auto"/>
              </w:rPr>
            </w:pPr>
            <w:r>
              <w:rPr>
                <w:rFonts w:ascii="Arial" w:cs="Arial" w:eastAsia="Arial" w:hAnsi="Arial"/>
                <w:sz w:val="15"/>
                <w:szCs w:val="15"/>
                <w:b w:val="1"/>
                <w:bCs w:val="1"/>
                <w:color w:val="auto"/>
              </w:rPr>
              <w:t>BCP</w:t>
            </w:r>
          </w:p>
        </w:tc>
        <w:tc>
          <w:tcPr>
            <w:tcW w:w="1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60" w:type="dxa"/>
            <w:vAlign w:val="bottom"/>
            <w:tcBorders>
              <w:right w:val="single" w:sz="8" w:color="auto"/>
            </w:tcBorders>
            <w:gridSpan w:val="4"/>
          </w:tcPr>
          <w:p>
            <w:pPr>
              <w:ind w:left="140"/>
              <w:spacing w:after="0"/>
              <w:rPr>
                <w:sz w:val="20"/>
                <w:szCs w:val="20"/>
                <w:color w:val="auto"/>
              </w:rPr>
            </w:pPr>
            <w:r>
              <w:rPr>
                <w:rFonts w:ascii="Arial" w:cs="Arial" w:eastAsia="Arial" w:hAnsi="Arial"/>
                <w:sz w:val="15"/>
                <w:szCs w:val="15"/>
                <w:color w:val="auto"/>
              </w:rPr>
              <w:t>○   ISO 37001 certification, antibribery management system applied to 5</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00" w:type="dxa"/>
            <w:vAlign w:val="bottom"/>
            <w:gridSpan w:val="2"/>
          </w:tcPr>
          <w:p>
            <w:pPr>
              <w:ind w:left="960"/>
              <w:spacing w:after="0"/>
              <w:rPr>
                <w:sz w:val="20"/>
                <w:szCs w:val="20"/>
                <w:color w:val="auto"/>
              </w:rPr>
            </w:pPr>
            <w:r>
              <w:rPr>
                <w:rFonts w:ascii="Arial" w:cs="Arial" w:eastAsia="Arial" w:hAnsi="Arial"/>
                <w:sz w:val="15"/>
                <w:szCs w:val="15"/>
                <w:color w:val="auto"/>
              </w:rPr>
              <w:t>strategic processes</w:t>
            </w:r>
          </w:p>
        </w:tc>
        <w:tc>
          <w:tcPr>
            <w:tcW w:w="20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360" w:type="dxa"/>
            <w:vAlign w:val="bottom"/>
            <w:tcBorders>
              <w:right w:val="single" w:sz="8" w:color="auto"/>
            </w:tcBorders>
            <w:gridSpan w:val="4"/>
          </w:tcPr>
          <w:p>
            <w:pPr>
              <w:ind w:left="140"/>
              <w:spacing w:after="0" w:line="155" w:lineRule="exact"/>
              <w:rPr>
                <w:sz w:val="20"/>
                <w:szCs w:val="20"/>
                <w:color w:val="auto"/>
              </w:rPr>
            </w:pPr>
            <w:r>
              <w:rPr>
                <w:rFonts w:ascii="Arial" w:cs="Arial" w:eastAsia="Arial" w:hAnsi="Arial"/>
                <w:sz w:val="15"/>
                <w:szCs w:val="15"/>
                <w:color w:val="auto"/>
              </w:rPr>
              <w:t>○  Peruvian anti-bribery certification “Empresarios por la Integridad (ExI)”</w:t>
            </w:r>
          </w:p>
        </w:tc>
        <w:tc>
          <w:tcPr>
            <w:tcW w:w="0" w:type="dxa"/>
            <w:vAlign w:val="bottom"/>
          </w:tcPr>
          <w:p>
            <w:pPr>
              <w:spacing w:after="0"/>
              <w:rPr>
                <w:sz w:val="1"/>
                <w:szCs w:val="1"/>
                <w:color w:val="auto"/>
              </w:rPr>
            </w:pPr>
          </w:p>
        </w:tc>
      </w:tr>
      <w:tr>
        <w:trPr>
          <w:trHeight w:val="191"/>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1540" w:type="dxa"/>
            <w:vAlign w:val="bottom"/>
          </w:tcPr>
          <w:p>
            <w:pPr>
              <w:ind w:left="120"/>
              <w:spacing w:after="0"/>
              <w:rPr>
                <w:sz w:val="20"/>
                <w:szCs w:val="20"/>
                <w:color w:val="auto"/>
              </w:rPr>
            </w:pPr>
            <w:r>
              <w:rPr>
                <w:rFonts w:ascii="Arial" w:cs="Arial" w:eastAsia="Arial" w:hAnsi="Arial"/>
                <w:sz w:val="15"/>
                <w:szCs w:val="15"/>
                <w:b w:val="1"/>
                <w:bCs w:val="1"/>
                <w:color w:val="auto"/>
              </w:rPr>
              <w:t>Pacífico Seguros</w:t>
            </w:r>
          </w:p>
        </w:tc>
        <w:tc>
          <w:tcPr>
            <w:tcW w:w="1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60" w:type="dxa"/>
            <w:vAlign w:val="bottom"/>
            <w:tcBorders>
              <w:right w:val="single" w:sz="8" w:color="auto"/>
            </w:tcBorders>
            <w:gridSpan w:val="4"/>
          </w:tcPr>
          <w:p>
            <w:pPr>
              <w:ind w:left="140"/>
              <w:spacing w:after="0"/>
              <w:rPr>
                <w:sz w:val="20"/>
                <w:szCs w:val="20"/>
                <w:color w:val="auto"/>
              </w:rPr>
            </w:pPr>
            <w:r>
              <w:rPr>
                <w:rFonts w:ascii="Arial" w:cs="Arial" w:eastAsia="Arial" w:hAnsi="Arial"/>
                <w:sz w:val="15"/>
                <w:szCs w:val="15"/>
                <w:color w:val="auto"/>
              </w:rPr>
              <w:t>○  ISO 37001 certification for institutional sales of business insurance for</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2"/>
          </w:tcPr>
          <w:p>
            <w:pPr>
              <w:ind w:left="960"/>
              <w:spacing w:after="0"/>
              <w:rPr>
                <w:sz w:val="20"/>
                <w:szCs w:val="20"/>
                <w:color w:val="auto"/>
              </w:rPr>
            </w:pPr>
            <w:r>
              <w:rPr>
                <w:rFonts w:ascii="Arial" w:cs="Arial" w:eastAsia="Arial" w:hAnsi="Arial"/>
                <w:sz w:val="15"/>
                <w:szCs w:val="15"/>
                <w:color w:val="auto"/>
              </w:rPr>
              <w:t>the Public Sector</w:t>
            </w:r>
          </w:p>
        </w:tc>
        <w:tc>
          <w:tcPr>
            <w:tcW w:w="2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6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gridSpan w:val="3"/>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5820" w:type="dxa"/>
            <w:vAlign w:val="bottom"/>
            <w:tcBorders>
              <w:bottom w:val="single" w:sz="8" w:color="auto"/>
              <w:right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0" w:type="dxa"/>
            <w:vAlign w:val="bottom"/>
            <w:tcBorders>
              <w:left w:val="single" w:sz="8" w:color="auto"/>
            </w:tcBorders>
          </w:tcPr>
          <w:p>
            <w:pPr>
              <w:spacing w:after="0"/>
              <w:rPr>
                <w:sz w:val="17"/>
                <w:szCs w:val="17"/>
                <w:color w:val="auto"/>
              </w:rPr>
            </w:pPr>
          </w:p>
        </w:tc>
        <w:tc>
          <w:tcPr>
            <w:tcW w:w="1320" w:type="dxa"/>
            <w:vAlign w:val="bottom"/>
            <w:tcBorders>
              <w:right w:val="single" w:sz="8" w:color="auto"/>
            </w:tcBorders>
            <w:gridSpan w:val="4"/>
          </w:tcPr>
          <w:p>
            <w:pPr>
              <w:spacing w:after="0"/>
              <w:rPr>
                <w:sz w:val="20"/>
                <w:szCs w:val="20"/>
                <w:color w:val="auto"/>
              </w:rPr>
            </w:pPr>
            <w:r>
              <w:rPr>
                <w:rFonts w:ascii="Arial" w:cs="Arial" w:eastAsia="Arial" w:hAnsi="Arial"/>
                <w:sz w:val="15"/>
                <w:szCs w:val="15"/>
                <w:b w:val="1"/>
                <w:bCs w:val="1"/>
                <w:color w:val="3265FF"/>
              </w:rPr>
              <w:t>Free</w:t>
            </w:r>
          </w:p>
        </w:tc>
        <w:tc>
          <w:tcPr>
            <w:tcW w:w="180" w:type="dxa"/>
            <w:vAlign w:val="bottom"/>
          </w:tcPr>
          <w:p>
            <w:pPr>
              <w:spacing w:after="0"/>
              <w:rPr>
                <w:sz w:val="17"/>
                <w:szCs w:val="17"/>
                <w:color w:val="auto"/>
              </w:rPr>
            </w:pPr>
          </w:p>
        </w:tc>
        <w:tc>
          <w:tcPr>
            <w:tcW w:w="1500" w:type="dxa"/>
            <w:vAlign w:val="bottom"/>
            <w:tcBorders>
              <w:right w:val="single" w:sz="8" w:color="auto"/>
            </w:tcBorders>
            <w:gridSpan w:val="3"/>
          </w:tcPr>
          <w:p>
            <w:pPr>
              <w:jc w:val="center"/>
              <w:ind w:right="123"/>
              <w:spacing w:after="0"/>
              <w:rPr>
                <w:sz w:val="20"/>
                <w:szCs w:val="20"/>
                <w:color w:val="auto"/>
              </w:rPr>
            </w:pPr>
            <w:r>
              <w:rPr>
                <w:rFonts w:ascii="Arial" w:cs="Arial" w:eastAsia="Arial" w:hAnsi="Arial"/>
                <w:sz w:val="15"/>
                <w:szCs w:val="15"/>
                <w:b w:val="1"/>
                <w:bCs w:val="1"/>
                <w:color w:val="auto"/>
              </w:rPr>
              <w:t>Zero tolerance for</w:t>
            </w:r>
          </w:p>
        </w:tc>
        <w:tc>
          <w:tcPr>
            <w:tcW w:w="2380" w:type="dxa"/>
            <w:vAlign w:val="bottom"/>
            <w:tcBorders>
              <w:right w:val="single" w:sz="8" w:color="auto"/>
            </w:tcBorders>
            <w:gridSpan w:val="3"/>
          </w:tcPr>
          <w:p>
            <w:pPr>
              <w:ind w:left="60"/>
              <w:spacing w:after="0"/>
              <w:rPr>
                <w:sz w:val="20"/>
                <w:szCs w:val="20"/>
                <w:color w:val="auto"/>
              </w:rPr>
            </w:pPr>
            <w:r>
              <w:rPr>
                <w:rFonts w:ascii="Arial" w:cs="Arial" w:eastAsia="Arial" w:hAnsi="Arial"/>
                <w:sz w:val="15"/>
                <w:szCs w:val="15"/>
                <w:color w:val="auto"/>
              </w:rPr>
              <w:t>Ley  DS  030-2019  TUO  –</w:t>
            </w:r>
          </w:p>
        </w:tc>
        <w:tc>
          <w:tcPr>
            <w:tcW w:w="5820" w:type="dxa"/>
            <w:vAlign w:val="bottom"/>
            <w:tcBorders>
              <w:right w:val="single" w:sz="8" w:color="auto"/>
            </w:tcBorders>
            <w:gridSpan w:val="6"/>
          </w:tcPr>
          <w:p>
            <w:pPr>
              <w:ind w:left="40"/>
              <w:spacing w:after="0"/>
              <w:rPr>
                <w:sz w:val="20"/>
                <w:szCs w:val="20"/>
                <w:color w:val="auto"/>
              </w:rPr>
            </w:pPr>
            <w:r>
              <w:rPr>
                <w:rFonts w:ascii="Arial" w:cs="Arial" w:eastAsia="Arial" w:hAnsi="Arial"/>
                <w:sz w:val="15"/>
                <w:szCs w:val="15"/>
                <w:b w:val="1"/>
                <w:bCs w:val="1"/>
                <w:color w:val="auto"/>
              </w:rPr>
              <w:t xml:space="preserve">BCP </w:t>
            </w:r>
            <w:r>
              <w:rPr>
                <w:rFonts w:ascii="Arial" w:cs="Arial" w:eastAsia="Arial" w:hAnsi="Arial"/>
                <w:sz w:val="15"/>
                <w:szCs w:val="15"/>
                <w:color w:val="auto"/>
              </w:rPr>
              <w:t>has implemented 7 of the 8 actions in INDECOPI’S guide: (1) Commitment</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320" w:type="dxa"/>
            <w:vAlign w:val="bottom"/>
            <w:shd w:val="clear" w:color="auto" w:fill="3265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right w:val="single" w:sz="8" w:color="auto"/>
            </w:tcBorders>
            <w:gridSpan w:val="3"/>
            <w:vMerge w:val="restart"/>
          </w:tcPr>
          <w:p>
            <w:pPr>
              <w:jc w:val="center"/>
              <w:ind w:right="123"/>
              <w:spacing w:after="0"/>
              <w:rPr>
                <w:sz w:val="20"/>
                <w:szCs w:val="20"/>
                <w:color w:val="auto"/>
              </w:rPr>
            </w:pPr>
            <w:r>
              <w:rPr>
                <w:rFonts w:ascii="Arial" w:cs="Arial" w:eastAsia="Arial" w:hAnsi="Arial"/>
                <w:sz w:val="15"/>
                <w:szCs w:val="15"/>
                <w:b w:val="1"/>
                <w:bCs w:val="1"/>
                <w:color w:val="auto"/>
              </w:rPr>
              <w:t>anti-competitive</w:t>
            </w:r>
          </w:p>
        </w:tc>
        <w:tc>
          <w:tcPr>
            <w:tcW w:w="2380" w:type="dxa"/>
            <w:vAlign w:val="bottom"/>
            <w:tcBorders>
              <w:right w:val="single" w:sz="8" w:color="auto"/>
            </w:tcBorders>
            <w:gridSpan w:val="3"/>
          </w:tcPr>
          <w:p>
            <w:pPr>
              <w:spacing w:after="0" w:line="20" w:lineRule="exact"/>
              <w:rPr>
                <w:sz w:val="1"/>
                <w:szCs w:val="1"/>
                <w:color w:val="auto"/>
              </w:rPr>
            </w:pPr>
          </w:p>
        </w:tc>
        <w:tc>
          <w:tcPr>
            <w:tcW w:w="5820" w:type="dxa"/>
            <w:vAlign w:val="bottom"/>
            <w:tcBorders>
              <w:right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Borders>
              <w:left w:val="single" w:sz="8" w:color="auto"/>
            </w:tcBorders>
          </w:tcPr>
          <w:p>
            <w:pPr>
              <w:spacing w:after="0"/>
              <w:rPr>
                <w:sz w:val="13"/>
                <w:szCs w:val="13"/>
                <w:color w:val="auto"/>
              </w:rPr>
            </w:pPr>
          </w:p>
        </w:tc>
        <w:tc>
          <w:tcPr>
            <w:tcW w:w="1320" w:type="dxa"/>
            <w:vAlign w:val="bottom"/>
            <w:tcBorders>
              <w:right w:val="single" w:sz="8" w:color="auto"/>
            </w:tcBorders>
            <w:gridSpan w:val="4"/>
          </w:tcPr>
          <w:p>
            <w:pPr>
              <w:spacing w:after="0" w:line="153" w:lineRule="exact"/>
              <w:rPr>
                <w:sz w:val="20"/>
                <w:szCs w:val="20"/>
                <w:color w:val="auto"/>
              </w:rPr>
            </w:pPr>
            <w:r>
              <w:rPr>
                <w:rFonts w:ascii="Arial" w:cs="Arial" w:eastAsia="Arial" w:hAnsi="Arial"/>
                <w:sz w:val="15"/>
                <w:szCs w:val="15"/>
                <w:b w:val="1"/>
                <w:bCs w:val="1"/>
                <w:color w:val="3265FF"/>
              </w:rPr>
              <w:t>Competition</w:t>
            </w:r>
          </w:p>
        </w:tc>
        <w:tc>
          <w:tcPr>
            <w:tcW w:w="180" w:type="dxa"/>
            <w:vAlign w:val="bottom"/>
          </w:tcPr>
          <w:p>
            <w:pPr>
              <w:spacing w:after="0"/>
              <w:rPr>
                <w:sz w:val="13"/>
                <w:szCs w:val="13"/>
                <w:color w:val="auto"/>
              </w:rPr>
            </w:pPr>
          </w:p>
        </w:tc>
        <w:tc>
          <w:tcPr>
            <w:tcW w:w="1500" w:type="dxa"/>
            <w:vAlign w:val="bottom"/>
            <w:tcBorders>
              <w:right w:val="single" w:sz="8" w:color="auto"/>
            </w:tcBorders>
            <w:gridSpan w:val="3"/>
            <w:vMerge w:val="continue"/>
          </w:tcPr>
          <w:p>
            <w:pPr>
              <w:spacing w:after="0"/>
              <w:rPr>
                <w:sz w:val="13"/>
                <w:szCs w:val="13"/>
                <w:color w:val="auto"/>
              </w:rPr>
            </w:pPr>
          </w:p>
        </w:tc>
        <w:tc>
          <w:tcPr>
            <w:tcW w:w="2380" w:type="dxa"/>
            <w:vAlign w:val="bottom"/>
            <w:tcBorders>
              <w:right w:val="single" w:sz="8" w:color="auto"/>
            </w:tcBorders>
            <w:gridSpan w:val="3"/>
          </w:tcPr>
          <w:p>
            <w:pPr>
              <w:ind w:left="60"/>
              <w:spacing w:after="0" w:line="153" w:lineRule="exact"/>
              <w:rPr>
                <w:sz w:val="20"/>
                <w:szCs w:val="20"/>
                <w:color w:val="auto"/>
              </w:rPr>
            </w:pPr>
            <w:r>
              <w:rPr>
                <w:rFonts w:ascii="Arial" w:cs="Arial" w:eastAsia="Arial" w:hAnsi="Arial"/>
                <w:sz w:val="15"/>
                <w:szCs w:val="15"/>
                <w:color w:val="auto"/>
              </w:rPr>
              <w:t>Repression  of  Anti-competitive</w:t>
            </w:r>
          </w:p>
        </w:tc>
        <w:tc>
          <w:tcPr>
            <w:tcW w:w="5820" w:type="dxa"/>
            <w:vAlign w:val="bottom"/>
            <w:tcBorders>
              <w:right w:val="single" w:sz="8" w:color="auto"/>
            </w:tcBorders>
            <w:gridSpan w:val="6"/>
          </w:tcPr>
          <w:p>
            <w:pPr>
              <w:ind w:left="40"/>
              <w:spacing w:after="0" w:line="153" w:lineRule="exact"/>
              <w:rPr>
                <w:sz w:val="20"/>
                <w:szCs w:val="20"/>
                <w:color w:val="auto"/>
              </w:rPr>
            </w:pPr>
            <w:r>
              <w:rPr>
                <w:rFonts w:ascii="Arial" w:cs="Arial" w:eastAsia="Arial" w:hAnsi="Arial"/>
                <w:sz w:val="15"/>
                <w:szCs w:val="15"/>
                <w:color w:val="auto"/>
              </w:rPr>
              <w:t>from  Executive  Management,  (2)  Naming  of  Compliance  Officer,  (3)  Risk</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320" w:type="dxa"/>
            <w:vAlign w:val="bottom"/>
            <w:tcBorders>
              <w:top w:val="single" w:sz="8" w:color="3265FF"/>
            </w:tcBorders>
          </w:tcPr>
          <w:p>
            <w:pPr>
              <w:spacing w:after="0"/>
              <w:rPr>
                <w:sz w:val="15"/>
                <w:szCs w:val="15"/>
                <w:color w:val="auto"/>
              </w:rPr>
            </w:pPr>
          </w:p>
        </w:tc>
        <w:tc>
          <w:tcPr>
            <w:tcW w:w="580" w:type="dxa"/>
            <w:vAlign w:val="bottom"/>
            <w:tcBorders>
              <w:top w:val="single" w:sz="8" w:color="3265FF"/>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left="223"/>
              <w:spacing w:after="0"/>
              <w:rPr>
                <w:sz w:val="20"/>
                <w:szCs w:val="20"/>
                <w:color w:val="auto"/>
              </w:rPr>
            </w:pPr>
            <w:r>
              <w:rPr>
                <w:rFonts w:ascii="Arial" w:cs="Arial" w:eastAsia="Arial" w:hAnsi="Arial"/>
                <w:sz w:val="15"/>
                <w:szCs w:val="15"/>
                <w:b w:val="1"/>
                <w:bCs w:val="1"/>
                <w:color w:val="auto"/>
              </w:rPr>
              <w:t>conduct</w:t>
            </w:r>
          </w:p>
        </w:tc>
        <w:tc>
          <w:tcPr>
            <w:tcW w:w="52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gridSpan w:val="3"/>
          </w:tcPr>
          <w:p>
            <w:pPr>
              <w:ind w:left="60"/>
              <w:spacing w:after="0"/>
              <w:rPr>
                <w:sz w:val="20"/>
                <w:szCs w:val="20"/>
                <w:color w:val="auto"/>
              </w:rPr>
            </w:pPr>
            <w:r>
              <w:rPr>
                <w:rFonts w:ascii="Arial" w:cs="Arial" w:eastAsia="Arial" w:hAnsi="Arial"/>
                <w:sz w:val="15"/>
                <w:szCs w:val="15"/>
                <w:color w:val="auto"/>
              </w:rPr>
              <w:t>Conduct</w:t>
            </w:r>
          </w:p>
        </w:tc>
        <w:tc>
          <w:tcPr>
            <w:tcW w:w="5820" w:type="dxa"/>
            <w:vAlign w:val="bottom"/>
            <w:tcBorders>
              <w:right w:val="single" w:sz="8" w:color="auto"/>
            </w:tcBorders>
            <w:gridSpan w:val="6"/>
          </w:tcPr>
          <w:p>
            <w:pPr>
              <w:ind w:left="40"/>
              <w:spacing w:after="0"/>
              <w:rPr>
                <w:sz w:val="20"/>
                <w:szCs w:val="20"/>
                <w:color w:val="auto"/>
              </w:rPr>
            </w:pPr>
            <w:r>
              <w:rPr>
                <w:rFonts w:ascii="Arial" w:cs="Arial" w:eastAsia="Arial" w:hAnsi="Arial"/>
                <w:sz w:val="15"/>
                <w:szCs w:val="15"/>
                <w:color w:val="auto"/>
              </w:rPr>
              <w:t>Management, (4) Controls and Protocols, (5) Training, (6) Monitoring andy (7)</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5820" w:type="dxa"/>
            <w:vAlign w:val="bottom"/>
            <w:tcBorders>
              <w:right w:val="single" w:sz="8" w:color="auto"/>
            </w:tcBorders>
            <w:gridSpan w:val="6"/>
          </w:tcPr>
          <w:p>
            <w:pPr>
              <w:ind w:left="40"/>
              <w:spacing w:after="0"/>
              <w:rPr>
                <w:sz w:val="20"/>
                <w:szCs w:val="20"/>
                <w:color w:val="auto"/>
              </w:rPr>
            </w:pPr>
            <w:r>
              <w:rPr>
                <w:rFonts w:ascii="Arial" w:cs="Arial" w:eastAsia="Arial" w:hAnsi="Arial"/>
                <w:sz w:val="15"/>
                <w:szCs w:val="15"/>
                <w:color w:val="auto"/>
              </w:rPr>
              <w:t>Complaint system. For 2022, will be conducting internal auditing.</w:t>
            </w:r>
          </w:p>
        </w:tc>
        <w:tc>
          <w:tcPr>
            <w:tcW w:w="0" w:type="dxa"/>
            <w:vAlign w:val="bottom"/>
          </w:tcPr>
          <w:p>
            <w:pPr>
              <w:spacing w:after="0"/>
              <w:rPr>
                <w:sz w:val="1"/>
                <w:szCs w:val="1"/>
                <w:color w:val="auto"/>
              </w:rPr>
            </w:pPr>
          </w:p>
        </w:tc>
      </w:tr>
      <w:tr>
        <w:trPr>
          <w:trHeight w:val="219"/>
        </w:trPr>
        <w:tc>
          <w:tcPr>
            <w:tcW w:w="60" w:type="dxa"/>
            <w:vAlign w:val="bottom"/>
            <w:tcBorders>
              <w:left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5717540</wp:posOffset>
            </wp:positionH>
            <wp:positionV relativeFrom="paragraph">
              <wp:posOffset>-3469640</wp:posOffset>
            </wp:positionV>
            <wp:extent cx="14605" cy="1435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05" cy="143510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-3469640</wp:posOffset>
            </wp:positionV>
            <wp:extent cx="14605" cy="1435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605" cy="1435100"/>
                    </a:xfrm>
                    <a:prstGeom prst="rect">
                      <a:avLst/>
                    </a:prstGeom>
                    <a:noFill/>
                  </pic:spPr>
                </pic:pic>
              </a:graphicData>
            </a:graphic>
          </wp:anchor>
        </w:drawing>
      </w:r>
    </w:p>
    <w:p>
      <w:pPr>
        <w:spacing w:after="0" w:line="72" w:lineRule="exact"/>
        <w:rPr>
          <w:sz w:val="20"/>
          <w:szCs w:val="20"/>
          <w:color w:val="auto"/>
        </w:rPr>
      </w:pPr>
    </w:p>
    <w:p>
      <w:pPr>
        <w:ind w:left="8"/>
        <w:spacing w:after="0"/>
        <w:rPr>
          <w:sz w:val="20"/>
          <w:szCs w:val="20"/>
          <w:color w:val="auto"/>
        </w:rPr>
      </w:pPr>
      <w:r>
        <w:rPr>
          <w:rFonts w:ascii="Arial" w:cs="Arial" w:eastAsia="Arial" w:hAnsi="Arial"/>
          <w:sz w:val="25"/>
          <w:szCs w:val="25"/>
          <w:color w:val="auto"/>
          <w:vertAlign w:val="superscript"/>
        </w:rPr>
        <w:t>54,55,56</w:t>
      </w:r>
      <w:r>
        <w:rPr>
          <w:rFonts w:ascii="Arial" w:cs="Arial" w:eastAsia="Arial" w:hAnsi="Arial"/>
          <w:sz w:val="15"/>
          <w:szCs w:val="15"/>
          <w:color w:val="auto"/>
        </w:rPr>
        <w:t xml:space="preserve"> BCP Perú, Mibanco Perú, BCP Bolivia, Pacífico Seguros, ASB, Credicorp Capital Regional (Perú, Chile, Colombia and USA), Prima AFP</w:t>
      </w:r>
    </w:p>
    <w:p>
      <w:pPr>
        <w:ind w:left="188" w:hanging="188"/>
        <w:spacing w:after="0" w:line="212" w:lineRule="auto"/>
        <w:tabs>
          <w:tab w:leader="none" w:pos="188" w:val="left"/>
        </w:tabs>
        <w:numPr>
          <w:ilvl w:val="0"/>
          <w:numId w:val="114"/>
        </w:numPr>
        <w:rPr>
          <w:rFonts w:ascii="Arial" w:cs="Arial" w:eastAsia="Arial" w:hAnsi="Arial"/>
          <w:sz w:val="25"/>
          <w:szCs w:val="25"/>
          <w:color w:val="auto"/>
          <w:vertAlign w:val="superscript"/>
        </w:rPr>
      </w:pPr>
      <w:r>
        <w:rPr>
          <w:rFonts w:ascii="Arial" w:cs="Arial" w:eastAsia="Arial" w:hAnsi="Arial"/>
          <w:sz w:val="15"/>
          <w:szCs w:val="15"/>
          <w:color w:val="auto"/>
        </w:rPr>
        <w:t>For example: contracts with suppliers, suitability of collaborators, accounting records, among others</w:t>
      </w:r>
    </w:p>
    <w:p>
      <w:pPr>
        <w:spacing w:after="0" w:line="323" w:lineRule="exact"/>
        <w:rPr>
          <w:sz w:val="20"/>
          <w:szCs w:val="20"/>
          <w:color w:val="auto"/>
        </w:rPr>
      </w:pPr>
    </w:p>
    <w:p>
      <w:pPr>
        <w:ind w:left="11008"/>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312" w:right="319" w:bottom="1440" w:gutter="0" w:footer="0" w:header="0"/>
        </w:sectPr>
      </w:pPr>
    </w:p>
    <w:bookmarkStart w:id="149" w:name="page150"/>
    <w:bookmarkEnd w:id="149"/>
    <w:tbl>
      <w:tblPr>
        <w:tblLayout w:type="fixed"/>
        <w:tblInd w:w="10" w:type="dxa"/>
        <w:tblCellMar>
          <w:top w:w="0" w:type="dxa"/>
          <w:left w:w="0" w:type="dxa"/>
          <w:bottom w:w="0" w:type="dxa"/>
          <w:right w:w="0" w:type="dxa"/>
        </w:tblCellMar>
      </w:tblPr>
      <w:tr>
        <w:trPr>
          <w:trHeight w:val="241"/>
        </w:trPr>
        <w:tc>
          <w:tcPr>
            <w:tcW w:w="60" w:type="dxa"/>
            <w:vAlign w:val="bottom"/>
            <w:tcBorders>
              <w:top w:val="single" w:sz="8" w:color="auto"/>
              <w:left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right w:val="single" w:sz="8" w:color="auto"/>
            </w:tcBorders>
          </w:tcPr>
          <w:p>
            <w:pPr>
              <w:spacing w:after="0"/>
              <w:rPr>
                <w:sz w:val="20"/>
                <w:szCs w:val="20"/>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Neither Credicorp nor</w:t>
            </w:r>
          </w:p>
        </w:tc>
        <w:tc>
          <w:tcPr>
            <w:tcW w:w="8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color w:val="auto"/>
              </w:rPr>
              <w:t>Compliance</w:t>
            </w:r>
          </w:p>
        </w:tc>
        <w:tc>
          <w:tcPr>
            <w:tcW w:w="1120" w:type="dxa"/>
            <w:vAlign w:val="bottom"/>
            <w:tcBorders>
              <w:top w:val="single" w:sz="8" w:color="auto"/>
            </w:tcBorders>
            <w:gridSpan w:val="3"/>
          </w:tcPr>
          <w:p>
            <w:pPr>
              <w:ind w:left="140"/>
              <w:spacing w:after="0"/>
              <w:rPr>
                <w:sz w:val="20"/>
                <w:szCs w:val="20"/>
                <w:color w:val="auto"/>
              </w:rPr>
            </w:pPr>
            <w:r>
              <w:rPr>
                <w:rFonts w:ascii="Arial" w:cs="Arial" w:eastAsia="Arial" w:hAnsi="Arial"/>
                <w:sz w:val="15"/>
                <w:szCs w:val="15"/>
                <w:color w:val="auto"/>
              </w:rPr>
              <w:t>guide  issued</w:t>
            </w:r>
          </w:p>
        </w:tc>
        <w:tc>
          <w:tcPr>
            <w:tcW w:w="360" w:type="dxa"/>
            <w:vAlign w:val="bottom"/>
            <w:tcBorders>
              <w:top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by</w:t>
            </w:r>
          </w:p>
        </w:tc>
        <w:tc>
          <w:tcPr>
            <w:tcW w:w="5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 xml:space="preserve">Commitment of Executive Management: </w:t>
            </w:r>
            <w:r>
              <w:rPr>
                <w:rFonts w:ascii="Arial" w:cs="Arial" w:eastAsia="Arial" w:hAnsi="Arial"/>
                <w:sz w:val="15"/>
                <w:szCs w:val="15"/>
                <w:color w:val="auto"/>
              </w:rPr>
              <w:t>CEOs at all of Credicorp’s companies</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its Subsidiaries has</w:t>
            </w:r>
          </w:p>
        </w:tc>
        <w:tc>
          <w:tcPr>
            <w:tcW w:w="2360" w:type="dxa"/>
            <w:vAlign w:val="bottom"/>
            <w:tcBorders>
              <w:right w:val="single" w:sz="8" w:color="auto"/>
            </w:tcBorders>
            <w:gridSpan w:val="6"/>
          </w:tcPr>
          <w:p>
            <w:pPr>
              <w:ind w:left="60"/>
              <w:spacing w:after="0"/>
              <w:rPr>
                <w:sz w:val="20"/>
                <w:szCs w:val="20"/>
                <w:color w:val="auto"/>
              </w:rPr>
            </w:pPr>
            <w:r>
              <w:rPr>
                <w:rFonts w:ascii="Arial" w:cs="Arial" w:eastAsia="Arial" w:hAnsi="Arial"/>
                <w:sz w:val="15"/>
                <w:szCs w:val="15"/>
                <w:color w:val="auto"/>
              </w:rPr>
              <w:t>INDECOPI, the regulatory entity</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(local and foreign) as well as leaders in Human Development were trained by an</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received a firm ruling</w:t>
            </w:r>
          </w:p>
        </w:tc>
        <w:tc>
          <w:tcPr>
            <w:tcW w:w="2360" w:type="dxa"/>
            <w:vAlign w:val="bottom"/>
            <w:tcBorders>
              <w:right w:val="single" w:sz="8" w:color="auto"/>
            </w:tcBorders>
            <w:gridSpan w:val="6"/>
          </w:tcPr>
          <w:p>
            <w:pPr>
              <w:ind w:left="60"/>
              <w:spacing w:after="0"/>
              <w:rPr>
                <w:sz w:val="20"/>
                <w:szCs w:val="20"/>
                <w:color w:val="auto"/>
              </w:rPr>
            </w:pPr>
            <w:r>
              <w:rPr>
                <w:rFonts w:ascii="Arial" w:cs="Arial" w:eastAsia="Arial" w:hAnsi="Arial"/>
                <w:sz w:val="15"/>
                <w:szCs w:val="15"/>
                <w:color w:val="auto"/>
              </w:rPr>
              <w:t>of the Anti-competitive Conduct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external expert. In light of our role as an agent of change, BCP led training on Free</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 this regard.</w:t>
            </w:r>
          </w:p>
        </w:tc>
        <w:tc>
          <w:tcPr>
            <w:tcW w:w="2360" w:type="dxa"/>
            <w:vAlign w:val="bottom"/>
            <w:tcBorders>
              <w:right w:val="single" w:sz="8" w:color="auto"/>
            </w:tcBorders>
            <w:gridSpan w:val="6"/>
          </w:tcPr>
          <w:p>
            <w:pPr>
              <w:ind w:left="60"/>
              <w:spacing w:after="0"/>
              <w:rPr>
                <w:sz w:val="20"/>
                <w:szCs w:val="20"/>
                <w:color w:val="auto"/>
              </w:rPr>
            </w:pPr>
            <w:r>
              <w:rPr>
                <w:rFonts w:ascii="Arial" w:cs="Arial" w:eastAsia="Arial" w:hAnsi="Arial"/>
                <w:sz w:val="15"/>
                <w:szCs w:val="15"/>
                <w:color w:val="auto"/>
              </w:rPr>
              <w:t>Law. Credicorp has decided to</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Competition for all CEOs of banks in Peru with the assistance of an external expert.</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ind w:left="60"/>
              <w:spacing w:after="0"/>
              <w:rPr>
                <w:sz w:val="20"/>
                <w:szCs w:val="20"/>
                <w:color w:val="auto"/>
              </w:rPr>
            </w:pPr>
            <w:r>
              <w:rPr>
                <w:rFonts w:ascii="Arial" w:cs="Arial" w:eastAsia="Arial" w:hAnsi="Arial"/>
                <w:sz w:val="15"/>
                <w:szCs w:val="15"/>
                <w:color w:val="auto"/>
              </w:rPr>
              <w:t>adopt</w:t>
            </w:r>
          </w:p>
        </w:tc>
        <w:tc>
          <w:tcPr>
            <w:tcW w:w="500" w:type="dxa"/>
            <w:vAlign w:val="bottom"/>
            <w:gridSpan w:val="2"/>
          </w:tcPr>
          <w:p>
            <w:pPr>
              <w:ind w:left="180"/>
              <w:spacing w:after="0"/>
              <w:rPr>
                <w:sz w:val="20"/>
                <w:szCs w:val="20"/>
                <w:color w:val="auto"/>
              </w:rPr>
            </w:pPr>
            <w:r>
              <w:rPr>
                <w:rFonts w:ascii="Arial" w:cs="Arial" w:eastAsia="Arial" w:hAnsi="Arial"/>
                <w:sz w:val="15"/>
                <w:szCs w:val="15"/>
                <w:color w:val="auto"/>
              </w:rPr>
              <w:t>this</w:t>
            </w:r>
          </w:p>
        </w:tc>
        <w:tc>
          <w:tcPr>
            <w:tcW w:w="18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5"/>
                <w:szCs w:val="15"/>
                <w:color w:val="auto"/>
              </w:rPr>
              <w:t>standard</w:t>
            </w:r>
          </w:p>
        </w:tc>
        <w:tc>
          <w:tcPr>
            <w:tcW w:w="3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to</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 xml:space="preserve">Training: </w:t>
            </w:r>
            <w:r>
              <w:rPr>
                <w:rFonts w:ascii="Arial" w:cs="Arial" w:eastAsia="Arial" w:hAnsi="Arial"/>
                <w:sz w:val="15"/>
                <w:szCs w:val="15"/>
                <w:color w:val="auto"/>
              </w:rPr>
              <w:t>Targeted  training  was  imparted  to  commercial  teams  in  wholesale</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5"/>
                <w:szCs w:val="15"/>
                <w:color w:val="auto"/>
              </w:rPr>
              <w:t>implement</w:t>
            </w:r>
          </w:p>
        </w:tc>
        <w:tc>
          <w:tcPr>
            <w:tcW w:w="360" w:type="dxa"/>
            <w:vAlign w:val="bottom"/>
            <w:gridSpan w:val="2"/>
          </w:tcPr>
          <w:p>
            <w:pPr>
              <w:ind w:left="180"/>
              <w:spacing w:after="0"/>
              <w:rPr>
                <w:sz w:val="20"/>
                <w:szCs w:val="20"/>
                <w:color w:val="auto"/>
              </w:rPr>
            </w:pPr>
            <w:r>
              <w:rPr>
                <w:rFonts w:ascii="Arial" w:cs="Arial" w:eastAsia="Arial" w:hAnsi="Arial"/>
                <w:sz w:val="15"/>
                <w:szCs w:val="15"/>
                <w:color w:val="auto"/>
              </w:rPr>
              <w:t>its</w:t>
            </w:r>
          </w:p>
        </w:tc>
        <w:tc>
          <w:tcPr>
            <w:tcW w:w="1120" w:type="dxa"/>
            <w:vAlign w:val="bottom"/>
            <w:tcBorders>
              <w:right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compliance</w:t>
            </w:r>
          </w:p>
        </w:tc>
        <w:tc>
          <w:tcPr>
            <w:tcW w:w="5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5"/>
                <w:szCs w:val="15"/>
                <w:color w:val="auto"/>
              </w:rPr>
              <w:t>program</w:t>
            </w:r>
          </w:p>
        </w:tc>
        <w:tc>
          <w:tcPr>
            <w:tcW w:w="180" w:type="dxa"/>
            <w:vAlign w:val="bottom"/>
          </w:tcPr>
          <w:p>
            <w:pPr>
              <w:spacing w:after="0"/>
              <w:rPr>
                <w:sz w:val="15"/>
                <w:szCs w:val="15"/>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rPr>
              <w:t>for</w:t>
            </w:r>
          </w:p>
        </w:tc>
        <w:tc>
          <w:tcPr>
            <w:tcW w:w="1120" w:type="dxa"/>
            <w:vAlign w:val="bottom"/>
            <w:tcBorders>
              <w:right w:val="single" w:sz="8" w:color="auto"/>
            </w:tcBorders>
            <w:gridSpan w:val="2"/>
          </w:tcPr>
          <w:p>
            <w:pPr>
              <w:jc w:val="right"/>
              <w:ind w:right="3"/>
              <w:spacing w:after="0"/>
              <w:rPr>
                <w:sz w:val="20"/>
                <w:szCs w:val="20"/>
                <w:color w:val="auto"/>
              </w:rPr>
            </w:pPr>
            <w:r>
              <w:rPr>
                <w:rFonts w:ascii="Arial" w:cs="Arial" w:eastAsia="Arial" w:hAnsi="Arial"/>
                <w:sz w:val="15"/>
                <w:szCs w:val="15"/>
                <w:color w:val="auto"/>
              </w:rPr>
              <w:t>Peruvian</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banking and to the Pricing, IT Human Develop and IT Financial Services teams</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060" w:type="dxa"/>
            <w:vAlign w:val="bottom"/>
            <w:gridSpan w:val="3"/>
          </w:tcPr>
          <w:p>
            <w:pPr>
              <w:ind w:left="60"/>
              <w:spacing w:after="0"/>
              <w:rPr>
                <w:sz w:val="20"/>
                <w:szCs w:val="20"/>
                <w:color w:val="auto"/>
              </w:rPr>
            </w:pPr>
            <w:r>
              <w:rPr>
                <w:rFonts w:ascii="Arial" w:cs="Arial" w:eastAsia="Arial" w:hAnsi="Arial"/>
                <w:sz w:val="15"/>
                <w:szCs w:val="15"/>
                <w:color w:val="auto"/>
              </w:rPr>
              <w:t>subsidiaries.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relative to free competition risks in the job market. Additionally, all of Credicorp’s</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employees received online training on basic aspects of free competition.</w:t>
            </w:r>
          </w:p>
        </w:tc>
        <w:tc>
          <w:tcPr>
            <w:tcW w:w="0" w:type="dxa"/>
            <w:vAlign w:val="bottom"/>
          </w:tcPr>
          <w:p>
            <w:pPr>
              <w:spacing w:after="0"/>
              <w:rPr>
                <w:sz w:val="1"/>
                <w:szCs w:val="1"/>
                <w:color w:val="auto"/>
              </w:rPr>
            </w:pPr>
          </w:p>
        </w:tc>
      </w:tr>
      <w:tr>
        <w:trPr>
          <w:trHeight w:val="334"/>
        </w:trPr>
        <w:tc>
          <w:tcPr>
            <w:tcW w:w="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 xml:space="preserve">Monitoring: </w:t>
            </w:r>
            <w:r>
              <w:rPr>
                <w:rFonts w:ascii="Arial" w:cs="Arial" w:eastAsia="Arial" w:hAnsi="Arial"/>
                <w:sz w:val="15"/>
                <w:szCs w:val="15"/>
                <w:color w:val="auto"/>
              </w:rPr>
              <w:t>Current commercial strategies for the main financial products and</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services were reviewed to verify compliance with guidelines for competition and</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advise business lines regarding this matter.</w:t>
            </w:r>
          </w:p>
        </w:tc>
        <w:tc>
          <w:tcPr>
            <w:tcW w:w="0" w:type="dxa"/>
            <w:vAlign w:val="bottom"/>
          </w:tcPr>
          <w:p>
            <w:pPr>
              <w:spacing w:after="0"/>
              <w:rPr>
                <w:sz w:val="1"/>
                <w:szCs w:val="1"/>
                <w:color w:val="auto"/>
              </w:rPr>
            </w:pPr>
          </w:p>
        </w:tc>
      </w:tr>
      <w:tr>
        <w:trPr>
          <w:trHeight w:val="334"/>
        </w:trPr>
        <w:tc>
          <w:tcPr>
            <w:tcW w:w="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 xml:space="preserve">Work  was  conducted  at  </w:t>
            </w:r>
            <w:r>
              <w:rPr>
                <w:rFonts w:ascii="Arial" w:cs="Arial" w:eastAsia="Arial" w:hAnsi="Arial"/>
                <w:sz w:val="15"/>
                <w:szCs w:val="15"/>
                <w:b w:val="1"/>
                <w:bCs w:val="1"/>
                <w:color w:val="auto"/>
              </w:rPr>
              <w:t>Mibanco  Perú</w:t>
            </w:r>
            <w:r>
              <w:rPr>
                <w:rFonts w:ascii="Arial" w:cs="Arial" w:eastAsia="Arial" w:hAnsi="Arial"/>
                <w:sz w:val="15"/>
                <w:szCs w:val="15"/>
                <w:color w:val="auto"/>
              </w:rPr>
              <w:t xml:space="preserve">  to  develop  a  risk  matrix  for  Free</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Competition, which identified and assessed 13 risk scenarios, 2 of which were</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considered medium risk.</w:t>
            </w:r>
          </w:p>
        </w:tc>
        <w:tc>
          <w:tcPr>
            <w:tcW w:w="0" w:type="dxa"/>
            <w:vAlign w:val="bottom"/>
          </w:tcPr>
          <w:p>
            <w:pPr>
              <w:spacing w:after="0"/>
              <w:rPr>
                <w:sz w:val="1"/>
                <w:szCs w:val="1"/>
                <w:color w:val="auto"/>
              </w:rPr>
            </w:pPr>
          </w:p>
        </w:tc>
      </w:tr>
      <w:tr>
        <w:trPr>
          <w:trHeight w:val="334"/>
        </w:trPr>
        <w:tc>
          <w:tcPr>
            <w:tcW w:w="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b w:val="1"/>
                <w:bCs w:val="1"/>
                <w:color w:val="auto"/>
              </w:rPr>
              <w:t>Pacifico Seguros</w:t>
            </w:r>
            <w:r>
              <w:rPr>
                <w:rFonts w:ascii="Arial" w:cs="Arial" w:eastAsia="Arial" w:hAnsi="Arial"/>
                <w:sz w:val="15"/>
                <w:szCs w:val="15"/>
                <w:color w:val="auto"/>
              </w:rPr>
              <w:t>, we are working with an external expert to develop a free</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competition risk matrix for the company.</w:t>
            </w:r>
          </w:p>
        </w:tc>
        <w:tc>
          <w:tcPr>
            <w:tcW w:w="0" w:type="dxa"/>
            <w:vAlign w:val="bottom"/>
          </w:tcPr>
          <w:p>
            <w:pPr>
              <w:spacing w:after="0"/>
              <w:rPr>
                <w:sz w:val="1"/>
                <w:szCs w:val="1"/>
                <w:color w:val="auto"/>
              </w:rPr>
            </w:pPr>
          </w:p>
        </w:tc>
      </w:tr>
      <w:tr>
        <w:trPr>
          <w:trHeight w:val="46"/>
        </w:trPr>
        <w:tc>
          <w:tcPr>
            <w:tcW w:w="6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tcBorders>
            <w:gridSpan w:val="5"/>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tcPr>
          <w:p>
            <w:pPr>
              <w:spacing w:after="0"/>
              <w:rPr>
                <w:sz w:val="17"/>
                <w:szCs w:val="17"/>
                <w:color w:val="auto"/>
              </w:rPr>
            </w:pP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5"/>
                <w:szCs w:val="15"/>
                <w:b w:val="1"/>
                <w:bCs w:val="1"/>
                <w:color w:val="121212"/>
              </w:rPr>
              <w:t>Regulatory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Implement all</w:t>
            </w:r>
          </w:p>
        </w:tc>
        <w:tc>
          <w:tcPr>
            <w:tcW w:w="2000" w:type="dxa"/>
            <w:vAlign w:val="bottom"/>
            <w:gridSpan w:val="5"/>
          </w:tcPr>
          <w:p>
            <w:pPr>
              <w:jc w:val="center"/>
              <w:ind w:left="263"/>
              <w:spacing w:after="0"/>
              <w:rPr>
                <w:sz w:val="20"/>
                <w:szCs w:val="20"/>
                <w:color w:val="auto"/>
              </w:rPr>
            </w:pPr>
            <w:r>
              <w:rPr>
                <w:rFonts w:ascii="Arial" w:cs="Arial" w:eastAsia="Arial" w:hAnsi="Arial"/>
                <w:sz w:val="15"/>
                <w:szCs w:val="15"/>
                <w:b w:val="1"/>
                <w:bCs w:val="1"/>
                <w:color w:val="auto"/>
              </w:rPr>
              <w:t>New regulations and</w:t>
            </w:r>
          </w:p>
        </w:tc>
        <w:tc>
          <w:tcPr>
            <w:tcW w:w="360" w:type="dxa"/>
            <w:vAlign w:val="bottom"/>
            <w:tcBorders>
              <w:right w:val="single" w:sz="8" w:color="auto"/>
            </w:tcBorders>
          </w:tcPr>
          <w:p>
            <w:pPr>
              <w:spacing w:after="0"/>
              <w:rPr>
                <w:sz w:val="17"/>
                <w:szCs w:val="17"/>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Main fronts for management:</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5"/>
                <w:szCs w:val="15"/>
                <w:b w:val="1"/>
                <w:bCs w:val="1"/>
                <w:color w:val="121212"/>
              </w:rPr>
              <w:t>compliance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regulations applicable</w:t>
            </w:r>
          </w:p>
        </w:tc>
        <w:tc>
          <w:tcPr>
            <w:tcW w:w="2360" w:type="dxa"/>
            <w:vAlign w:val="bottom"/>
            <w:tcBorders>
              <w:right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international rules that impact</w:t>
            </w:r>
          </w:p>
        </w:tc>
        <w:tc>
          <w:tcPr>
            <w:tcW w:w="5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to the subsidiaries</w:t>
            </w:r>
          </w:p>
        </w:tc>
        <w:tc>
          <w:tcPr>
            <w:tcW w:w="560" w:type="dxa"/>
            <w:vAlign w:val="bottom"/>
          </w:tcPr>
          <w:p>
            <w:pPr>
              <w:spacing w:after="0"/>
              <w:rPr>
                <w:sz w:val="16"/>
                <w:szCs w:val="16"/>
                <w:color w:val="auto"/>
              </w:rPr>
            </w:pPr>
          </w:p>
        </w:tc>
        <w:tc>
          <w:tcPr>
            <w:tcW w:w="1440" w:type="dxa"/>
            <w:vAlign w:val="bottom"/>
            <w:gridSpan w:val="4"/>
          </w:tcPr>
          <w:p>
            <w:pPr>
              <w:jc w:val="center"/>
              <w:ind w:right="143"/>
              <w:spacing w:after="0"/>
              <w:rPr>
                <w:sz w:val="20"/>
                <w:szCs w:val="20"/>
                <w:color w:val="auto"/>
              </w:rPr>
            </w:pPr>
            <w:r>
              <w:rPr>
                <w:rFonts w:ascii="Arial" w:cs="Arial" w:eastAsia="Arial" w:hAnsi="Arial"/>
                <w:sz w:val="15"/>
                <w:szCs w:val="15"/>
                <w:b w:val="1"/>
                <w:bCs w:val="1"/>
                <w:color w:val="auto"/>
              </w:rPr>
              <w:t>the company</w:t>
            </w: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 xml:space="preserve">New regulations: </w:t>
            </w:r>
            <w:r>
              <w:rPr>
                <w:rFonts w:ascii="Arial" w:cs="Arial" w:eastAsia="Arial" w:hAnsi="Arial"/>
                <w:sz w:val="15"/>
                <w:szCs w:val="15"/>
                <w:color w:val="auto"/>
              </w:rPr>
              <w:t>in coordination with the business units, we identify, assign and</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utilizing international</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assess regulatory obligations to ensure they are implemented in the company’s</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methodologies and</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processes within the timeframes set by regulations.</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standards</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 xml:space="preserve">Existing  regulations:  </w:t>
            </w:r>
            <w:r>
              <w:rPr>
                <w:rFonts w:ascii="Arial" w:cs="Arial" w:eastAsia="Arial" w:hAnsi="Arial"/>
                <w:sz w:val="15"/>
                <w:szCs w:val="15"/>
                <w:color w:val="auto"/>
              </w:rPr>
              <w:t>We  use  a  risk-based  focus  (through  scoring  and</w:t>
            </w:r>
          </w:p>
        </w:tc>
        <w:tc>
          <w:tcPr>
            <w:tcW w:w="0" w:type="dxa"/>
            <w:vAlign w:val="bottom"/>
          </w:tcPr>
          <w:p>
            <w:pPr>
              <w:spacing w:after="0"/>
              <w:rPr>
                <w:sz w:val="1"/>
                <w:szCs w:val="1"/>
                <w:color w:val="auto"/>
              </w:rPr>
            </w:pPr>
          </w:p>
        </w:tc>
      </w:tr>
      <w:tr>
        <w:trPr>
          <w:trHeight w:val="161"/>
        </w:trPr>
        <w:tc>
          <w:tcPr>
            <w:tcW w:w="60" w:type="dxa"/>
            <w:vAlign w:val="bottom"/>
            <w:tcBorders>
              <w:lef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58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differentiated drivers), which allows us to prioritize the regulations that will be</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assessed over the year. We have a Traditional Assessment methodology for</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processes that have a wider scope and a Self-assessment when we seek to</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empower the business through more participative analysis. Both allow us to identify</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mitigate compliance risks and have a set of remediation plans at the ready if</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necessary.</w:t>
            </w:r>
          </w:p>
        </w:tc>
        <w:tc>
          <w:tcPr>
            <w:tcW w:w="0" w:type="dxa"/>
            <w:vAlign w:val="bottom"/>
          </w:tcPr>
          <w:p>
            <w:pPr>
              <w:spacing w:after="0"/>
              <w:rPr>
                <w:sz w:val="1"/>
                <w:szCs w:val="1"/>
                <w:color w:val="auto"/>
              </w:rPr>
            </w:pPr>
          </w:p>
        </w:tc>
      </w:tr>
      <w:tr>
        <w:trPr>
          <w:trHeight w:val="334"/>
        </w:trPr>
        <w:tc>
          <w:tcPr>
            <w:tcW w:w="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 xml:space="preserve">Sanctions: </w:t>
            </w:r>
            <w:r>
              <w:rPr>
                <w:rFonts w:ascii="Arial" w:cs="Arial" w:eastAsia="Arial" w:hAnsi="Arial"/>
                <w:sz w:val="15"/>
                <w:szCs w:val="15"/>
                <w:color w:val="auto"/>
              </w:rPr>
              <w:t>We use indicators to identify and manage sanctions paid at each entity.</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 objective is to implement corrective measures with impacted units to prevent</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sanctions down the line.</w:t>
            </w:r>
          </w:p>
        </w:tc>
        <w:tc>
          <w:tcPr>
            <w:tcW w:w="0" w:type="dxa"/>
            <w:vAlign w:val="bottom"/>
          </w:tcPr>
          <w:p>
            <w:pPr>
              <w:spacing w:after="0"/>
              <w:rPr>
                <w:sz w:val="1"/>
                <w:szCs w:val="1"/>
                <w:color w:val="auto"/>
              </w:rPr>
            </w:pPr>
          </w:p>
        </w:tc>
      </w:tr>
      <w:tr>
        <w:trPr>
          <w:trHeight w:val="46"/>
        </w:trPr>
        <w:tc>
          <w:tcPr>
            <w:tcW w:w="6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gridSpan w:val="6"/>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0" w:type="dxa"/>
            <w:vAlign w:val="bottom"/>
            <w:tcBorders>
              <w:left w:val="single" w:sz="8" w:color="auto"/>
            </w:tcBorders>
          </w:tcPr>
          <w:p>
            <w:pPr>
              <w:spacing w:after="0"/>
              <w:rPr>
                <w:sz w:val="17"/>
                <w:szCs w:val="17"/>
                <w:color w:val="auto"/>
              </w:rPr>
            </w:pP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5"/>
                <w:szCs w:val="15"/>
                <w:b w:val="1"/>
                <w:bCs w:val="1"/>
                <w:color w:val="3265FF"/>
              </w:rPr>
              <w:t>Protection of</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We value the trust that</w:t>
            </w:r>
          </w:p>
        </w:tc>
        <w:tc>
          <w:tcPr>
            <w:tcW w:w="2360" w:type="dxa"/>
            <w:vAlign w:val="bottom"/>
            <w:tcBorders>
              <w:right w:val="single" w:sz="8" w:color="auto"/>
            </w:tcBorders>
            <w:gridSpan w:val="6"/>
          </w:tcPr>
          <w:p>
            <w:pPr>
              <w:ind w:left="60"/>
              <w:spacing w:after="0"/>
              <w:rPr>
                <w:sz w:val="20"/>
                <w:szCs w:val="20"/>
                <w:color w:val="auto"/>
              </w:rPr>
            </w:pPr>
            <w:r>
              <w:rPr>
                <w:rFonts w:ascii="Arial" w:cs="Arial" w:eastAsia="Arial" w:hAnsi="Arial"/>
                <w:sz w:val="15"/>
                <w:szCs w:val="15"/>
                <w:color w:val="auto"/>
              </w:rPr>
              <w:t>Law N° 29733 Personal Data</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We implemented improvements in physical, semi-attendance and digital to channels</w:t>
            </w:r>
          </w:p>
        </w:tc>
        <w:tc>
          <w:tcPr>
            <w:tcW w:w="0" w:type="dxa"/>
            <w:vAlign w:val="bottom"/>
          </w:tcPr>
          <w:p>
            <w:pPr>
              <w:spacing w:after="0"/>
              <w:rPr>
                <w:sz w:val="1"/>
                <w:szCs w:val="1"/>
                <w:color w:val="auto"/>
              </w:rPr>
            </w:pPr>
          </w:p>
        </w:tc>
      </w:tr>
      <w:tr>
        <w:trPr>
          <w:trHeight w:val="153"/>
        </w:trPr>
        <w:tc>
          <w:tcPr>
            <w:tcW w:w="60" w:type="dxa"/>
            <w:vAlign w:val="bottom"/>
            <w:tcBorders>
              <w:left w:val="single" w:sz="8" w:color="auto"/>
            </w:tcBorders>
          </w:tcPr>
          <w:p>
            <w:pPr>
              <w:spacing w:after="0"/>
              <w:rPr>
                <w:sz w:val="13"/>
                <w:szCs w:val="13"/>
                <w:color w:val="auto"/>
              </w:rPr>
            </w:pPr>
          </w:p>
        </w:tc>
        <w:tc>
          <w:tcPr>
            <w:tcW w:w="960" w:type="dxa"/>
            <w:vAlign w:val="bottom"/>
            <w:tcBorders>
              <w:top w:val="single" w:sz="8" w:color="3265FF"/>
              <w:bottom w:val="single" w:sz="8" w:color="3265FF"/>
            </w:tcBorders>
          </w:tcPr>
          <w:p>
            <w:pPr>
              <w:spacing w:after="0" w:line="153" w:lineRule="exact"/>
              <w:rPr>
                <w:sz w:val="20"/>
                <w:szCs w:val="20"/>
                <w:color w:val="auto"/>
              </w:rPr>
            </w:pPr>
            <w:r>
              <w:rPr>
                <w:rFonts w:ascii="Arial" w:cs="Arial" w:eastAsia="Arial" w:hAnsi="Arial"/>
                <w:sz w:val="15"/>
                <w:szCs w:val="15"/>
                <w:b w:val="1"/>
                <w:bCs w:val="1"/>
                <w:color w:val="3265FF"/>
                <w:w w:val="96"/>
              </w:rPr>
              <w:t>personal data</w:t>
            </w:r>
          </w:p>
        </w:tc>
        <w:tc>
          <w:tcPr>
            <w:tcW w:w="40" w:type="dxa"/>
            <w:vAlign w:val="bottom"/>
            <w:tcBorders>
              <w:bottom w:val="single" w:sz="8" w:color="3265FF"/>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rPr>
              <w:t>people show when</w:t>
            </w:r>
          </w:p>
        </w:tc>
        <w:tc>
          <w:tcPr>
            <w:tcW w:w="880" w:type="dxa"/>
            <w:vAlign w:val="bottom"/>
            <w:gridSpan w:val="2"/>
          </w:tcPr>
          <w:p>
            <w:pPr>
              <w:ind w:left="60"/>
              <w:spacing w:after="0" w:line="153" w:lineRule="exact"/>
              <w:rPr>
                <w:sz w:val="20"/>
                <w:szCs w:val="20"/>
                <w:color w:val="auto"/>
              </w:rPr>
            </w:pPr>
            <w:r>
              <w:rPr>
                <w:rFonts w:ascii="Arial" w:cs="Arial" w:eastAsia="Arial" w:hAnsi="Arial"/>
                <w:sz w:val="15"/>
                <w:szCs w:val="15"/>
                <w:color w:val="auto"/>
              </w:rPr>
              <w:t>Protection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5840" w:type="dxa"/>
            <w:vAlign w:val="bottom"/>
            <w:tcBorders>
              <w:right w:val="single" w:sz="8" w:color="auto"/>
            </w:tcBorders>
          </w:tcPr>
          <w:p>
            <w:pPr>
              <w:ind w:left="60"/>
              <w:spacing w:after="0" w:line="153" w:lineRule="exact"/>
              <w:rPr>
                <w:sz w:val="20"/>
                <w:szCs w:val="20"/>
                <w:color w:val="auto"/>
              </w:rPr>
            </w:pPr>
            <w:r>
              <w:rPr>
                <w:rFonts w:ascii="Arial" w:cs="Arial" w:eastAsia="Arial" w:hAnsi="Arial"/>
                <w:sz w:val="15"/>
                <w:szCs w:val="15"/>
                <w:color w:val="auto"/>
              </w:rPr>
              <w:t>to ensure that clients have provided due consent and in contract clauses, privacy</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entrusting us with their</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policy and cookies policy.</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personal information</w:t>
            </w:r>
          </w:p>
        </w:tc>
        <w:tc>
          <w:tcPr>
            <w:tcW w:w="560" w:type="dxa"/>
            <w:vAlign w:val="bottom"/>
          </w:tcPr>
          <w:p>
            <w:pPr>
              <w:ind w:left="60"/>
              <w:spacing w:after="0"/>
              <w:rPr>
                <w:sz w:val="20"/>
                <w:szCs w:val="20"/>
                <w:color w:val="auto"/>
              </w:rPr>
            </w:pPr>
            <w:r>
              <w:rPr>
                <w:rFonts w:ascii="Arial" w:cs="Arial" w:eastAsia="Arial" w:hAnsi="Arial"/>
                <w:sz w:val="15"/>
                <w:szCs w:val="15"/>
                <w:color w:val="auto"/>
              </w:rPr>
              <w:t>GDPR</w:t>
            </w:r>
          </w:p>
        </w:tc>
        <w:tc>
          <w:tcPr>
            <w:tcW w:w="680" w:type="dxa"/>
            <w:vAlign w:val="bottom"/>
            <w:gridSpan w:val="3"/>
          </w:tcPr>
          <w:p>
            <w:pPr>
              <w:ind w:left="40"/>
              <w:spacing w:after="0"/>
              <w:rPr>
                <w:sz w:val="20"/>
                <w:szCs w:val="20"/>
                <w:color w:val="auto"/>
              </w:rPr>
            </w:pPr>
            <w:r>
              <w:rPr>
                <w:rFonts w:ascii="Arial" w:cs="Arial" w:eastAsia="Arial" w:hAnsi="Arial"/>
                <w:sz w:val="15"/>
                <w:szCs w:val="15"/>
                <w:color w:val="auto"/>
              </w:rPr>
              <w:t>General</w:t>
            </w:r>
          </w:p>
        </w:tc>
        <w:tc>
          <w:tcPr>
            <w:tcW w:w="760" w:type="dxa"/>
            <w:vAlign w:val="bottom"/>
          </w:tcPr>
          <w:p>
            <w:pPr>
              <w:ind w:left="20"/>
              <w:spacing w:after="0"/>
              <w:rPr>
                <w:sz w:val="20"/>
                <w:szCs w:val="20"/>
                <w:color w:val="auto"/>
              </w:rPr>
            </w:pPr>
            <w:r>
              <w:rPr>
                <w:rFonts w:ascii="Arial" w:cs="Arial" w:eastAsia="Arial" w:hAnsi="Arial"/>
                <w:sz w:val="15"/>
                <w:szCs w:val="15"/>
                <w:color w:val="auto"/>
              </w:rPr>
              <w:t>Regulation</w:t>
            </w:r>
          </w:p>
        </w:tc>
        <w:tc>
          <w:tcPr>
            <w:tcW w:w="3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for</w:t>
            </w:r>
          </w:p>
        </w:tc>
        <w:tc>
          <w:tcPr>
            <w:tcW w:w="5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and strive to correctly</w:t>
            </w:r>
          </w:p>
        </w:tc>
        <w:tc>
          <w:tcPr>
            <w:tcW w:w="1240" w:type="dxa"/>
            <w:vAlign w:val="bottom"/>
            <w:gridSpan w:val="4"/>
          </w:tcPr>
          <w:p>
            <w:pPr>
              <w:ind w:left="60"/>
              <w:spacing w:after="0"/>
              <w:rPr>
                <w:sz w:val="20"/>
                <w:szCs w:val="20"/>
                <w:color w:val="auto"/>
              </w:rPr>
            </w:pPr>
            <w:r>
              <w:rPr>
                <w:rFonts w:ascii="Arial" w:cs="Arial" w:eastAsia="Arial" w:hAnsi="Arial"/>
                <w:sz w:val="15"/>
                <w:szCs w:val="15"/>
                <w:color w:val="auto"/>
              </w:rPr>
              <w:t>data protection</w:t>
            </w: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Guidelines were set to improve the quality of contact information that is gathered</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manage the same to</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guides and communications were disseminated to employees that manage</w:t>
            </w: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forge closer ties</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client information to ensure adequate treatment.</w:t>
            </w:r>
          </w:p>
        </w:tc>
        <w:tc>
          <w:tcPr>
            <w:tcW w:w="0" w:type="dxa"/>
            <w:vAlign w:val="bottom"/>
          </w:tcPr>
          <w:p>
            <w:pPr>
              <w:spacing w:after="0"/>
              <w:rPr>
                <w:sz w:val="1"/>
                <w:szCs w:val="1"/>
                <w:color w:val="auto"/>
              </w:rPr>
            </w:pPr>
          </w:p>
        </w:tc>
      </w:tr>
      <w:tr>
        <w:trPr>
          <w:trHeight w:val="346"/>
        </w:trPr>
        <w:tc>
          <w:tcPr>
            <w:tcW w:w="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121212"/>
              </w:rPr>
              <w:t xml:space="preserve">For more information, see section </w:t>
            </w:r>
            <w:r>
              <w:rPr>
                <w:rFonts w:ascii="Arial" w:cs="Arial" w:eastAsia="Arial" w:hAnsi="Arial"/>
                <w:sz w:val="15"/>
                <w:szCs w:val="15"/>
                <w:i w:val="1"/>
                <w:iCs w:val="1"/>
                <w:color w:val="121212"/>
              </w:rPr>
              <w:t>“Personal Data Protection”</w:t>
            </w:r>
            <w:r>
              <w:rPr>
                <w:rFonts w:ascii="Arial" w:cs="Arial" w:eastAsia="Arial" w:hAnsi="Arial"/>
                <w:sz w:val="15"/>
                <w:szCs w:val="15"/>
                <w:color w:val="121212"/>
              </w:rPr>
              <w:t xml:space="preserve"> (annexes)</w:t>
            </w:r>
          </w:p>
        </w:tc>
        <w:tc>
          <w:tcPr>
            <w:tcW w:w="0" w:type="dxa"/>
            <w:vAlign w:val="bottom"/>
          </w:tcPr>
          <w:p>
            <w:pPr>
              <w:spacing w:after="0"/>
              <w:rPr>
                <w:sz w:val="1"/>
                <w:szCs w:val="1"/>
                <w:color w:val="auto"/>
              </w:rPr>
            </w:pPr>
          </w:p>
        </w:tc>
      </w:tr>
      <w:tr>
        <w:trPr>
          <w:trHeight w:val="219"/>
        </w:trPr>
        <w:tc>
          <w:tcPr>
            <w:tcW w:w="6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3"/>
          </w:tcPr>
          <w:p>
            <w:pPr>
              <w:spacing w:after="0"/>
              <w:rPr>
                <w:sz w:val="19"/>
                <w:szCs w:val="19"/>
                <w:color w:val="auto"/>
              </w:rPr>
            </w:pPr>
          </w:p>
        </w:tc>
        <w:tc>
          <w:tcPr>
            <w:tcW w:w="5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 w:type="dxa"/>
            <w:vAlign w:val="bottom"/>
            <w:tcBorders>
              <w:left w:val="single" w:sz="8" w:color="auto"/>
            </w:tcBorders>
          </w:tcPr>
          <w:p>
            <w:pPr>
              <w:spacing w:after="0"/>
              <w:rPr>
                <w:sz w:val="19"/>
                <w:szCs w:val="19"/>
                <w:color w:val="auto"/>
              </w:rPr>
            </w:pP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5"/>
                <w:szCs w:val="15"/>
                <w:b w:val="1"/>
                <w:bCs w:val="1"/>
                <w:color w:val="auto"/>
              </w:rPr>
              <w:t>Market conduct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We improve the</w:t>
            </w:r>
          </w:p>
        </w:tc>
        <w:tc>
          <w:tcPr>
            <w:tcW w:w="880" w:type="dxa"/>
            <w:vAlign w:val="bottom"/>
            <w:gridSpan w:val="2"/>
          </w:tcPr>
          <w:p>
            <w:pPr>
              <w:ind w:left="60"/>
              <w:spacing w:after="0"/>
              <w:rPr>
                <w:sz w:val="20"/>
                <w:szCs w:val="20"/>
                <w:color w:val="auto"/>
              </w:rPr>
            </w:pPr>
            <w:r>
              <w:rPr>
                <w:rFonts w:ascii="Arial" w:cs="Arial" w:eastAsia="Arial" w:hAnsi="Arial"/>
                <w:sz w:val="15"/>
                <w:szCs w:val="15"/>
                <w:color w:val="auto"/>
              </w:rPr>
              <w:t>Regulation</w:t>
            </w:r>
          </w:p>
        </w:tc>
        <w:tc>
          <w:tcPr>
            <w:tcW w:w="180" w:type="dxa"/>
            <w:vAlign w:val="bottom"/>
          </w:tcPr>
          <w:p>
            <w:pPr>
              <w:spacing w:after="0"/>
              <w:rPr>
                <w:sz w:val="20"/>
                <w:szCs w:val="20"/>
                <w:color w:val="auto"/>
              </w:rPr>
            </w:pPr>
            <w:r>
              <w:rPr>
                <w:rFonts w:ascii="Arial" w:cs="Arial" w:eastAsia="Arial" w:hAnsi="Arial"/>
                <w:sz w:val="15"/>
                <w:szCs w:val="15"/>
                <w:color w:val="auto"/>
                <w:w w:val="95"/>
              </w:rPr>
              <w:t>on</w:t>
            </w:r>
          </w:p>
        </w:tc>
        <w:tc>
          <w:tcPr>
            <w:tcW w:w="1300" w:type="dxa"/>
            <w:vAlign w:val="bottom"/>
            <w:tcBorders>
              <w:right w:val="single" w:sz="8" w:color="auto"/>
            </w:tcBorders>
            <w:gridSpan w:val="3"/>
          </w:tcPr>
          <w:p>
            <w:pPr>
              <w:jc w:val="right"/>
              <w:ind w:right="3"/>
              <w:spacing w:after="0"/>
              <w:rPr>
                <w:sz w:val="20"/>
                <w:szCs w:val="20"/>
                <w:color w:val="auto"/>
              </w:rPr>
            </w:pPr>
            <w:r>
              <w:rPr>
                <w:rFonts w:ascii="Arial" w:cs="Arial" w:eastAsia="Arial" w:hAnsi="Arial"/>
                <w:sz w:val="15"/>
                <w:szCs w:val="15"/>
                <w:color w:val="auto"/>
              </w:rPr>
              <w:t>Market Conduct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Culture:</w:t>
            </w: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financial health of</w:t>
            </w:r>
          </w:p>
        </w:tc>
        <w:tc>
          <w:tcPr>
            <w:tcW w:w="1060" w:type="dxa"/>
            <w:vAlign w:val="bottom"/>
            <w:gridSpan w:val="3"/>
          </w:tcPr>
          <w:p>
            <w:pPr>
              <w:ind w:left="60"/>
              <w:spacing w:after="0"/>
              <w:rPr>
                <w:sz w:val="20"/>
                <w:szCs w:val="20"/>
                <w:color w:val="auto"/>
              </w:rPr>
            </w:pPr>
            <w:r>
              <w:rPr>
                <w:rFonts w:ascii="Arial" w:cs="Arial" w:eastAsia="Arial" w:hAnsi="Arial"/>
                <w:sz w:val="15"/>
                <w:szCs w:val="15"/>
                <w:color w:val="auto"/>
              </w:rPr>
              <w:t>has increased</w:t>
            </w: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significantly</w:t>
            </w:r>
          </w:p>
        </w:tc>
        <w:tc>
          <w:tcPr>
            <w:tcW w:w="36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color w:val="auto"/>
                <w:w w:val="95"/>
              </w:rPr>
              <w:t>and</w:t>
            </w:r>
          </w:p>
        </w:tc>
        <w:tc>
          <w:tcPr>
            <w:tcW w:w="5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citizens by building</w:t>
            </w:r>
          </w:p>
        </w:tc>
        <w:tc>
          <w:tcPr>
            <w:tcW w:w="2360" w:type="dxa"/>
            <w:vAlign w:val="bottom"/>
            <w:tcBorders>
              <w:right w:val="single" w:sz="8" w:color="auto"/>
            </w:tcBorders>
            <w:gridSpan w:val="6"/>
          </w:tcPr>
          <w:p>
            <w:pPr>
              <w:ind w:left="60"/>
              <w:spacing w:after="0"/>
              <w:rPr>
                <w:sz w:val="20"/>
                <w:szCs w:val="20"/>
                <w:color w:val="auto"/>
              </w:rPr>
            </w:pPr>
            <w:r>
              <w:rPr>
                <w:rFonts w:ascii="Arial" w:cs="Arial" w:eastAsia="Arial" w:hAnsi="Arial"/>
                <w:sz w:val="15"/>
                <w:szCs w:val="15"/>
                <w:color w:val="auto"/>
              </w:rPr>
              <w:t>as   such,   our   efforts   to</w:t>
            </w:r>
          </w:p>
        </w:tc>
        <w:tc>
          <w:tcPr>
            <w:tcW w:w="5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relations based on</w:t>
            </w:r>
          </w:p>
        </w:tc>
        <w:tc>
          <w:tcPr>
            <w:tcW w:w="880" w:type="dxa"/>
            <w:vAlign w:val="bottom"/>
            <w:gridSpan w:val="2"/>
          </w:tcPr>
          <w:p>
            <w:pPr>
              <w:ind w:left="60"/>
              <w:spacing w:after="0"/>
              <w:rPr>
                <w:sz w:val="20"/>
                <w:szCs w:val="20"/>
                <w:color w:val="auto"/>
              </w:rPr>
            </w:pPr>
            <w:r>
              <w:rPr>
                <w:rFonts w:ascii="Arial" w:cs="Arial" w:eastAsia="Arial" w:hAnsi="Arial"/>
                <w:sz w:val="15"/>
                <w:szCs w:val="15"/>
                <w:color w:val="auto"/>
              </w:rPr>
              <w:t>implement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transparency and</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6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33"/>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40" w:type="dxa"/>
            <w:vAlign w:val="bottom"/>
          </w:tcPr>
          <w:p>
            <w:pPr>
              <w:ind w:left="5580"/>
              <w:spacing w:after="0"/>
              <w:rPr>
                <w:sz w:val="20"/>
                <w:szCs w:val="20"/>
                <w:color w:val="auto"/>
              </w:rPr>
            </w:pPr>
            <w:r>
              <w:rPr>
                <w:rFonts w:ascii="Arial" w:cs="Arial" w:eastAsia="Arial" w:hAnsi="Arial"/>
                <w:sz w:val="15"/>
                <w:szCs w:val="15"/>
                <w:color w:val="auto"/>
                <w:w w:val="87"/>
              </w:rPr>
              <w:t>147</w:t>
            </w:r>
          </w:p>
        </w:tc>
        <w:tc>
          <w:tcPr>
            <w:tcW w:w="0" w:type="dxa"/>
            <w:vAlign w:val="bottom"/>
          </w:tcPr>
          <w:p>
            <w:pPr>
              <w:spacing w:after="0"/>
              <w:rPr>
                <w:sz w:val="1"/>
                <w:szCs w:val="1"/>
                <w:color w:val="auto"/>
              </w:rPr>
            </w:pPr>
          </w:p>
        </w:tc>
      </w:tr>
      <w:tr>
        <w:trPr>
          <w:trHeight w:val="38"/>
        </w:trPr>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7" w:right="319" w:bottom="1440" w:gutter="0" w:footer="0" w:header="0"/>
        </w:sectPr>
      </w:pPr>
    </w:p>
    <w:bookmarkStart w:id="150" w:name="page151"/>
    <w:bookmarkEnd w:id="15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1580" w:type="dxa"/>
            <w:vAlign w:val="bottom"/>
          </w:tcPr>
          <w:p>
            <w:pPr>
              <w:jc w:val="center"/>
              <w:ind w:right="23"/>
              <w:spacing w:after="0"/>
              <w:rPr>
                <w:sz w:val="20"/>
                <w:szCs w:val="20"/>
                <w:color w:val="auto"/>
              </w:rPr>
            </w:pPr>
            <w:r>
              <w:rPr>
                <w:rFonts w:ascii="Arial" w:cs="Arial" w:eastAsia="Arial" w:hAnsi="Arial"/>
                <w:sz w:val="15"/>
                <w:szCs w:val="15"/>
                <w:color w:val="auto"/>
              </w:rPr>
              <w:t>simplicity with a focus</w:t>
            </w: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new procedures and controls to</w:t>
            </w:r>
          </w:p>
        </w:tc>
      </w:tr>
      <w:tr>
        <w:trPr>
          <w:trHeight w:val="173"/>
        </w:trPr>
        <w:tc>
          <w:tcPr>
            <w:tcW w:w="1580" w:type="dxa"/>
            <w:vAlign w:val="bottom"/>
          </w:tcPr>
          <w:p>
            <w:pPr>
              <w:jc w:val="center"/>
              <w:ind w:right="3"/>
              <w:spacing w:after="0"/>
              <w:rPr>
                <w:sz w:val="20"/>
                <w:szCs w:val="20"/>
                <w:color w:val="auto"/>
              </w:rPr>
            </w:pPr>
            <w:r>
              <w:rPr>
                <w:rFonts w:ascii="Arial" w:cs="Arial" w:eastAsia="Arial" w:hAnsi="Arial"/>
                <w:sz w:val="15"/>
                <w:szCs w:val="15"/>
                <w:color w:val="auto"/>
              </w:rPr>
              <w:t>on preventing</w:t>
            </w: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ensure  regulatory  compliance</w:t>
            </w:r>
          </w:p>
        </w:tc>
      </w:tr>
      <w:tr>
        <w:trPr>
          <w:trHeight w:val="173"/>
        </w:trPr>
        <w:tc>
          <w:tcPr>
            <w:tcW w:w="1580" w:type="dxa"/>
            <w:vAlign w:val="bottom"/>
          </w:tcPr>
          <w:p>
            <w:pPr>
              <w:jc w:val="center"/>
              <w:ind w:right="3"/>
              <w:spacing w:after="0"/>
              <w:rPr>
                <w:sz w:val="20"/>
                <w:szCs w:val="20"/>
                <w:color w:val="auto"/>
              </w:rPr>
            </w:pPr>
            <w:r>
              <w:rPr>
                <w:rFonts w:ascii="Arial" w:cs="Arial" w:eastAsia="Arial" w:hAnsi="Arial"/>
                <w:sz w:val="15"/>
                <w:szCs w:val="15"/>
                <w:color w:val="auto"/>
              </w:rPr>
              <w:t>contractual abuses</w:t>
            </w: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have  also  been  stepped  up.</w:t>
            </w:r>
          </w:p>
        </w:tc>
      </w:tr>
      <w:tr>
        <w:trPr>
          <w:trHeight w:val="173"/>
        </w:trPr>
        <w:tc>
          <w:tcPr>
            <w:tcW w:w="1580" w:type="dxa"/>
            <w:vAlign w:val="bottom"/>
          </w:tcPr>
          <w:p>
            <w:pPr>
              <w:jc w:val="center"/>
              <w:ind w:right="3"/>
              <w:spacing w:after="0"/>
              <w:rPr>
                <w:sz w:val="20"/>
                <w:szCs w:val="20"/>
                <w:color w:val="auto"/>
              </w:rPr>
            </w:pPr>
            <w:r>
              <w:rPr>
                <w:rFonts w:ascii="Arial" w:cs="Arial" w:eastAsia="Arial" w:hAnsi="Arial"/>
                <w:sz w:val="15"/>
                <w:szCs w:val="15"/>
                <w:color w:val="auto"/>
              </w:rPr>
              <w:t>and strengthening our</w:t>
            </w: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Given that we have a sizable</w:t>
            </w:r>
          </w:p>
        </w:tc>
      </w:tr>
      <w:tr>
        <w:trPr>
          <w:trHeight w:val="173"/>
        </w:trPr>
        <w:tc>
          <w:tcPr>
            <w:tcW w:w="1580" w:type="dxa"/>
            <w:vAlign w:val="bottom"/>
          </w:tcPr>
          <w:p>
            <w:pPr>
              <w:jc w:val="center"/>
              <w:ind w:right="23"/>
              <w:spacing w:after="0"/>
              <w:rPr>
                <w:sz w:val="20"/>
                <w:szCs w:val="20"/>
                <w:color w:val="auto"/>
              </w:rPr>
            </w:pPr>
            <w:r>
              <w:rPr>
                <w:rFonts w:ascii="Arial" w:cs="Arial" w:eastAsia="Arial" w:hAnsi="Arial"/>
                <w:sz w:val="15"/>
                <w:szCs w:val="15"/>
                <w:color w:val="auto"/>
              </w:rPr>
              <w:t>client-centered</w:t>
            </w: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share of the market, we actively</w:t>
            </w:r>
          </w:p>
        </w:tc>
      </w:tr>
      <w:tr>
        <w:trPr>
          <w:trHeight w:val="173"/>
        </w:trPr>
        <w:tc>
          <w:tcPr>
            <w:tcW w:w="1580" w:type="dxa"/>
            <w:vAlign w:val="bottom"/>
          </w:tcPr>
          <w:p>
            <w:pPr>
              <w:ind w:left="460"/>
              <w:spacing w:after="0"/>
              <w:rPr>
                <w:sz w:val="20"/>
                <w:szCs w:val="20"/>
                <w:color w:val="auto"/>
              </w:rPr>
            </w:pPr>
            <w:r>
              <w:rPr>
                <w:rFonts w:ascii="Arial" w:cs="Arial" w:eastAsia="Arial" w:hAnsi="Arial"/>
                <w:sz w:val="15"/>
                <w:szCs w:val="15"/>
                <w:color w:val="auto"/>
              </w:rPr>
              <w:t>culture.</w:t>
            </w:r>
          </w:p>
        </w:tc>
        <w:tc>
          <w:tcPr>
            <w:tcW w:w="1280" w:type="dxa"/>
            <w:vAlign w:val="bottom"/>
          </w:tcPr>
          <w:p>
            <w:pPr>
              <w:ind w:left="80"/>
              <w:spacing w:after="0"/>
              <w:rPr>
                <w:sz w:val="20"/>
                <w:szCs w:val="20"/>
                <w:color w:val="auto"/>
              </w:rPr>
            </w:pPr>
            <w:r>
              <w:rPr>
                <w:rFonts w:ascii="Arial" w:cs="Arial" w:eastAsia="Arial" w:hAnsi="Arial"/>
                <w:sz w:val="15"/>
                <w:szCs w:val="15"/>
                <w:color w:val="auto"/>
              </w:rPr>
              <w:t>collaborate</w:t>
            </w:r>
          </w:p>
        </w:tc>
        <w:tc>
          <w:tcPr>
            <w:tcW w:w="360" w:type="dxa"/>
            <w:vAlign w:val="bottom"/>
          </w:tcPr>
          <w:p>
            <w:pPr>
              <w:jc w:val="center"/>
              <w:spacing w:after="0"/>
              <w:rPr>
                <w:sz w:val="20"/>
                <w:szCs w:val="20"/>
                <w:color w:val="auto"/>
              </w:rPr>
            </w:pPr>
            <w:r>
              <w:rPr>
                <w:rFonts w:ascii="Arial" w:cs="Arial" w:eastAsia="Arial" w:hAnsi="Arial"/>
                <w:sz w:val="15"/>
                <w:szCs w:val="15"/>
                <w:color w:val="auto"/>
              </w:rPr>
              <w:t>with</w:t>
            </w:r>
          </w:p>
        </w:tc>
        <w:tc>
          <w:tcPr>
            <w:tcW w:w="660" w:type="dxa"/>
            <w:vAlign w:val="bottom"/>
          </w:tcPr>
          <w:p>
            <w:pPr>
              <w:jc w:val="right"/>
              <w:spacing w:after="0"/>
              <w:rPr>
                <w:sz w:val="20"/>
                <w:szCs w:val="20"/>
                <w:color w:val="auto"/>
              </w:rPr>
            </w:pPr>
            <w:r>
              <w:rPr>
                <w:rFonts w:ascii="Arial" w:cs="Arial" w:eastAsia="Arial" w:hAnsi="Arial"/>
                <w:sz w:val="15"/>
                <w:szCs w:val="15"/>
                <w:color w:val="auto"/>
              </w:rPr>
              <w:t>the</w:t>
            </w:r>
          </w:p>
        </w:tc>
      </w:tr>
      <w:tr>
        <w:trPr>
          <w:trHeight w:val="173"/>
        </w:trPr>
        <w:tc>
          <w:tcPr>
            <w:tcW w:w="15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Arial" w:cs="Arial" w:eastAsia="Arial" w:hAnsi="Arial"/>
                <w:sz w:val="15"/>
                <w:szCs w:val="15"/>
                <w:color w:val="auto"/>
              </w:rPr>
              <w:t>Superintendency</w:t>
            </w:r>
          </w:p>
        </w:tc>
        <w:tc>
          <w:tcPr>
            <w:tcW w:w="360" w:type="dxa"/>
            <w:vAlign w:val="bottom"/>
          </w:tcPr>
          <w:p>
            <w:pPr>
              <w:jc w:val="center"/>
              <w:spacing w:after="0"/>
              <w:rPr>
                <w:sz w:val="20"/>
                <w:szCs w:val="20"/>
                <w:color w:val="auto"/>
              </w:rPr>
            </w:pPr>
            <w:r>
              <w:rPr>
                <w:rFonts w:ascii="Arial" w:cs="Arial" w:eastAsia="Arial" w:hAnsi="Arial"/>
                <w:sz w:val="15"/>
                <w:szCs w:val="15"/>
                <w:color w:val="auto"/>
                <w:w w:val="95"/>
              </w:rPr>
              <w:t>of</w:t>
            </w:r>
          </w:p>
        </w:tc>
        <w:tc>
          <w:tcPr>
            <w:tcW w:w="660" w:type="dxa"/>
            <w:vAlign w:val="bottom"/>
          </w:tcPr>
          <w:p>
            <w:pPr>
              <w:jc w:val="right"/>
              <w:spacing w:after="0"/>
              <w:rPr>
                <w:sz w:val="20"/>
                <w:szCs w:val="20"/>
                <w:color w:val="auto"/>
              </w:rPr>
            </w:pPr>
            <w:r>
              <w:rPr>
                <w:rFonts w:ascii="Arial" w:cs="Arial" w:eastAsia="Arial" w:hAnsi="Arial"/>
                <w:sz w:val="15"/>
                <w:szCs w:val="15"/>
                <w:color w:val="auto"/>
              </w:rPr>
              <w:t>Banking,</w:t>
            </w:r>
          </w:p>
        </w:tc>
      </w:tr>
      <w:tr>
        <w:trPr>
          <w:trHeight w:val="173"/>
        </w:trPr>
        <w:tc>
          <w:tcPr>
            <w:tcW w:w="1580" w:type="dxa"/>
            <w:vAlign w:val="bottom"/>
          </w:tcPr>
          <w:p>
            <w:pPr>
              <w:spacing w:after="0"/>
              <w:rPr>
                <w:sz w:val="15"/>
                <w:szCs w:val="15"/>
                <w:color w:val="auto"/>
              </w:rPr>
            </w:pP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Insurance and AFP (SBS) and</w:t>
            </w:r>
          </w:p>
        </w:tc>
      </w:tr>
      <w:tr>
        <w:trPr>
          <w:trHeight w:val="173"/>
        </w:trPr>
        <w:tc>
          <w:tcPr>
            <w:tcW w:w="1580" w:type="dxa"/>
            <w:vAlign w:val="bottom"/>
          </w:tcPr>
          <w:p>
            <w:pPr>
              <w:spacing w:after="0"/>
              <w:rPr>
                <w:sz w:val="15"/>
                <w:szCs w:val="15"/>
                <w:color w:val="auto"/>
              </w:rPr>
            </w:pP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the  Association  of  Banks  to</w:t>
            </w:r>
          </w:p>
        </w:tc>
      </w:tr>
      <w:tr>
        <w:trPr>
          <w:trHeight w:val="173"/>
        </w:trPr>
        <w:tc>
          <w:tcPr>
            <w:tcW w:w="1580" w:type="dxa"/>
            <w:vAlign w:val="bottom"/>
          </w:tcPr>
          <w:p>
            <w:pPr>
              <w:spacing w:after="0"/>
              <w:rPr>
                <w:sz w:val="15"/>
                <w:szCs w:val="15"/>
                <w:color w:val="auto"/>
              </w:rPr>
            </w:pP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develop  a  healthier  and  pro-</w:t>
            </w:r>
          </w:p>
        </w:tc>
      </w:tr>
      <w:tr>
        <w:trPr>
          <w:trHeight w:val="173"/>
        </w:trPr>
        <w:tc>
          <w:tcPr>
            <w:tcW w:w="15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Arial" w:cs="Arial" w:eastAsia="Arial" w:hAnsi="Arial"/>
                <w:sz w:val="15"/>
                <w:szCs w:val="15"/>
                <w:color w:val="auto"/>
              </w:rPr>
              <w:t>client economy.</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1580" w:type="dxa"/>
            <w:vAlign w:val="bottom"/>
          </w:tcPr>
          <w:p>
            <w:pPr>
              <w:spacing w:after="0"/>
              <w:rPr>
                <w:sz w:val="15"/>
                <w:szCs w:val="15"/>
                <w:color w:val="auto"/>
              </w:rPr>
            </w:pPr>
          </w:p>
        </w:tc>
        <w:tc>
          <w:tcPr>
            <w:tcW w:w="2300" w:type="dxa"/>
            <w:vAlign w:val="bottom"/>
            <w:gridSpan w:val="3"/>
          </w:tcPr>
          <w:p>
            <w:pPr>
              <w:ind w:left="80"/>
              <w:spacing w:after="0"/>
              <w:rPr>
                <w:sz w:val="20"/>
                <w:szCs w:val="20"/>
                <w:color w:val="auto"/>
              </w:rPr>
            </w:pPr>
            <w:r>
              <w:rPr>
                <w:rFonts w:ascii="Arial" w:cs="Arial" w:eastAsia="Arial" w:hAnsi="Arial"/>
                <w:sz w:val="15"/>
                <w:szCs w:val="15"/>
                <w:color w:val="auto"/>
              </w:rPr>
              <w:t>The main regulations are:</w:t>
            </w:r>
          </w:p>
        </w:tc>
      </w:tr>
    </w:tbl>
    <w:p>
      <w:pPr>
        <w:ind w:left="2260" w:hanging="260"/>
        <w:spacing w:after="0"/>
        <w:tabs>
          <w:tab w:leader="none" w:pos="22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Market Conduct Regulation</w:t>
      </w:r>
    </w:p>
    <w:p>
      <w:pPr>
        <w:ind w:left="2260" w:hanging="260"/>
        <w:spacing w:after="0"/>
        <w:tabs>
          <w:tab w:leader="none" w:pos="22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Regulation for cards.</w:t>
      </w:r>
    </w:p>
    <w:p>
      <w:pPr>
        <w:ind w:left="2280" w:right="160" w:hanging="280"/>
        <w:spacing w:after="0"/>
        <w:tabs>
          <w:tab w:leader="none" w:pos="226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Law 31143: Law to protect against usury.</w:t>
      </w:r>
    </w:p>
    <w:p>
      <w:pPr>
        <w:ind w:left="2280" w:right="60" w:hanging="280"/>
        <w:spacing w:after="0"/>
        <w:tabs>
          <w:tab w:leader="none" w:pos="226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SBS Regulation for Fees and Expenses (published in 2021).</w:t>
      </w:r>
    </w:p>
    <w:p>
      <w:pPr>
        <w:spacing w:after="0" w:line="1" w:lineRule="exact"/>
        <w:rPr>
          <w:rFonts w:ascii="Arial" w:cs="Arial" w:eastAsia="Arial" w:hAnsi="Arial"/>
          <w:sz w:val="15"/>
          <w:szCs w:val="15"/>
          <w:color w:val="auto"/>
        </w:rPr>
      </w:pPr>
    </w:p>
    <w:p>
      <w:pPr>
        <w:ind w:left="2280" w:right="140" w:hanging="280"/>
        <w:spacing w:after="0"/>
        <w:tabs>
          <w:tab w:leader="none" w:pos="226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Provisions to apply maximum rates (published in 2022)</w:t>
      </w:r>
    </w:p>
    <w:p>
      <w:pPr>
        <w:spacing w:after="0" w:line="1" w:lineRule="exact"/>
        <w:rPr>
          <w:rFonts w:ascii="Arial" w:cs="Arial" w:eastAsia="Arial" w:hAnsi="Arial"/>
          <w:sz w:val="15"/>
          <w:szCs w:val="15"/>
          <w:color w:val="auto"/>
        </w:rPr>
      </w:pPr>
    </w:p>
    <w:p>
      <w:pPr>
        <w:ind w:left="2280" w:right="80" w:hanging="280"/>
        <w:spacing w:after="0" w:line="249" w:lineRule="auto"/>
        <w:tabs>
          <w:tab w:leader="none" w:pos="226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Rules for Complaints and Requirements (published in 2022)</w:t>
      </w:r>
    </w:p>
    <w:p>
      <w:pPr>
        <w:spacing w:after="0" w:line="20" w:lineRule="exact"/>
        <w:rPr>
          <w:sz w:val="20"/>
          <w:szCs w:val="20"/>
          <w:color w:val="auto"/>
        </w:rPr>
      </w:pPr>
      <w:r>
        <w:rPr>
          <w:sz w:val="20"/>
          <w:szCs w:val="20"/>
          <w:color w:val="auto"/>
        </w:rPr>
        <w:br w:type="column"/>
      </w:r>
    </w:p>
    <w:p>
      <w:pPr>
        <w:jc w:val="both"/>
        <w:ind w:right="80"/>
        <w:spacing w:after="0" w:line="246" w:lineRule="auto"/>
        <w:rPr>
          <w:sz w:val="20"/>
          <w:szCs w:val="20"/>
          <w:color w:val="auto"/>
        </w:rPr>
      </w:pPr>
      <w:r>
        <w:rPr>
          <w:rFonts w:ascii="Arial" w:cs="Arial" w:eastAsia="Arial" w:hAnsi="Arial"/>
          <w:sz w:val="15"/>
          <w:szCs w:val="15"/>
          <w:color w:val="auto"/>
        </w:rPr>
        <w:t>All of the employees of BCP, Pacífico Seguros and Mibanco Perú have completed training. The objective of this program is to ensure that employees internalize guideline for good selling practices and customer service. Training is conducted annually and we obtained an average rating of 19 out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-492125</wp:posOffset>
            </wp:positionV>
            <wp:extent cx="7152640" cy="38214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2640" cy="382143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Monitoring</w:t>
      </w:r>
    </w:p>
    <w:p>
      <w:pPr>
        <w:spacing w:after="0" w:line="18" w:lineRule="exact"/>
        <w:rPr>
          <w:sz w:val="20"/>
          <w:szCs w:val="20"/>
          <w:color w:val="auto"/>
        </w:rPr>
      </w:pPr>
    </w:p>
    <w:p>
      <w:pPr>
        <w:jc w:val="both"/>
        <w:ind w:right="80"/>
        <w:spacing w:after="0" w:line="245" w:lineRule="auto"/>
        <w:rPr>
          <w:sz w:val="20"/>
          <w:szCs w:val="20"/>
          <w:color w:val="auto"/>
        </w:rPr>
      </w:pPr>
      <w:r>
        <w:rPr>
          <w:rFonts w:ascii="Arial" w:cs="Arial" w:eastAsia="Arial" w:hAnsi="Arial"/>
          <w:sz w:val="15"/>
          <w:szCs w:val="15"/>
          <w:color w:val="auto"/>
        </w:rPr>
        <w:t>In 2022, BCP conducted monitoring and through visits and incognito visits to branches and calls to the call center. This monitoring measured the knowledge of products and services to ensure that clients receive advice that suits their needs. In 2022, 90% of clients were classified as “totally satisfied clients.” This topped the result of 89% registered at the end of 2021.</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w:t>
      </w:r>
    </w:p>
    <w:p>
      <w:pPr>
        <w:spacing w:after="0" w:line="18"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auto"/>
        </w:rPr>
        <w:t>Our controls allow us to detect sales that do not correspond to our clients’ requests or which violate some internal regulation for products that entail debt purchases, credit-card loans, cash loans, loans to the SME-Pyme segment (Small and Medium businesses) and optional insurance. At least 2.1% of Retail loans at BCP were considered irresponsible sales. Around 964 employees were sanctioned for this behavior.</w:t>
      </w:r>
    </w:p>
    <w:p>
      <w:pPr>
        <w:spacing w:after="0" w:line="158" w:lineRule="exact"/>
        <w:rPr>
          <w:sz w:val="20"/>
          <w:szCs w:val="20"/>
          <w:color w:val="auto"/>
        </w:rPr>
      </w:pPr>
    </w:p>
    <w:p>
      <w:pPr>
        <w:jc w:val="both"/>
        <w:ind w:right="80"/>
        <w:spacing w:after="0" w:line="249" w:lineRule="auto"/>
        <w:rPr>
          <w:sz w:val="20"/>
          <w:szCs w:val="20"/>
          <w:color w:val="auto"/>
        </w:rPr>
      </w:pPr>
      <w:r>
        <w:rPr>
          <w:rFonts w:ascii="Arial" w:cs="Arial" w:eastAsia="Arial" w:hAnsi="Arial"/>
          <w:sz w:val="15"/>
          <w:szCs w:val="15"/>
          <w:color w:val="auto"/>
        </w:rPr>
        <w:t>At Mibanco Perú, at the beginning of 2022 a Responsible Selling Policy was rolled out. This year, loan disbursements, time account openings and bank drafts in the national territory were monitored.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Supervision</w:t>
      </w:r>
    </w:p>
    <w:p>
      <w:pPr>
        <w:spacing w:after="0" w:line="18"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auto"/>
        </w:rPr>
        <w:t xml:space="preserve">To continue improving and fine-tuning our relations with users, we published the Codes of Good Practices from BCP, Mi Banco </w:t>
      </w:r>
      <w:r>
        <w:rPr>
          <w:rFonts w:ascii="Arial" w:cs="Arial" w:eastAsia="Arial" w:hAnsi="Arial"/>
          <w:sz w:val="15"/>
          <w:szCs w:val="15"/>
          <w:u w:val="single" w:color="auto"/>
          <w:color w:val="auto"/>
        </w:rPr>
        <w:t>and Pacifico</w:t>
      </w:r>
      <w:r>
        <w:rPr>
          <w:rFonts w:ascii="Arial" w:cs="Arial" w:eastAsia="Arial" w:hAnsi="Arial"/>
          <w:sz w:val="15"/>
          <w:szCs w:val="15"/>
          <w:color w:val="auto"/>
        </w:rPr>
        <w:t xml:space="preserve"> in the “Transparency” section of the web pages of these entities. These documents outline the main actions taken over the last year and provide information on financial education, information transparency, service quality and direction, claims management, business practices and security.</w:t>
      </w:r>
    </w:p>
    <w:p>
      <w:pPr>
        <w:spacing w:after="0" w:line="158" w:lineRule="exact"/>
        <w:rPr>
          <w:sz w:val="20"/>
          <w:szCs w:val="20"/>
          <w:color w:val="auto"/>
        </w:rPr>
      </w:pPr>
    </w:p>
    <w:p>
      <w:pPr>
        <w:jc w:val="both"/>
        <w:ind w:right="80"/>
        <w:spacing w:after="0" w:line="258" w:lineRule="auto"/>
        <w:rPr>
          <w:sz w:val="20"/>
          <w:szCs w:val="20"/>
          <w:color w:val="auto"/>
        </w:rPr>
      </w:pPr>
      <w:r>
        <w:rPr>
          <w:rFonts w:ascii="Arial" w:cs="Arial" w:eastAsia="Arial" w:hAnsi="Arial"/>
          <w:sz w:val="15"/>
          <w:szCs w:val="15"/>
          <w:color w:val="auto"/>
        </w:rPr>
        <w:t>For more detail on the initiatives related to Simplicity and Transparency, see the Simplicity and Transparency that Generates Trust section.</w:t>
      </w:r>
    </w:p>
    <w:p>
      <w:pPr>
        <w:spacing w:after="0" w:line="200" w:lineRule="exact"/>
        <w:rPr>
          <w:sz w:val="20"/>
          <w:szCs w:val="20"/>
          <w:color w:val="auto"/>
        </w:rPr>
      </w:pPr>
    </w:p>
    <w:p>
      <w:pPr>
        <w:sectPr>
          <w:pgSz w:w="11900" w:h="16838" w:orient="portrait"/>
          <w:cols w:equalWidth="0" w:num="2">
            <w:col w:w="4220" w:space="140"/>
            <w:col w:w="5780"/>
          </w:cols>
          <w:pgMar w:left="1440" w:top="416" w:right="319" w:bottom="1440" w:gutter="0" w:footer="0" w:header="0"/>
        </w:sectPr>
      </w:pPr>
    </w:p>
    <w:p>
      <w:pPr>
        <w:spacing w:after="0" w:line="167"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29845</wp:posOffset>
            </wp:positionV>
            <wp:extent cx="7152640" cy="146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140"/>
          </w:cols>
          <w:pgMar w:left="1440" w:top="416" w:right="31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25"/>
          <w:szCs w:val="25"/>
          <w:b w:val="1"/>
          <w:bCs w:val="1"/>
          <w:color w:val="auto"/>
        </w:rPr>
        <w:t>Human Rights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43344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 </w:t>
      </w:r>
      <w:r>
        <w:rPr>
          <w:rFonts w:ascii="Arial" w:cs="Arial" w:eastAsia="Arial" w:hAnsi="Arial"/>
          <w:sz w:val="15"/>
          <w:szCs w:val="15"/>
          <w:color w:val="auto"/>
        </w:rPr>
        <w:t>Human Rights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believe that Human Rights constitutes a material issue to business sustainability and as such, have developed an articulated and comprehensive approach to handle this front. Execution began at the end of 2021 and in 2022, we rolled out the following stages:</w:t>
      </w:r>
    </w:p>
    <w:p>
      <w:pPr>
        <w:spacing w:after="0" w:line="139" w:lineRule="exact"/>
        <w:rPr>
          <w:sz w:val="20"/>
          <w:szCs w:val="20"/>
          <w:color w:val="auto"/>
        </w:rPr>
      </w:pPr>
    </w:p>
    <w:p>
      <w:pPr>
        <w:jc w:val="both"/>
        <w:ind w:left="540" w:right="20" w:hanging="271"/>
        <w:spacing w:after="0" w:line="254" w:lineRule="auto"/>
        <w:tabs>
          <w:tab w:leader="none" w:pos="54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Commitment </w:t>
      </w:r>
      <w:r>
        <w:rPr>
          <w:rFonts w:ascii="Arial" w:cs="Arial" w:eastAsia="Arial" w:hAnsi="Arial"/>
          <w:sz w:val="15"/>
          <w:szCs w:val="15"/>
          <w:color w:val="auto"/>
        </w:rPr>
        <w:t>– We inserted our public commitment in our Code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Ethics (See section: “People and Fundamental Rights are always first”) and Credicorp’s Board Of Directors approved our </w:t>
      </w:r>
      <w:r>
        <w:rPr>
          <w:rFonts w:ascii="Arial" w:cs="Arial" w:eastAsia="Arial" w:hAnsi="Arial"/>
          <w:sz w:val="15"/>
          <w:szCs w:val="15"/>
          <w:u w:val="single" w:color="auto"/>
          <w:color w:val="0563C9"/>
        </w:rPr>
        <w:t>Corporate Human</w:t>
      </w:r>
      <w:r>
        <w:rPr>
          <w:rFonts w:ascii="Arial" w:cs="Arial" w:eastAsia="Arial" w:hAnsi="Arial"/>
          <w:sz w:val="15"/>
          <w:szCs w:val="15"/>
          <w:color w:val="auto"/>
        </w:rPr>
        <w:t xml:space="preserve"> </w:t>
      </w:r>
      <w:r>
        <w:rPr>
          <w:rFonts w:ascii="Arial" w:cs="Arial" w:eastAsia="Arial" w:hAnsi="Arial"/>
          <w:sz w:val="15"/>
          <w:szCs w:val="15"/>
          <w:u w:val="single" w:color="auto"/>
          <w:color w:val="0563C9"/>
        </w:rPr>
        <w:t>Rights Policy</w:t>
      </w:r>
      <w:r>
        <w:rPr>
          <w:rFonts w:ascii="Arial" w:cs="Arial" w:eastAsia="Arial" w:hAnsi="Arial"/>
          <w:sz w:val="15"/>
          <w:szCs w:val="15"/>
          <w:color w:val="000000"/>
        </w:rPr>
        <w:t>.</w:t>
      </w:r>
    </w:p>
    <w:p>
      <w:pPr>
        <w:spacing w:after="0" w:line="134" w:lineRule="exact"/>
        <w:rPr>
          <w:rFonts w:ascii="Arial" w:cs="Arial" w:eastAsia="Arial" w:hAnsi="Arial"/>
          <w:sz w:val="15"/>
          <w:szCs w:val="15"/>
          <w:color w:val="auto"/>
        </w:rPr>
      </w:pPr>
    </w:p>
    <w:p>
      <w:pPr>
        <w:jc w:val="both"/>
        <w:ind w:left="540" w:right="20" w:hanging="271"/>
        <w:spacing w:after="0" w:line="244" w:lineRule="auto"/>
        <w:tabs>
          <w:tab w:leader="none" w:pos="54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Identification of Risks and Controls </w:t>
      </w:r>
      <w:r>
        <w:rPr>
          <w:rFonts w:ascii="Arial" w:cs="Arial" w:eastAsia="Arial" w:hAnsi="Arial"/>
          <w:sz w:val="15"/>
          <w:szCs w:val="15"/>
          <w:color w:val="auto"/>
        </w:rPr>
        <w:t>– We identified, assessed and</w:t>
      </w:r>
      <w:r>
        <w:rPr>
          <w:rFonts w:ascii="Arial" w:cs="Arial" w:eastAsia="Arial" w:hAnsi="Arial"/>
          <w:sz w:val="15"/>
          <w:szCs w:val="15"/>
          <w:b w:val="1"/>
          <w:bCs w:val="1"/>
          <w:color w:val="auto"/>
        </w:rPr>
        <w:t xml:space="preserve"> </w:t>
      </w:r>
      <w:r>
        <w:rPr>
          <w:rFonts w:ascii="Arial" w:cs="Arial" w:eastAsia="Arial" w:hAnsi="Arial"/>
          <w:sz w:val="15"/>
          <w:szCs w:val="15"/>
          <w:color w:val="auto"/>
        </w:rPr>
        <w:t>analyzed Human Rights risks to identify the most relevant scenarios, beginning with BCP, Credicorp’s main subsidiary. This assessment was conducted by an external consultant and a multi-disciplinary team comprised of all of the areas that manage risks related to Human Rights to collect information and determine exposure. Some of the areas involved were: corporate procurement, Labor Relations, Compliance and Ethics and Sustainability. Issues such as discrimination, labor rights, information transparency, anti-corruption, digital gaps and others were addressed in the process to develop a Human Rights risk matrix that identifies the impacts, perceptions and priorities of Human Rights within each of our stakeholder groups.</w:t>
      </w:r>
    </w:p>
    <w:p>
      <w:pPr>
        <w:spacing w:after="0" w:line="316" w:lineRule="exact"/>
        <w:rPr>
          <w:rFonts w:ascii="Arial" w:cs="Arial" w:eastAsia="Arial" w:hAnsi="Arial"/>
          <w:sz w:val="15"/>
          <w:szCs w:val="15"/>
          <w:color w:val="auto"/>
        </w:rPr>
      </w:pPr>
    </w:p>
    <w:p>
      <w:pPr>
        <w:jc w:val="both"/>
        <w:ind w:left="540" w:right="20" w:hanging="271"/>
        <w:spacing w:after="0" w:line="251" w:lineRule="auto"/>
        <w:tabs>
          <w:tab w:leader="none" w:pos="54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Proposal for plans of action </w:t>
      </w:r>
      <w:r>
        <w:rPr>
          <w:rFonts w:ascii="Arial" w:cs="Arial" w:eastAsia="Arial" w:hAnsi="Arial"/>
          <w:sz w:val="15"/>
          <w:szCs w:val="15"/>
          <w:color w:val="auto"/>
        </w:rPr>
        <w:t>–these plans will develop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results of the analysis of identified risks and consequent controls, which will be conducted in 2023. These will include training, dissemination of our guidelines and efforts to establish supervision and reporting mechanisms.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Steps 1 and 2 in 2022 generated awareness of these issues in key areas. As part of the process, training sessions were held with leaders of the main areas in July to ensure that their work, as well as that of their teams, contemplates a human rights focus. Our objective for next year is to establish Human Rights governance at the corporate level to articulate and ensure the execution of the plans that are developed through this analysis.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15"/>
          <w:szCs w:val="15"/>
          <w:b w:val="1"/>
          <w:bCs w:val="1"/>
          <w:color w:val="4472C4"/>
        </w:rPr>
        <w:t>WE STRENGTHENED OUR COMMITMENT TO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122555</wp:posOffset>
            </wp:positionV>
            <wp:extent cx="2927985" cy="15741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927985" cy="157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60"/>
        <w:spacing w:after="0" w:line="249" w:lineRule="auto"/>
        <w:rPr>
          <w:sz w:val="20"/>
          <w:szCs w:val="20"/>
          <w:color w:val="auto"/>
        </w:rPr>
      </w:pPr>
      <w:r>
        <w:rPr>
          <w:rFonts w:ascii="Arial" w:cs="Arial" w:eastAsia="Arial" w:hAnsi="Arial"/>
          <w:sz w:val="15"/>
          <w:szCs w:val="15"/>
          <w:color w:val="auto"/>
        </w:rPr>
        <w:t xml:space="preserve">For more details on initiatives and progress related to other Compliance policies, please see section </w:t>
      </w:r>
      <w:r>
        <w:rPr>
          <w:rFonts w:ascii="Arial" w:cs="Arial" w:eastAsia="Arial" w:hAnsi="Arial"/>
          <w:sz w:val="15"/>
          <w:szCs w:val="15"/>
          <w:i w:val="1"/>
          <w:iCs w:val="1"/>
          <w:color w:val="auto"/>
        </w:rPr>
        <w:t>“Other corporate Compliance policies”</w:t>
      </w:r>
      <w:r>
        <w:rPr>
          <w:rFonts w:ascii="Arial" w:cs="Arial" w:eastAsia="Arial" w:hAnsi="Arial"/>
          <w:sz w:val="15"/>
          <w:szCs w:val="15"/>
          <w:color w:val="auto"/>
        </w:rPr>
        <w:t xml:space="preserve"> and the section on </w:t>
      </w:r>
      <w:r>
        <w:rPr>
          <w:rFonts w:ascii="Arial" w:cs="Arial" w:eastAsia="Arial" w:hAnsi="Arial"/>
          <w:sz w:val="15"/>
          <w:szCs w:val="15"/>
          <w:u w:val="single" w:color="auto"/>
          <w:color w:val="0563C9"/>
        </w:rPr>
        <w:t>Compliance and Ethics</w:t>
      </w:r>
      <w:r>
        <w:rPr>
          <w:rFonts w:ascii="Arial" w:cs="Arial" w:eastAsia="Arial" w:hAnsi="Arial"/>
          <w:sz w:val="15"/>
          <w:szCs w:val="15"/>
          <w:color w:val="auto"/>
        </w:rPr>
        <w:t xml:space="preserve"> on Credicorp’s web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06" w:right="319" w:bottom="1440" w:gutter="0" w:footer="0" w:header="0"/>
        </w:sectPr>
      </w:pPr>
    </w:p>
    <w:bookmarkStart w:id="152" w:name="page153"/>
    <w:bookmarkEnd w:id="152"/>
    <w:p>
      <w:pPr>
        <w:ind w:right="1240"/>
        <w:spacing w:after="0" w:line="273" w:lineRule="auto"/>
        <w:rPr>
          <w:sz w:val="20"/>
          <w:szCs w:val="20"/>
          <w:color w:val="auto"/>
        </w:rPr>
      </w:pPr>
      <w:r>
        <w:rPr>
          <w:rFonts w:ascii="Arial" w:cs="Arial" w:eastAsia="Arial" w:hAnsi="Arial"/>
          <w:sz w:val="28"/>
          <w:szCs w:val="28"/>
          <w:b w:val="1"/>
          <w:bCs w:val="1"/>
          <w:color w:val="auto"/>
        </w:rPr>
        <w:t>Control Systems and Corporate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343344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90" w:lineRule="exact"/>
        <w:rPr>
          <w:sz w:val="20"/>
          <w:szCs w:val="20"/>
          <w:color w:val="auto"/>
        </w:rPr>
      </w:pPr>
    </w:p>
    <w:p>
      <w:pPr>
        <w:ind w:right="480"/>
        <w:spacing w:after="0" w:line="253" w:lineRule="auto"/>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Comprehensive Risk Management, Cybersecurity, Data</w:t>
      </w:r>
      <w:r>
        <w:rPr>
          <w:rFonts w:ascii="Arial" w:cs="Arial" w:eastAsia="Arial" w:hAnsi="Arial"/>
          <w:sz w:val="15"/>
          <w:szCs w:val="15"/>
          <w:b w:val="1"/>
          <w:bCs w:val="1"/>
          <w:color w:val="auto"/>
        </w:rPr>
        <w:t xml:space="preserve"> </w:t>
      </w:r>
      <w:r>
        <w:rPr>
          <w:rFonts w:ascii="Arial" w:cs="Arial" w:eastAsia="Arial" w:hAnsi="Arial"/>
          <w:sz w:val="15"/>
          <w:szCs w:val="15"/>
          <w:color w:val="auto"/>
        </w:rPr>
        <w:t>Privacy.</w:t>
      </w: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3-3, 207-1, 207-2, 207-3</w:t>
      </w:r>
    </w:p>
    <w:p>
      <w:pPr>
        <w:spacing w:after="0"/>
        <w:rPr>
          <w:sz w:val="20"/>
          <w:szCs w:val="20"/>
          <w:color w:val="auto"/>
        </w:rPr>
      </w:pPr>
      <w:r>
        <w:rPr>
          <w:rFonts w:ascii="Arial" w:cs="Arial" w:eastAsia="Arial" w:hAnsi="Arial"/>
          <w:sz w:val="15"/>
          <w:szCs w:val="15"/>
          <w:b w:val="1"/>
          <w:bCs w:val="1"/>
          <w:i w:val="1"/>
          <w:iCs w:val="1"/>
          <w:color w:val="auto"/>
        </w:rPr>
        <w:t xml:space="preserve">SASB </w:t>
      </w:r>
      <w:r>
        <w:rPr>
          <w:rFonts w:ascii="Arial" w:cs="Arial" w:eastAsia="Arial" w:hAnsi="Arial"/>
          <w:sz w:val="15"/>
          <w:szCs w:val="15"/>
          <w:i w:val="1"/>
          <w:iCs w:val="1"/>
          <w:color w:val="auto"/>
        </w:rPr>
        <w:t>FN-CB-230a.1, FN-CB-230a.2</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1</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2F5496"/>
        </w:rPr>
        <w:t>Cibersecurity</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Value creation at companies and effective digitalization go hand-in-hand. As part of the objective of companies to digitally transform, Cybersecurity has become a critical enabler to ensure business continuity, resilience, and data privacy.</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a complex international environment, cybersecurity attacks are on the rise and growing increasingly sophisticated. Consequently, our cybersecurity must adapt and keep a step ahead. Additionally, we have made relevant changes to how we work to contemplate long-term remote or hybrid work models. This is particularly challenging in that it entails both protecting security and providing employees with efficient access to their applications and work tools.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Credicorp and a number of its stakeholders considered cybersecurity the second most important issue in the materiality analysis. Consequently, Credicorp addresses Cybersecurity as a relevant risk and all its businesses actively incorporate this risk in their strategic plans, using proven, objective, and data-based strategies to protect their organizations. The ultimate goal is to ensure that Credicorp remains resilient to cyber incidents.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Governance Framework</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Given its relevance, cybersecurity at Credicorp involves the entire organization, both at the corporate level and at the subsidiary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Members of the Board and Executive Management make periodic statements about the cybersecurity risks and threats that have been identified across the organization. Likewise, the Cybersecurity strategy is constantly reviewed considering the global scenario, regulations, best practices, and standards, in order to ensure business continuity, resilience, and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-2066290</wp:posOffset>
            </wp:positionV>
            <wp:extent cx="2927985" cy="13982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27985" cy="1398270"/>
                    </a:xfrm>
                    <a:prstGeom prst="rect">
                      <a:avLst/>
                    </a:prstGeom>
                    <a:noFill/>
                  </pic:spPr>
                </pic:pic>
              </a:graphicData>
            </a:graphic>
          </wp:anchor>
        </w:drawing>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Credicorp has developed a set of information security and cybersecurity policies for risk management and the protection of information security, personal data, and technological assets. Our Information Security Policy provides a reference framework to guide management of Credicorp’s information assets. The scope of this policy applies to both the group’s employees and third-party providers with access to confidential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Cybersecurity Program</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Cybersecurity Program promotes on-going assessment of cybersecurity efforts and initiatives to inform improvement. The Program’s purpose is to help the Group understand its cybersecurity risks and aid in efforts to identify, assess, mitigate and monitor the cybernetic risks to which our companies are exposed. This Program works hand-in-hand with Business Continuity management to ensure that Credicorp and its subsidiaries are well equipped to continue exercising essential functions in the event of cyberattacks that interrupt operativity or services. This program includes: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09" w:right="31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447040</wp:posOffset>
            </wp:positionH>
            <wp:positionV relativeFrom="page">
              <wp:posOffset>88900</wp:posOffset>
            </wp:positionV>
            <wp:extent cx="2927985" cy="129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2927985"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Credicorp is aware that Cybersecurity must be a collective effort across sectors and instances. To facilitate coordination and discussion, Credicorp participates in a number of external efforts relative to cyber risk and data security. Therefore, from the </w:t>
      </w:r>
      <w:r>
        <w:rPr>
          <w:rFonts w:ascii="Arial" w:cs="Arial" w:eastAsia="Arial" w:hAnsi="Arial"/>
          <w:sz w:val="15"/>
          <w:szCs w:val="15"/>
          <w:i w:val="1"/>
          <w:iCs w:val="1"/>
          <w:color w:val="auto"/>
        </w:rPr>
        <w:t>Corporate Security &amp; Cybercrime Operations Center</w:t>
      </w:r>
      <w:r>
        <w:rPr>
          <w:rFonts w:ascii="Arial" w:cs="Arial" w:eastAsia="Arial" w:hAnsi="Arial"/>
          <w:sz w:val="15"/>
          <w:szCs w:val="15"/>
          <w:color w:val="auto"/>
        </w:rPr>
        <w:t>, we preside over the Strategic Committee of Comprehensive Security Risks and the Technical Committee for Information Security of the Association of Banks of Peru (ASBANC). We also sit on the Executive Committee for Risk relative to VISA payments for LAC, participate in FELABAN, and on the Consulting Committee of CELAES (Committee of Latin American Experts on Banking Security). At the country level, Credicorp participates in the Permanent Round Table for Digital Confidence presided by the General Secretariat for Digital Security and Digital Confidence of the Presidency of the Council of Ministers (PCM).</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Results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have no successful cyberattacks to report as of the date of publication of this Annual Report. Nonetheless, we remain vigilant and are prepared to defend against cyber threats by constantly monitoring our network, applications, servers and the effectiveness of our controls.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860" w:type="dxa"/>
            <w:vAlign w:val="bottom"/>
            <w:tcBorders>
              <w:top w:val="single" w:sz="8" w:color="auto"/>
              <w:left w:val="single" w:sz="8" w:color="auto"/>
              <w:bottom w:val="single" w:sz="8" w:color="8EAADB"/>
              <w:right w:val="single" w:sz="8" w:color="auto"/>
            </w:tcBorders>
          </w:tcPr>
          <w:p>
            <w:pPr>
              <w:ind w:left="120"/>
              <w:spacing w:after="0"/>
              <w:rPr>
                <w:sz w:val="20"/>
                <w:szCs w:val="20"/>
                <w:color w:val="auto"/>
              </w:rPr>
            </w:pPr>
            <w:r>
              <w:rPr>
                <w:rFonts w:ascii="Arial" w:cs="Arial" w:eastAsia="Arial" w:hAnsi="Arial"/>
                <w:sz w:val="15"/>
                <w:szCs w:val="15"/>
                <w:b w:val="1"/>
                <w:bCs w:val="1"/>
                <w:color w:val="auto"/>
              </w:rPr>
              <w:t>Programs to create awareness of Cybersecurity</w:t>
            </w:r>
          </w:p>
        </w:tc>
        <w:tc>
          <w:tcPr>
            <w:tcW w:w="840" w:type="dxa"/>
            <w:vAlign w:val="bottom"/>
            <w:tcBorders>
              <w:top w:val="single" w:sz="8" w:color="auto"/>
              <w:bottom w:val="single" w:sz="8" w:color="8EAADB"/>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top w:val="single" w:sz="8" w:color="auto"/>
              <w:bottom w:val="single" w:sz="8" w:color="8EAADB"/>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r>
      <w:tr>
        <w:trPr>
          <w:trHeight w:val="173"/>
        </w:trPr>
        <w:tc>
          <w:tcPr>
            <w:tcW w:w="3860" w:type="dxa"/>
            <w:vAlign w:val="bottom"/>
            <w:tcBorders>
              <w:left w:val="single" w:sz="8" w:color="auto"/>
              <w:bottom w:val="single" w:sz="8" w:color="auto"/>
              <w:right w:val="single" w:sz="8" w:color="auto"/>
            </w:tcBorders>
          </w:tcPr>
          <w:p>
            <w:pPr>
              <w:ind w:left="180"/>
              <w:spacing w:after="0" w:line="173" w:lineRule="exact"/>
              <w:rPr>
                <w:sz w:val="20"/>
                <w:szCs w:val="20"/>
                <w:color w:val="auto"/>
              </w:rPr>
            </w:pPr>
            <w:r>
              <w:rPr>
                <w:rFonts w:ascii="Arial" w:cs="Arial" w:eastAsia="Arial" w:hAnsi="Arial"/>
                <w:sz w:val="15"/>
                <w:szCs w:val="15"/>
                <w:color w:val="auto"/>
              </w:rPr>
              <w:t># of internal course rolled out in the organization</w:t>
            </w:r>
            <w:r>
              <w:rPr>
                <w:rFonts w:ascii="MS PGothic" w:cs="MS PGothic" w:eastAsia="MS PGothic" w:hAnsi="MS PGothic"/>
                <w:sz w:val="15"/>
                <w:szCs w:val="15"/>
                <w:color w:val="auto"/>
              </w:rPr>
              <w:t>⁽</w:t>
            </w:r>
            <w:r>
              <w:rPr>
                <w:rFonts w:ascii="Arial" w:cs="Arial" w:eastAsia="Arial" w:hAnsi="Arial"/>
                <w:sz w:val="15"/>
                <w:szCs w:val="15"/>
                <w:color w:val="auto"/>
              </w:rPr>
              <w:t>¹</w:t>
            </w:r>
            <w:r>
              <w:rPr>
                <w:rFonts w:ascii="MS PGothic" w:cs="MS PGothic" w:eastAsia="MS PGothic" w:hAnsi="MS PGothic"/>
                <w:sz w:val="15"/>
                <w:szCs w:val="15"/>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8</w:t>
            </w:r>
          </w:p>
        </w:tc>
      </w:tr>
      <w:tr>
        <w:trPr>
          <w:trHeight w:val="164"/>
        </w:trPr>
        <w:tc>
          <w:tcPr>
            <w:tcW w:w="3860" w:type="dxa"/>
            <w:vAlign w:val="bottom"/>
            <w:tcBorders>
              <w:left w:val="single" w:sz="8" w:color="auto"/>
              <w:bottom w:val="single" w:sz="8" w:color="auto"/>
              <w:right w:val="single" w:sz="8" w:color="auto"/>
            </w:tcBorders>
          </w:tcPr>
          <w:p>
            <w:pPr>
              <w:ind w:left="180"/>
              <w:spacing w:after="0" w:line="164" w:lineRule="exact"/>
              <w:rPr>
                <w:sz w:val="20"/>
                <w:szCs w:val="20"/>
                <w:color w:val="auto"/>
              </w:rPr>
            </w:pPr>
            <w:r>
              <w:rPr>
                <w:rFonts w:ascii="Arial" w:cs="Arial" w:eastAsia="Arial" w:hAnsi="Arial"/>
                <w:sz w:val="15"/>
                <w:szCs w:val="15"/>
                <w:color w:val="auto"/>
              </w:rPr>
              <w:t>% of employees that participate</w:t>
            </w:r>
          </w:p>
        </w:tc>
        <w:tc>
          <w:tcPr>
            <w:tcW w:w="8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97%</w:t>
            </w:r>
          </w:p>
        </w:tc>
        <w:tc>
          <w:tcPr>
            <w:tcW w:w="7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96%</w:t>
            </w:r>
          </w:p>
        </w:tc>
      </w:tr>
      <w:tr>
        <w:trPr>
          <w:trHeight w:val="164"/>
        </w:trPr>
        <w:tc>
          <w:tcPr>
            <w:tcW w:w="3860" w:type="dxa"/>
            <w:vAlign w:val="bottom"/>
            <w:tcBorders>
              <w:left w:val="single" w:sz="8" w:color="auto"/>
              <w:bottom w:val="single" w:sz="8" w:color="auto"/>
              <w:right w:val="single" w:sz="8" w:color="auto"/>
            </w:tcBorders>
          </w:tcPr>
          <w:p>
            <w:pPr>
              <w:ind w:left="180"/>
              <w:spacing w:after="0" w:line="164" w:lineRule="exact"/>
              <w:rPr>
                <w:sz w:val="20"/>
                <w:szCs w:val="20"/>
                <w:color w:val="auto"/>
              </w:rPr>
            </w:pPr>
            <w:r>
              <w:rPr>
                <w:rFonts w:ascii="Arial" w:cs="Arial" w:eastAsia="Arial" w:hAnsi="Arial"/>
                <w:sz w:val="15"/>
                <w:szCs w:val="15"/>
                <w:color w:val="auto"/>
              </w:rPr>
              <w:t>% IT suppliers that participate</w:t>
            </w:r>
          </w:p>
        </w:tc>
        <w:tc>
          <w:tcPr>
            <w:tcW w:w="8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94%</w:t>
            </w:r>
          </w:p>
        </w:tc>
        <w:tc>
          <w:tcPr>
            <w:tcW w:w="7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86%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7"/>
        </w:trPr>
        <w:tc>
          <w:tcPr>
            <w:tcW w:w="3880" w:type="dxa"/>
            <w:vAlign w:val="bottom"/>
            <w:tcBorders>
              <w:top w:val="single" w:sz="8" w:color="auto"/>
              <w:left w:val="single" w:sz="8" w:color="auto"/>
              <w:bottom w:val="single" w:sz="8" w:color="8EAADB"/>
              <w:right w:val="single" w:sz="8" w:color="auto"/>
            </w:tcBorders>
          </w:tcPr>
          <w:p>
            <w:pPr>
              <w:ind w:left="100"/>
              <w:spacing w:after="0"/>
              <w:rPr>
                <w:sz w:val="20"/>
                <w:szCs w:val="20"/>
                <w:color w:val="auto"/>
              </w:rPr>
            </w:pPr>
            <w:r>
              <w:rPr>
                <w:rFonts w:ascii="Arial" w:cs="Arial" w:eastAsia="Arial" w:hAnsi="Arial"/>
                <w:sz w:val="15"/>
                <w:szCs w:val="15"/>
                <w:b w:val="1"/>
                <w:bCs w:val="1"/>
                <w:color w:val="auto"/>
              </w:rPr>
              <w:t>Phishing Tests</w:t>
            </w:r>
          </w:p>
        </w:tc>
        <w:tc>
          <w:tcPr>
            <w:tcW w:w="840" w:type="dxa"/>
            <w:vAlign w:val="bottom"/>
            <w:tcBorders>
              <w:top w:val="single" w:sz="8" w:color="auto"/>
              <w:bottom w:val="single" w:sz="8" w:color="8EAADB"/>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top w:val="single" w:sz="8" w:color="auto"/>
              <w:bottom w:val="single" w:sz="8" w:color="8EAADB"/>
              <w:right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r>
      <w:tr>
        <w:trPr>
          <w:trHeight w:val="173"/>
        </w:trPr>
        <w:tc>
          <w:tcPr>
            <w:tcW w:w="38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5"/>
                <w:szCs w:val="15"/>
                <w:color w:val="auto"/>
              </w:rPr>
              <w:t># of simulations for all employees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4</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3</w:t>
            </w:r>
          </w:p>
        </w:tc>
      </w:tr>
      <w:tr>
        <w:trPr>
          <w:trHeight w:val="164"/>
        </w:trPr>
        <w:tc>
          <w:tcPr>
            <w:tcW w:w="3880" w:type="dxa"/>
            <w:vAlign w:val="bottom"/>
            <w:tcBorders>
              <w:left w:val="single" w:sz="8" w:color="auto"/>
              <w:bottom w:val="single" w:sz="8" w:color="auto"/>
              <w:right w:val="single" w:sz="8" w:color="auto"/>
            </w:tcBorders>
          </w:tcPr>
          <w:p>
            <w:pPr>
              <w:ind w:left="180"/>
              <w:spacing w:after="0" w:line="164" w:lineRule="exact"/>
              <w:rPr>
                <w:sz w:val="20"/>
                <w:szCs w:val="20"/>
                <w:color w:val="auto"/>
              </w:rPr>
            </w:pPr>
            <w:r>
              <w:rPr>
                <w:rFonts w:ascii="Arial" w:cs="Arial" w:eastAsia="Arial" w:hAnsi="Arial"/>
                <w:sz w:val="15"/>
                <w:szCs w:val="15"/>
                <w:color w:val="auto"/>
              </w:rPr>
              <w:t>% of employees that failed the last simulation</w:t>
            </w:r>
          </w:p>
        </w:tc>
        <w:tc>
          <w:tcPr>
            <w:tcW w:w="8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8.9%</w:t>
            </w:r>
          </w:p>
        </w:tc>
        <w:tc>
          <w:tcPr>
            <w:tcW w:w="7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5.9%</w:t>
            </w:r>
          </w:p>
        </w:tc>
      </w:tr>
      <w:tr>
        <w:trPr>
          <w:trHeight w:val="164"/>
        </w:trPr>
        <w:tc>
          <w:tcPr>
            <w:tcW w:w="3880" w:type="dxa"/>
            <w:vAlign w:val="bottom"/>
            <w:tcBorders>
              <w:left w:val="single" w:sz="8" w:color="auto"/>
              <w:bottom w:val="single" w:sz="8" w:color="auto"/>
              <w:right w:val="single" w:sz="8" w:color="auto"/>
            </w:tcBorders>
          </w:tcPr>
          <w:p>
            <w:pPr>
              <w:ind w:left="180"/>
              <w:spacing w:after="0" w:line="164" w:lineRule="exact"/>
              <w:rPr>
                <w:sz w:val="20"/>
                <w:szCs w:val="20"/>
                <w:color w:val="auto"/>
              </w:rPr>
            </w:pPr>
            <w:r>
              <w:rPr>
                <w:rFonts w:ascii="Arial" w:cs="Arial" w:eastAsia="Arial" w:hAnsi="Arial"/>
                <w:sz w:val="15"/>
                <w:szCs w:val="15"/>
                <w:color w:val="auto"/>
              </w:rPr>
              <w:t># of simulations for employees with critical roles</w:t>
            </w:r>
          </w:p>
        </w:tc>
        <w:tc>
          <w:tcPr>
            <w:tcW w:w="8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7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r>
      <w:tr>
        <w:trPr>
          <w:trHeight w:val="164"/>
        </w:trPr>
        <w:tc>
          <w:tcPr>
            <w:tcW w:w="3880" w:type="dxa"/>
            <w:vAlign w:val="bottom"/>
            <w:tcBorders>
              <w:left w:val="single" w:sz="8" w:color="auto"/>
              <w:right w:val="single" w:sz="8" w:color="auto"/>
            </w:tcBorders>
          </w:tcPr>
          <w:p>
            <w:pPr>
              <w:ind w:left="180"/>
              <w:spacing w:after="0" w:line="164" w:lineRule="exact"/>
              <w:rPr>
                <w:sz w:val="20"/>
                <w:szCs w:val="20"/>
                <w:color w:val="auto"/>
              </w:rPr>
            </w:pPr>
            <w:r>
              <w:rPr>
                <w:rFonts w:ascii="Arial" w:cs="Arial" w:eastAsia="Arial" w:hAnsi="Arial"/>
                <w:sz w:val="15"/>
                <w:szCs w:val="15"/>
                <w:color w:val="auto"/>
              </w:rPr>
              <w:t>% of employees with critical roles who failed the last</w:t>
            </w:r>
          </w:p>
        </w:tc>
        <w:tc>
          <w:tcPr>
            <w:tcW w:w="8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w:t>
            </w:r>
          </w:p>
        </w:tc>
        <w:tc>
          <w:tcPr>
            <w:tcW w:w="7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w:t>
            </w:r>
          </w:p>
        </w:tc>
      </w:tr>
      <w:tr>
        <w:trPr>
          <w:trHeight w:val="174"/>
        </w:trPr>
        <w:tc>
          <w:tcPr>
            <w:tcW w:w="3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simulation</w:t>
            </w:r>
          </w:p>
        </w:tc>
        <w:tc>
          <w:tcPr>
            <w:tcW w:w="8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2F5496"/>
        </w:rPr>
        <w:t>Internal Auditing</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On the internal auditing front, we focus on permanently assessing the efficacy and efficiency of risk management processes, control and governance at Credicorp Ltd., its subsidiaries and affiliates to protect and increase the value of the corporation by providing assurance, advice and analysis based on risks.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Auditing Unit formulates the Annual Auditing Plan with Risk-based Auditing methodologies, which is aligned with the Rules of the Institute of Internal Auditors (IIA) and approved by the Superintendency of Banking, Insurance and AFPs of Peru. This year, we defined our new purpose, mission and vision: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Purpose: Protect sustainability at Credicorp.</w:t>
      </w:r>
    </w:p>
    <w:p>
      <w:pPr>
        <w:jc w:val="both"/>
        <w:spacing w:after="0"/>
        <w:rPr>
          <w:sz w:val="20"/>
          <w:szCs w:val="20"/>
          <w:color w:val="auto"/>
        </w:rPr>
      </w:pPr>
      <w:r>
        <w:rPr>
          <w:rFonts w:ascii="Arial" w:cs="Arial" w:eastAsia="Arial" w:hAnsi="Arial"/>
          <w:sz w:val="15"/>
          <w:szCs w:val="15"/>
          <w:color w:val="auto"/>
        </w:rPr>
        <w:t>Mission: Assure and provide on-going and dynamic advice on strategic issues and key risks through intensive use of technology, data, innovation, anticipation and motivated talent.</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Vision: Be a leader in auditing practice at the global level and aligned with our purpose.</w:t>
      </w:r>
    </w:p>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We pursue these objectives through actions and plans based on these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94615</wp:posOffset>
            </wp:positionV>
            <wp:extent cx="2927985" cy="1529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927985" cy="152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0" w:space="440"/>
            <w:col w:w="5420"/>
          </w:cols>
          <w:pgMar w:left="320" w:top="120" w:right="319" w:bottom="1440" w:gutter="0" w:footer="0" w:header="0"/>
        </w:sectPr>
      </w:pPr>
    </w:p>
    <w:bookmarkStart w:id="154" w:name="page155"/>
    <w:bookmarkEnd w:id="154"/>
    <w:p>
      <w:pPr>
        <w:jc w:val="both"/>
        <w:spacing w:after="0" w:line="243" w:lineRule="auto"/>
        <w:rPr>
          <w:sz w:val="20"/>
          <w:szCs w:val="20"/>
          <w:color w:val="auto"/>
        </w:rPr>
      </w:pPr>
      <w:r>
        <w:rPr>
          <w:rFonts w:ascii="Arial" w:cs="Arial" w:eastAsia="Arial" w:hAnsi="Arial"/>
          <w:sz w:val="15"/>
          <w:szCs w:val="15"/>
          <w:color w:val="auto"/>
        </w:rPr>
        <w:t>A relevant step for internal auditing was our decision to adopt the Ambition Model developed by the Institute of Internal Auditors of the Netherlands. Under this focus, we set our aspirational, strategic and organizational point of reference and planned actions to reach the level and objectives proposed for key activities: Services and the role of the internal auditing function, professional practices, performance management and responsibility, people management, organizational relations and Governance.</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On the cybersecurity front, in line with best international practices, we continued applying the Cybersecurity Assessment Tool (CAT) of the Federal Financial Institutions Examination Council, OWASP – Mobile &amp; Application Security Standard, Cloud Security Alliance’s (CSA), NIST Cybersecurity Framework, Critical Security Controls (CIS) and MITRE ATT&amp;CK Framework within our management processes.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On the data analytics front, we continued to coordinate with the Group’s internal auditing units to integrate the methodologies used in the Group’s internal auditing assurance assessments. Additionally, we are implementing the process to decentralize the use of these tools at the level of specialized auditing teams, which has elevated the sophistication of our models for control.</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In 2022, we made significant progress on two of the main fronts of actions for Data Analytics: building analytical models that allow us to identify suspicious transactions or those that represent a high probability of error and digitalizing auditing tests, which can reduce the review times. Additionally, we developed automated solutions to reduce manual and repetitive tasks in our internal processes. Finally, we imparted 388 hours of specialized training to the auditing team to promote the use of Data Analytics and automation.</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We also rolled out advances in our use of automatic learning techniques for our CAAT auditing activities relative to supervised, non-supervised and grouped models. One of these models, which was developed through a joint effort between BCP and Mibanco Colombia, is used to forecast which branches at Mibanco Colombia can benefit from improvements in internal control. This model was awarded second place in the “Hackathon” organized by the Latin American Committee of Internal Auditing and Risk Assessment, which belongs to the Latin American Federation of Banks (FELABAN).</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number of models, and the complexity of the methodologies applied, has grown. We also utilize traditional methodology on a number of projects. The sheer number of cases and methods triggered a need to develop a method for agile auditing, which we call Special Auditing for Models. The objective is to cover existing needs for review and in parallel, cut down on the time needed to detect deficiencies in other processes. This method was applied in projects in 2022 and led to significant advances in our methodology to audit Model Risk Management (MRM); increased coverage of the number of models reviewed; and allowed us to monitor the first and second line of controls related to development, implementation, and follow-up on models. Going forward, we plan to apply the aforementioned methods to conduct assessments of mathematical and statistical models as some of Credicorp’s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337185</wp:posOffset>
            </wp:positionV>
            <wp:extent cx="7152640" cy="146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5" w:lineRule="auto"/>
        <w:rPr>
          <w:sz w:val="20"/>
          <w:szCs w:val="20"/>
          <w:color w:val="auto"/>
        </w:rPr>
      </w:pPr>
      <w:r>
        <w:rPr>
          <w:rFonts w:ascii="Arial" w:cs="Arial" w:eastAsia="Arial" w:hAnsi="Arial"/>
          <w:sz w:val="15"/>
          <w:szCs w:val="15"/>
          <w:color w:val="auto"/>
        </w:rPr>
        <w:t>In 2022, we imparted 19,070 hours of training with an average of 83 hours/auditor, which topped the 40 hours/auditor recommended by international practices relative to new frameworks for cybersecurity, internal quality assessment, money laundering, risk management, programming languages, data analysis and other topics in the areas of financial and operating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3425825" cy="16249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5825" cy="1624965"/>
                    </a:xfrm>
                    <a:prstGeom prst="rect">
                      <a:avLst/>
                    </a:prstGeom>
                    <a:noFill/>
                  </pic:spPr>
                </pic:pic>
              </a:graphicData>
            </a:graphic>
          </wp:anchor>
        </w:drawing>
      </w:r>
    </w:p>
    <w:p>
      <w:pPr>
        <w:spacing w:after="0" w:line="177" w:lineRule="exact"/>
        <w:rPr>
          <w:sz w:val="20"/>
          <w:szCs w:val="20"/>
          <w:color w:val="auto"/>
        </w:rPr>
      </w:pPr>
    </w:p>
    <w:p>
      <w:pPr>
        <w:ind w:left="1560"/>
        <w:spacing w:after="0"/>
        <w:rPr>
          <w:sz w:val="20"/>
          <w:szCs w:val="20"/>
          <w:color w:val="auto"/>
        </w:rPr>
      </w:pPr>
      <w:r>
        <w:rPr>
          <w:rFonts w:ascii="Arial" w:cs="Arial" w:eastAsia="Arial" w:hAnsi="Arial"/>
          <w:sz w:val="12"/>
          <w:szCs w:val="12"/>
          <w:color w:val="FFFFFF"/>
        </w:rPr>
        <w:t>Specialized training for the auditing teams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FFFFFF"/>
                <w:w w:val="99"/>
              </w:rPr>
              <w:t>Average/</w:t>
            </w:r>
          </w:p>
        </w:tc>
        <w:tc>
          <w:tcPr>
            <w:tcW w:w="5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FFFFFF"/>
              </w:rPr>
              <w:t>Average/</w:t>
            </w:r>
          </w:p>
        </w:tc>
        <w:tc>
          <w:tcPr>
            <w:tcW w:w="5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FFFFFF"/>
              </w:rPr>
              <w:t>Average/</w:t>
            </w:r>
          </w:p>
        </w:tc>
      </w:tr>
      <w:tr>
        <w:trPr>
          <w:trHeight w:val="138"/>
        </w:trPr>
        <w:tc>
          <w:tcPr>
            <w:tcW w:w="1680" w:type="dxa"/>
            <w:vAlign w:val="bottom"/>
          </w:tcPr>
          <w:p>
            <w:pPr>
              <w:ind w:left="80"/>
              <w:spacing w:after="0"/>
              <w:rPr>
                <w:sz w:val="20"/>
                <w:szCs w:val="20"/>
                <w:color w:val="auto"/>
              </w:rPr>
            </w:pPr>
            <w:r>
              <w:rPr>
                <w:rFonts w:ascii="Arial" w:cs="Arial" w:eastAsia="Arial" w:hAnsi="Arial"/>
                <w:sz w:val="12"/>
                <w:szCs w:val="12"/>
                <w:color w:val="FFFFFF"/>
              </w:rPr>
              <w:t>(Hours)</w:t>
            </w:r>
          </w:p>
        </w:tc>
        <w:tc>
          <w:tcPr>
            <w:tcW w:w="600" w:type="dxa"/>
            <w:vAlign w:val="bottom"/>
          </w:tcPr>
          <w:p>
            <w:pPr>
              <w:jc w:val="right"/>
              <w:ind w:right="99"/>
              <w:spacing w:after="0"/>
              <w:rPr>
                <w:sz w:val="20"/>
                <w:szCs w:val="20"/>
                <w:color w:val="auto"/>
              </w:rPr>
            </w:pPr>
            <w:r>
              <w:rPr>
                <w:rFonts w:ascii="Arial" w:cs="Arial" w:eastAsia="Arial" w:hAnsi="Arial"/>
                <w:sz w:val="12"/>
                <w:szCs w:val="12"/>
                <w:color w:val="FFFFFF"/>
              </w:rPr>
              <w:t>2020</w:t>
            </w:r>
          </w:p>
        </w:tc>
        <w:tc>
          <w:tcPr>
            <w:tcW w:w="640" w:type="dxa"/>
            <w:vAlign w:val="bottom"/>
          </w:tcPr>
          <w:p>
            <w:pPr>
              <w:jc w:val="center"/>
              <w:spacing w:after="0"/>
              <w:rPr>
                <w:sz w:val="20"/>
                <w:szCs w:val="20"/>
                <w:color w:val="auto"/>
              </w:rPr>
            </w:pPr>
            <w:r>
              <w:rPr>
                <w:rFonts w:ascii="Arial" w:cs="Arial" w:eastAsia="Arial" w:hAnsi="Arial"/>
                <w:sz w:val="12"/>
                <w:szCs w:val="12"/>
                <w:color w:val="FFFFFF"/>
                <w:w w:val="97"/>
              </w:rPr>
              <w:t>auditor</w:t>
            </w:r>
          </w:p>
        </w:tc>
        <w:tc>
          <w:tcPr>
            <w:tcW w:w="580" w:type="dxa"/>
            <w:vAlign w:val="bottom"/>
          </w:tcPr>
          <w:p>
            <w:pPr>
              <w:jc w:val="right"/>
              <w:ind w:right="79"/>
              <w:spacing w:after="0"/>
              <w:rPr>
                <w:sz w:val="20"/>
                <w:szCs w:val="20"/>
                <w:color w:val="auto"/>
              </w:rPr>
            </w:pPr>
            <w:r>
              <w:rPr>
                <w:rFonts w:ascii="Arial" w:cs="Arial" w:eastAsia="Arial" w:hAnsi="Arial"/>
                <w:sz w:val="12"/>
                <w:szCs w:val="12"/>
                <w:color w:val="FFFFFF"/>
              </w:rPr>
              <w:t>2021</w:t>
            </w:r>
          </w:p>
        </w:tc>
        <w:tc>
          <w:tcPr>
            <w:tcW w:w="640" w:type="dxa"/>
            <w:vAlign w:val="bottom"/>
          </w:tcPr>
          <w:p>
            <w:pPr>
              <w:jc w:val="center"/>
              <w:spacing w:after="0"/>
              <w:rPr>
                <w:sz w:val="20"/>
                <w:szCs w:val="20"/>
                <w:color w:val="auto"/>
              </w:rPr>
            </w:pPr>
            <w:r>
              <w:rPr>
                <w:rFonts w:ascii="Arial" w:cs="Arial" w:eastAsia="Arial" w:hAnsi="Arial"/>
                <w:sz w:val="12"/>
                <w:szCs w:val="12"/>
                <w:color w:val="FFFFFF"/>
              </w:rPr>
              <w:t>auditor</w:t>
            </w:r>
          </w:p>
        </w:tc>
        <w:tc>
          <w:tcPr>
            <w:tcW w:w="580" w:type="dxa"/>
            <w:vAlign w:val="bottom"/>
          </w:tcPr>
          <w:p>
            <w:pPr>
              <w:jc w:val="right"/>
              <w:ind w:right="79"/>
              <w:spacing w:after="0"/>
              <w:rPr>
                <w:sz w:val="20"/>
                <w:szCs w:val="20"/>
                <w:color w:val="auto"/>
              </w:rPr>
            </w:pPr>
            <w:r>
              <w:rPr>
                <w:rFonts w:ascii="Arial" w:cs="Arial" w:eastAsia="Arial" w:hAnsi="Arial"/>
                <w:sz w:val="12"/>
                <w:szCs w:val="12"/>
                <w:color w:val="FFFFFF"/>
              </w:rPr>
              <w:t>2022</w:t>
            </w:r>
          </w:p>
        </w:tc>
        <w:tc>
          <w:tcPr>
            <w:tcW w:w="640" w:type="dxa"/>
            <w:vAlign w:val="bottom"/>
          </w:tcPr>
          <w:p>
            <w:pPr>
              <w:jc w:val="center"/>
              <w:spacing w:after="0"/>
              <w:rPr>
                <w:sz w:val="20"/>
                <w:szCs w:val="20"/>
                <w:color w:val="auto"/>
              </w:rPr>
            </w:pPr>
            <w:r>
              <w:rPr>
                <w:rFonts w:ascii="Arial" w:cs="Arial" w:eastAsia="Arial" w:hAnsi="Arial"/>
                <w:sz w:val="12"/>
                <w:szCs w:val="12"/>
                <w:color w:val="FFFFFF"/>
              </w:rPr>
              <w:t>auditor</w:t>
            </w:r>
          </w:p>
        </w:tc>
      </w:tr>
      <w:tr>
        <w:trPr>
          <w:trHeight w:val="146"/>
        </w:trPr>
        <w:tc>
          <w:tcPr>
            <w:tcW w:w="1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FFFFFF"/>
              </w:rPr>
              <w:t>2020</w:t>
            </w:r>
          </w:p>
        </w:tc>
        <w:tc>
          <w:tcPr>
            <w:tcW w:w="5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FFFFFF"/>
                <w:w w:val="97"/>
              </w:rPr>
              <w:t>2021</w:t>
            </w:r>
          </w:p>
        </w:tc>
        <w:tc>
          <w:tcPr>
            <w:tcW w:w="5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FFFFFF"/>
                <w:w w:val="97"/>
              </w:rPr>
              <w:t>2022</w:t>
            </w:r>
          </w:p>
        </w:tc>
      </w:tr>
      <w:tr>
        <w:trPr>
          <w:trHeight w:val="174"/>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BCP Peru</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6,561</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71</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6,242</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68</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6,991</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77</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BCP Bolivia</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1,516</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66</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1,363</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59</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1,195</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57</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ASB</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277</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55</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210</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53</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164</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41</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Grupo Pacifico</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2,566</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112</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2,049</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82</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2,728</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114</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Prima AFP</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694</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77</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1,281</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160</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1,100</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138</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Credicorp Capital Chile</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200</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50</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250</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63</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173</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43</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Credicorp Capital Colombia</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305</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30</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829</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75</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900</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75</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Credicorp Capital Peru</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124</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31</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232</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39</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240</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40</w:t>
            </w:r>
          </w:p>
        </w:tc>
      </w:tr>
      <w:tr>
        <w:trPr>
          <w:trHeight w:val="173"/>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Mibanco Peru</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5,569</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124</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6,714</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153</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3,955</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90</w:t>
            </w:r>
          </w:p>
        </w:tc>
      </w:tr>
      <w:tr>
        <w:trPr>
          <w:trHeight w:val="172"/>
        </w:trPr>
        <w:tc>
          <w:tcPr>
            <w:tcW w:w="1680" w:type="dxa"/>
            <w:vAlign w:val="bottom"/>
            <w:shd w:val="clear" w:color="auto" w:fill="E93CAC"/>
          </w:tcPr>
          <w:p>
            <w:pPr>
              <w:ind w:left="80"/>
              <w:spacing w:after="0"/>
              <w:rPr>
                <w:sz w:val="20"/>
                <w:szCs w:val="20"/>
                <w:color w:val="auto"/>
              </w:rPr>
            </w:pPr>
            <w:r>
              <w:rPr>
                <w:rFonts w:ascii="Arial" w:cs="Arial" w:eastAsia="Arial" w:hAnsi="Arial"/>
                <w:sz w:val="12"/>
                <w:szCs w:val="12"/>
                <w:color w:val="FFFFFF"/>
              </w:rPr>
              <w:t>Mibanco Colombia</w:t>
            </w:r>
          </w:p>
        </w:tc>
        <w:tc>
          <w:tcPr>
            <w:tcW w:w="600" w:type="dxa"/>
            <w:vAlign w:val="bottom"/>
            <w:shd w:val="clear" w:color="auto" w:fill="E7E6E6"/>
          </w:tcPr>
          <w:p>
            <w:pPr>
              <w:jc w:val="right"/>
              <w:ind w:right="19"/>
              <w:spacing w:after="0"/>
              <w:rPr>
                <w:sz w:val="20"/>
                <w:szCs w:val="20"/>
                <w:color w:val="auto"/>
              </w:rPr>
            </w:pPr>
            <w:r>
              <w:rPr>
                <w:rFonts w:ascii="Arial" w:cs="Arial" w:eastAsia="Arial" w:hAnsi="Arial"/>
                <w:sz w:val="12"/>
                <w:szCs w:val="12"/>
                <w:color w:val="auto"/>
              </w:rPr>
              <w:t>2,892</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241</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1,487</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106</w:t>
            </w:r>
          </w:p>
        </w:tc>
        <w:tc>
          <w:tcPr>
            <w:tcW w:w="5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1,626</w:t>
            </w:r>
          </w:p>
        </w:tc>
        <w:tc>
          <w:tcPr>
            <w:tcW w:w="640" w:type="dxa"/>
            <w:vAlign w:val="bottom"/>
            <w:shd w:val="clear" w:color="auto" w:fill="2AD2C9"/>
          </w:tcPr>
          <w:p>
            <w:pPr>
              <w:jc w:val="right"/>
              <w:spacing w:after="0"/>
              <w:rPr>
                <w:sz w:val="20"/>
                <w:szCs w:val="20"/>
                <w:color w:val="auto"/>
              </w:rPr>
            </w:pPr>
            <w:r>
              <w:rPr>
                <w:rFonts w:ascii="Arial" w:cs="Arial" w:eastAsia="Arial" w:hAnsi="Arial"/>
                <w:sz w:val="12"/>
                <w:szCs w:val="12"/>
                <w:color w:val="auto"/>
              </w:rPr>
              <w:t>108</w:t>
            </w:r>
          </w:p>
        </w:tc>
      </w:tr>
      <w:tr>
        <w:trPr>
          <w:trHeight w:val="173"/>
        </w:trPr>
        <w:tc>
          <w:tcPr>
            <w:tcW w:w="1680" w:type="dxa"/>
            <w:vAlign w:val="bottom"/>
            <w:shd w:val="clear" w:color="auto" w:fill="BFBFBF"/>
          </w:tcPr>
          <w:p>
            <w:pPr>
              <w:ind w:left="80"/>
              <w:spacing w:after="0"/>
              <w:rPr>
                <w:sz w:val="20"/>
                <w:szCs w:val="20"/>
                <w:color w:val="auto"/>
              </w:rPr>
            </w:pPr>
            <w:r>
              <w:rPr>
                <w:rFonts w:ascii="Arial" w:cs="Arial" w:eastAsia="Arial" w:hAnsi="Arial"/>
                <w:sz w:val="12"/>
                <w:szCs w:val="12"/>
                <w:color w:val="FFFFFF"/>
              </w:rPr>
              <w:t>Total</w:t>
            </w:r>
          </w:p>
        </w:tc>
        <w:tc>
          <w:tcPr>
            <w:tcW w:w="600" w:type="dxa"/>
            <w:vAlign w:val="bottom"/>
            <w:shd w:val="clear" w:color="auto" w:fill="BFBFBF"/>
          </w:tcPr>
          <w:p>
            <w:pPr>
              <w:jc w:val="right"/>
              <w:ind w:right="19"/>
              <w:spacing w:after="0"/>
              <w:rPr>
                <w:sz w:val="20"/>
                <w:szCs w:val="20"/>
                <w:color w:val="auto"/>
              </w:rPr>
            </w:pPr>
            <w:r>
              <w:rPr>
                <w:rFonts w:ascii="Arial" w:cs="Arial" w:eastAsia="Arial" w:hAnsi="Arial"/>
                <w:sz w:val="12"/>
                <w:szCs w:val="12"/>
                <w:color w:val="FFFFFF"/>
              </w:rPr>
              <w:t>20,704</w:t>
            </w:r>
          </w:p>
        </w:tc>
        <w:tc>
          <w:tcPr>
            <w:tcW w:w="640" w:type="dxa"/>
            <w:vAlign w:val="bottom"/>
            <w:shd w:val="clear" w:color="auto" w:fill="BFBFBF"/>
          </w:tcPr>
          <w:p>
            <w:pPr>
              <w:jc w:val="right"/>
              <w:spacing w:after="0"/>
              <w:rPr>
                <w:sz w:val="20"/>
                <w:szCs w:val="20"/>
                <w:color w:val="auto"/>
              </w:rPr>
            </w:pPr>
            <w:r>
              <w:rPr>
                <w:rFonts w:ascii="Arial" w:cs="Arial" w:eastAsia="Arial" w:hAnsi="Arial"/>
                <w:sz w:val="12"/>
                <w:szCs w:val="12"/>
                <w:color w:val="FFFFFF"/>
              </w:rPr>
              <w:t>91</w:t>
            </w:r>
          </w:p>
        </w:tc>
        <w:tc>
          <w:tcPr>
            <w:tcW w:w="580" w:type="dxa"/>
            <w:vAlign w:val="bottom"/>
            <w:shd w:val="clear" w:color="auto" w:fill="BFBFBF"/>
          </w:tcPr>
          <w:p>
            <w:pPr>
              <w:jc w:val="right"/>
              <w:spacing w:after="0"/>
              <w:rPr>
                <w:sz w:val="20"/>
                <w:szCs w:val="20"/>
                <w:color w:val="auto"/>
              </w:rPr>
            </w:pPr>
            <w:r>
              <w:rPr>
                <w:rFonts w:ascii="Arial" w:cs="Arial" w:eastAsia="Arial" w:hAnsi="Arial"/>
                <w:sz w:val="12"/>
                <w:szCs w:val="12"/>
                <w:color w:val="FFFFFF"/>
              </w:rPr>
              <w:t>20,657</w:t>
            </w:r>
          </w:p>
        </w:tc>
        <w:tc>
          <w:tcPr>
            <w:tcW w:w="640" w:type="dxa"/>
            <w:vAlign w:val="bottom"/>
            <w:shd w:val="clear" w:color="auto" w:fill="BFBFBF"/>
          </w:tcPr>
          <w:p>
            <w:pPr>
              <w:jc w:val="right"/>
              <w:spacing w:after="0"/>
              <w:rPr>
                <w:sz w:val="20"/>
                <w:szCs w:val="20"/>
                <w:color w:val="auto"/>
              </w:rPr>
            </w:pPr>
            <w:r>
              <w:rPr>
                <w:rFonts w:ascii="Arial" w:cs="Arial" w:eastAsia="Arial" w:hAnsi="Arial"/>
                <w:sz w:val="12"/>
                <w:szCs w:val="12"/>
                <w:color w:val="FFFFFF"/>
              </w:rPr>
              <w:t>89</w:t>
            </w:r>
          </w:p>
        </w:tc>
        <w:tc>
          <w:tcPr>
            <w:tcW w:w="580" w:type="dxa"/>
            <w:vAlign w:val="bottom"/>
            <w:shd w:val="clear" w:color="auto" w:fill="BFBFBF"/>
          </w:tcPr>
          <w:p>
            <w:pPr>
              <w:jc w:val="right"/>
              <w:spacing w:after="0"/>
              <w:rPr>
                <w:sz w:val="20"/>
                <w:szCs w:val="20"/>
                <w:color w:val="auto"/>
              </w:rPr>
            </w:pPr>
            <w:r>
              <w:rPr>
                <w:rFonts w:ascii="Arial" w:cs="Arial" w:eastAsia="Arial" w:hAnsi="Arial"/>
                <w:sz w:val="12"/>
                <w:szCs w:val="12"/>
                <w:color w:val="FFFFFF"/>
              </w:rPr>
              <w:t>19,070</w:t>
            </w:r>
          </w:p>
        </w:tc>
        <w:tc>
          <w:tcPr>
            <w:tcW w:w="640" w:type="dxa"/>
            <w:vAlign w:val="bottom"/>
            <w:shd w:val="clear" w:color="auto" w:fill="BFBFBF"/>
          </w:tcPr>
          <w:p>
            <w:pPr>
              <w:jc w:val="right"/>
              <w:spacing w:after="0"/>
              <w:rPr>
                <w:sz w:val="20"/>
                <w:szCs w:val="20"/>
                <w:color w:val="auto"/>
              </w:rPr>
            </w:pPr>
            <w:r>
              <w:rPr>
                <w:rFonts w:ascii="Arial" w:cs="Arial" w:eastAsia="Arial" w:hAnsi="Arial"/>
                <w:sz w:val="12"/>
                <w:szCs w:val="12"/>
                <w:color w:val="FFFFFF"/>
              </w:rPr>
              <w:t>83</w:t>
            </w:r>
          </w:p>
        </w:tc>
      </w:tr>
    </w:tbl>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company’s 229 auditors, all of whom are committed to efficiency, represent approximately, 0.53% of the work force. This proportion is one of the main indicators of productivity and is within the best international standards.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Similar to the years 2013 and 2018, in 2022 we obtained International Certification for Quality of Internal Auditing with a rating of “Generally Complies”, which is the highest level of recognition contemplated by the Institute of Internal Auditors (IIA) in its External Quality Assessment, in accordance with IIA Rule 1312. Additionally, we conducted our twelfth consecutive Internal Assessment of Quality, in accordance with IIA Rule 1311 del IIA, and obtained a result of “Generally Complies” for our application of the Quality Assurance and Improvement Program. This level of compliance is proof that Credicorp’s Internal Auditing function complies with the Main Principles of a Professional Practice of Internal Auditing; the Profession definition; the Code of Ethics; and the Rules issued by 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152</w:t>
      </w:r>
    </w:p>
    <w:p>
      <w:pPr>
        <w:sectPr>
          <w:pgSz w:w="11900" w:h="16838" w:orient="portrait"/>
          <w:cols w:equalWidth="0" w:num="2">
            <w:col w:w="5400" w:space="440"/>
            <w:col w:w="5420"/>
          </w:cols>
          <w:pgMar w:left="320" w:top="312" w:right="319" w:bottom="1440" w:gutter="0" w:footer="0" w:header="0"/>
        </w:sectPr>
      </w:pPr>
    </w:p>
    <w:bookmarkStart w:id="155" w:name="page156"/>
    <w:bookmarkEnd w:id="155"/>
    <w:p>
      <w:pPr>
        <w:spacing w:after="0" w:line="18"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The Index for Auditing Satisfaction (IAS), which gathers our clients’ audited opinions after every task, registered a result of 4.53 over 5.00, which topped the goal of 4.10 and is proof of clients’ perception of the value imparted by Internal Auditing at Credicorp Ltd., its subsidiaries and affiliates.</w:t>
      </w:r>
    </w:p>
    <w:p>
      <w:pPr>
        <w:spacing w:after="0" w:line="157" w:lineRule="exact"/>
        <w:rPr>
          <w:sz w:val="20"/>
          <w:szCs w:val="20"/>
          <w:color w:val="auto"/>
        </w:rPr>
      </w:pPr>
    </w:p>
    <w:p>
      <w:pPr>
        <w:ind w:left="8" w:right="20"/>
        <w:spacing w:after="0" w:line="244" w:lineRule="auto"/>
        <w:rPr>
          <w:sz w:val="20"/>
          <w:szCs w:val="20"/>
          <w:color w:val="auto"/>
        </w:rPr>
      </w:pPr>
      <w:r>
        <w:rPr>
          <w:rFonts w:ascii="Arial" w:cs="Arial" w:eastAsia="Arial" w:hAnsi="Arial"/>
          <w:sz w:val="15"/>
          <w:szCs w:val="15"/>
          <w:color w:val="auto"/>
        </w:rPr>
        <w:t>In 2022, Credicorp’s Corporate Auditor continued to sit on the board of IIA, which is this institution’s highest level of governance. Additionally, the auditor of Grupo Pacifico was reelected in 2021 to serve as president of the Association of Auditing and control of Information Systems (ISACA) of Lima. Finally, in 2022, the Auditor of Credicorp’s Microfinance segment was elected to sit on the board of the Internal Auditors of Peru.</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2F5496"/>
        </w:rPr>
        <w:t>External Auditing</w:t>
      </w:r>
    </w:p>
    <w:p>
      <w:pPr>
        <w:spacing w:after="0" w:line="191" w:lineRule="exact"/>
        <w:rPr>
          <w:sz w:val="20"/>
          <w:szCs w:val="20"/>
          <w:color w:val="auto"/>
        </w:rPr>
      </w:pPr>
    </w:p>
    <w:p>
      <w:pPr>
        <w:ind w:left="8" w:right="240"/>
        <w:spacing w:after="0" w:line="246" w:lineRule="auto"/>
        <w:rPr>
          <w:sz w:val="20"/>
          <w:szCs w:val="20"/>
          <w:color w:val="auto"/>
        </w:rPr>
      </w:pPr>
      <w:r>
        <w:rPr>
          <w:rFonts w:ascii="Arial" w:cs="Arial" w:eastAsia="Arial" w:hAnsi="Arial"/>
          <w:sz w:val="15"/>
          <w:szCs w:val="15"/>
          <w:color w:val="auto"/>
        </w:rPr>
        <w:t>In accordance with SBS Resolution No. 17026-20100, we are providing information on the fees paid to the independent auditors Gaveglio Aparicio y Asociados S.C.R.L., a member firm of PwC, which are defined as follows according to the resolution:</w:t>
      </w:r>
    </w:p>
    <w:p>
      <w:pPr>
        <w:spacing w:after="0" w:line="157" w:lineRule="exact"/>
        <w:rPr>
          <w:sz w:val="20"/>
          <w:szCs w:val="20"/>
          <w:color w:val="auto"/>
        </w:rPr>
      </w:pPr>
    </w:p>
    <w:p>
      <w:pPr>
        <w:jc w:val="both"/>
        <w:ind w:left="8" w:right="300" w:hanging="8"/>
        <w:spacing w:after="0" w:line="258" w:lineRule="auto"/>
        <w:tabs>
          <w:tab w:leader="none" w:pos="179"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concept of Auditing Fees must divulge the total fees charged by the auditing company for auditing services in each of the last three fiscal years.</w:t>
      </w:r>
    </w:p>
    <w:p>
      <w:pPr>
        <w:spacing w:after="0" w:line="147" w:lineRule="exact"/>
        <w:rPr>
          <w:rFonts w:ascii="Arial" w:cs="Arial" w:eastAsia="Arial" w:hAnsi="Arial"/>
          <w:sz w:val="15"/>
          <w:szCs w:val="15"/>
          <w:color w:val="auto"/>
        </w:rPr>
      </w:pPr>
    </w:p>
    <w:p>
      <w:pPr>
        <w:ind w:left="8" w:right="20" w:hanging="8"/>
        <w:spacing w:after="0" w:line="245" w:lineRule="auto"/>
        <w:tabs>
          <w:tab w:leader="none" w:pos="179"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concept of Auditing Fees must divulge the total fees charged by auditing firms for advisory services and services related to conducting auditing or reviewing the financial statements of the company and which are not included in the concept described in the previous paragraph. The company will divulge the nature of the services covered by this category.</w:t>
      </w:r>
    </w:p>
    <w:p>
      <w:pPr>
        <w:spacing w:after="0" w:line="157" w:lineRule="exact"/>
        <w:rPr>
          <w:rFonts w:ascii="Arial" w:cs="Arial" w:eastAsia="Arial" w:hAnsi="Arial"/>
          <w:sz w:val="15"/>
          <w:szCs w:val="15"/>
          <w:color w:val="auto"/>
        </w:rPr>
      </w:pPr>
    </w:p>
    <w:p>
      <w:pPr>
        <w:ind w:left="8" w:right="240" w:hanging="8"/>
        <w:spacing w:after="0" w:line="246" w:lineRule="auto"/>
        <w:tabs>
          <w:tab w:leader="none" w:pos="179"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concept of Tax Fees must divulge the total fees billed in the last three fiscal years for profession services to ensure tax compliance, provide tax advisory services and conduct tax planning. The company will divulge the nature of the services included in this category.</w:t>
      </w:r>
    </w:p>
    <w:p>
      <w:pPr>
        <w:spacing w:after="0" w:line="157" w:lineRule="exact"/>
        <w:rPr>
          <w:sz w:val="20"/>
          <w:szCs w:val="20"/>
          <w:color w:val="auto"/>
        </w:rPr>
      </w:pPr>
    </w:p>
    <w:p>
      <w:pPr>
        <w:ind w:left="8" w:right="120"/>
        <w:spacing w:after="0" w:line="246" w:lineRule="auto"/>
        <w:rPr>
          <w:sz w:val="20"/>
          <w:szCs w:val="20"/>
          <w:color w:val="auto"/>
        </w:rPr>
      </w:pPr>
      <w:r>
        <w:rPr>
          <w:rFonts w:ascii="Arial" w:cs="Arial" w:eastAsia="Arial" w:hAnsi="Arial"/>
          <w:sz w:val="15"/>
          <w:szCs w:val="15"/>
          <w:color w:val="auto"/>
        </w:rPr>
        <w:t>4.The concept of Other Fees must divulge the total fees billed in the last three fiscal years for products and services that are not included in the previous points. The company will provide a summary of the nature of the services included in this category.</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color w:val="auto"/>
        </w:rPr>
        <w:t>All the fees were approved by the Auditing Committee.</w:t>
      </w:r>
    </w:p>
    <w:p>
      <w:pPr>
        <w:spacing w:after="0" w:line="173" w:lineRule="exact"/>
        <w:rPr>
          <w:sz w:val="20"/>
          <w:szCs w:val="20"/>
          <w:color w:val="auto"/>
        </w:rPr>
      </w:pPr>
    </w:p>
    <w:p>
      <w:pPr>
        <w:ind w:left="8" w:right="280"/>
        <w:spacing w:after="0" w:line="246" w:lineRule="auto"/>
        <w:rPr>
          <w:sz w:val="20"/>
          <w:szCs w:val="20"/>
          <w:color w:val="auto"/>
        </w:rPr>
      </w:pPr>
      <w:r>
        <w:rPr>
          <w:rFonts w:ascii="Arial" w:cs="Arial" w:eastAsia="Arial" w:hAnsi="Arial"/>
          <w:sz w:val="15"/>
          <w:szCs w:val="15"/>
          <w:color w:val="auto"/>
        </w:rPr>
        <w:t>Next, we provide details on the fees of the independent External Auditors, Gaveglio Aparicio y Asociados S.C.R.L., a member firm of PwC, for years 2022, 2021 and 2020, to cover an annual payment for independent external auditing and for projects conducted at the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60" w:type="dxa"/>
        <w:tblCellMar>
          <w:top w:w="0" w:type="dxa"/>
          <w:left w:w="0" w:type="dxa"/>
          <w:bottom w:w="0" w:type="dxa"/>
          <w:right w:w="0" w:type="dxa"/>
        </w:tblCellMar>
      </w:tblPr>
      <w:tr>
        <w:trPr>
          <w:trHeight w:val="172"/>
        </w:trPr>
        <w:tc>
          <w:tcPr>
            <w:tcW w:w="1420" w:type="dxa"/>
            <w:vAlign w:val="bottom"/>
            <w:shd w:val="clear" w:color="auto" w:fill="000000"/>
          </w:tcPr>
          <w:p>
            <w:pPr>
              <w:ind w:left="60"/>
              <w:spacing w:after="0"/>
              <w:rPr>
                <w:sz w:val="20"/>
                <w:szCs w:val="20"/>
                <w:color w:val="auto"/>
              </w:rPr>
            </w:pPr>
            <w:r>
              <w:rPr>
                <w:rFonts w:ascii="Arial" w:cs="Arial" w:eastAsia="Arial" w:hAnsi="Arial"/>
                <w:sz w:val="15"/>
                <w:szCs w:val="15"/>
                <w:b w:val="1"/>
                <w:bCs w:val="1"/>
                <w:color w:val="FFFFFF"/>
              </w:rPr>
              <w:t>Years Ending on</w:t>
            </w:r>
          </w:p>
        </w:tc>
        <w:tc>
          <w:tcPr>
            <w:tcW w:w="620" w:type="dxa"/>
            <w:vAlign w:val="bottom"/>
            <w:vMerge w:val="restart"/>
            <w:shd w:val="clear" w:color="auto" w:fill="000000"/>
          </w:tcPr>
          <w:p>
            <w:pPr>
              <w:jc w:val="center"/>
              <w:spacing w:after="0"/>
              <w:rPr>
                <w:sz w:val="20"/>
                <w:szCs w:val="20"/>
                <w:color w:val="auto"/>
              </w:rPr>
            </w:pPr>
            <w:r>
              <w:rPr>
                <w:rFonts w:ascii="Arial" w:cs="Arial" w:eastAsia="Arial" w:hAnsi="Arial"/>
                <w:sz w:val="15"/>
                <w:szCs w:val="15"/>
                <w:b w:val="1"/>
                <w:bCs w:val="1"/>
                <w:color w:val="FFFFFF"/>
              </w:rPr>
              <w:t>2020</w:t>
            </w:r>
          </w:p>
        </w:tc>
        <w:tc>
          <w:tcPr>
            <w:tcW w:w="600" w:type="dxa"/>
            <w:vAlign w:val="bottom"/>
            <w:vMerge w:val="restart"/>
            <w:shd w:val="clear" w:color="auto" w:fill="000000"/>
          </w:tcPr>
          <w:p>
            <w:pPr>
              <w:jc w:val="center"/>
              <w:spacing w:after="0"/>
              <w:rPr>
                <w:sz w:val="20"/>
                <w:szCs w:val="20"/>
                <w:color w:val="auto"/>
              </w:rPr>
            </w:pPr>
            <w:r>
              <w:rPr>
                <w:rFonts w:ascii="Arial" w:cs="Arial" w:eastAsia="Arial" w:hAnsi="Arial"/>
                <w:sz w:val="15"/>
                <w:szCs w:val="15"/>
                <w:b w:val="1"/>
                <w:bCs w:val="1"/>
                <w:color w:val="FFFFFF"/>
              </w:rPr>
              <w:t>2021</w:t>
            </w:r>
          </w:p>
        </w:tc>
        <w:tc>
          <w:tcPr>
            <w:tcW w:w="660" w:type="dxa"/>
            <w:vAlign w:val="bottom"/>
            <w:vMerge w:val="restart"/>
            <w:shd w:val="clear" w:color="auto" w:fill="000000"/>
          </w:tcPr>
          <w:p>
            <w:pPr>
              <w:jc w:val="right"/>
              <w:ind w:right="8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11"/>
        </w:trPr>
        <w:tc>
          <w:tcPr>
            <w:tcW w:w="1420" w:type="dxa"/>
            <w:vAlign w:val="bottom"/>
            <w:vMerge w:val="restart"/>
            <w:shd w:val="clear" w:color="auto" w:fill="000000"/>
          </w:tcPr>
          <w:p>
            <w:pPr>
              <w:ind w:left="60"/>
              <w:spacing w:after="0"/>
              <w:rPr>
                <w:sz w:val="20"/>
                <w:szCs w:val="20"/>
                <w:color w:val="auto"/>
              </w:rPr>
            </w:pPr>
            <w:r>
              <w:rPr>
                <w:rFonts w:ascii="Arial" w:cs="Arial" w:eastAsia="Arial" w:hAnsi="Arial"/>
                <w:sz w:val="15"/>
                <w:szCs w:val="15"/>
                <w:b w:val="1"/>
                <w:bCs w:val="1"/>
                <w:color w:val="FFFFFF"/>
              </w:rPr>
              <w:t>December 31</w:t>
            </w:r>
          </w:p>
        </w:tc>
        <w:tc>
          <w:tcPr>
            <w:tcW w:w="620" w:type="dxa"/>
            <w:vAlign w:val="bottom"/>
            <w:vMerge w:val="continue"/>
            <w:shd w:val="clear" w:color="auto" w:fill="000000"/>
          </w:tcPr>
          <w:p>
            <w:pPr>
              <w:spacing w:after="0"/>
              <w:rPr>
                <w:sz w:val="9"/>
                <w:szCs w:val="9"/>
                <w:color w:val="auto"/>
              </w:rPr>
            </w:pPr>
          </w:p>
        </w:tc>
        <w:tc>
          <w:tcPr>
            <w:tcW w:w="600" w:type="dxa"/>
            <w:vAlign w:val="bottom"/>
            <w:vMerge w:val="continue"/>
            <w:shd w:val="clear" w:color="auto" w:fill="000000"/>
          </w:tcPr>
          <w:p>
            <w:pPr>
              <w:spacing w:after="0"/>
              <w:rPr>
                <w:sz w:val="9"/>
                <w:szCs w:val="9"/>
                <w:color w:val="auto"/>
              </w:rPr>
            </w:pPr>
          </w:p>
        </w:tc>
        <w:tc>
          <w:tcPr>
            <w:tcW w:w="66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20" w:type="dxa"/>
            <w:vAlign w:val="bottom"/>
            <w:vMerge w:val="continue"/>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42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Auditing</w:t>
            </w:r>
          </w:p>
        </w:tc>
        <w:tc>
          <w:tcPr>
            <w:tcW w:w="6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21,106</w:t>
            </w:r>
          </w:p>
        </w:tc>
        <w:tc>
          <w:tcPr>
            <w:tcW w:w="60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24,624</w:t>
            </w:r>
          </w:p>
        </w:tc>
        <w:tc>
          <w:tcPr>
            <w:tcW w:w="66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25,758</w:t>
            </w:r>
          </w:p>
        </w:tc>
        <w:tc>
          <w:tcPr>
            <w:tcW w:w="0" w:type="dxa"/>
            <w:vAlign w:val="bottom"/>
          </w:tcPr>
          <w:p>
            <w:pPr>
              <w:spacing w:after="0"/>
              <w:rPr>
                <w:sz w:val="1"/>
                <w:szCs w:val="1"/>
                <w:color w:val="auto"/>
              </w:rPr>
            </w:pPr>
          </w:p>
        </w:tc>
      </w:tr>
      <w:tr>
        <w:trPr>
          <w:trHeight w:val="288"/>
        </w:trPr>
        <w:tc>
          <w:tcPr>
            <w:tcW w:w="142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Related to Auditing</w:t>
            </w:r>
          </w:p>
        </w:tc>
        <w:tc>
          <w:tcPr>
            <w:tcW w:w="6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79"/>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8"/>
        </w:trPr>
        <w:tc>
          <w:tcPr>
            <w:tcW w:w="142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Taxes</w:t>
            </w:r>
          </w:p>
        </w:tc>
        <w:tc>
          <w:tcPr>
            <w:tcW w:w="6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410</w:t>
            </w:r>
          </w:p>
        </w:tc>
        <w:tc>
          <w:tcPr>
            <w:tcW w:w="60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663</w:t>
            </w:r>
          </w:p>
        </w:tc>
        <w:tc>
          <w:tcPr>
            <w:tcW w:w="66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88"/>
        </w:trPr>
        <w:tc>
          <w:tcPr>
            <w:tcW w:w="1420" w:type="dxa"/>
            <w:vAlign w:val="bottom"/>
            <w:shd w:val="clear" w:color="auto" w:fill="E93CAC"/>
          </w:tcPr>
          <w:p>
            <w:pPr>
              <w:ind w:left="60"/>
              <w:spacing w:after="0"/>
              <w:rPr>
                <w:sz w:val="20"/>
                <w:szCs w:val="20"/>
                <w:color w:val="auto"/>
              </w:rPr>
            </w:pPr>
            <w:r>
              <w:rPr>
                <w:rFonts w:ascii="Arial" w:cs="Arial" w:eastAsia="Arial" w:hAnsi="Arial"/>
                <w:sz w:val="15"/>
                <w:szCs w:val="15"/>
                <w:color w:val="FFFFFF"/>
              </w:rPr>
              <w:t>Others</w:t>
            </w:r>
          </w:p>
        </w:tc>
        <w:tc>
          <w:tcPr>
            <w:tcW w:w="6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489</w:t>
            </w:r>
          </w:p>
        </w:tc>
        <w:tc>
          <w:tcPr>
            <w:tcW w:w="60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244</w:t>
            </w:r>
          </w:p>
        </w:tc>
        <w:tc>
          <w:tcPr>
            <w:tcW w:w="660" w:type="dxa"/>
            <w:vAlign w:val="bottom"/>
            <w:shd w:val="clear" w:color="auto" w:fill="F2F2F2"/>
          </w:tcPr>
          <w:p>
            <w:pPr>
              <w:jc w:val="right"/>
              <w:ind w:right="143"/>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6"/>
        </w:trPr>
        <w:tc>
          <w:tcPr>
            <w:tcW w:w="1420" w:type="dxa"/>
            <w:vAlign w:val="bottom"/>
            <w:shd w:val="clear" w:color="auto" w:fill="2AD2C9"/>
          </w:tcPr>
          <w:p>
            <w:pPr>
              <w:ind w:left="80"/>
              <w:spacing w:after="0"/>
              <w:rPr>
                <w:sz w:val="20"/>
                <w:szCs w:val="20"/>
                <w:color w:val="auto"/>
              </w:rPr>
            </w:pPr>
            <w:r>
              <w:rPr>
                <w:rFonts w:ascii="Arial" w:cs="Arial" w:eastAsia="Arial" w:hAnsi="Arial"/>
                <w:sz w:val="15"/>
                <w:szCs w:val="15"/>
                <w:color w:val="auto"/>
              </w:rPr>
              <w:t>Total</w:t>
            </w:r>
          </w:p>
        </w:tc>
        <w:tc>
          <w:tcPr>
            <w:tcW w:w="6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22,005</w:t>
            </w:r>
          </w:p>
        </w:tc>
        <w:tc>
          <w:tcPr>
            <w:tcW w:w="60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25,531</w:t>
            </w:r>
          </w:p>
        </w:tc>
        <w:tc>
          <w:tcPr>
            <w:tcW w:w="660" w:type="dxa"/>
            <w:vAlign w:val="bottom"/>
            <w:shd w:val="clear" w:color="auto" w:fill="F2F2F2"/>
          </w:tcPr>
          <w:p>
            <w:pPr>
              <w:jc w:val="right"/>
              <w:ind w:right="3"/>
              <w:spacing w:after="0"/>
              <w:rPr>
                <w:sz w:val="20"/>
                <w:szCs w:val="20"/>
                <w:color w:val="auto"/>
              </w:rPr>
            </w:pPr>
            <w:r>
              <w:rPr>
                <w:rFonts w:ascii="Arial" w:cs="Arial" w:eastAsia="Arial" w:hAnsi="Arial"/>
                <w:sz w:val="15"/>
                <w:szCs w:val="15"/>
                <w:color w:val="auto"/>
              </w:rPr>
              <w:t>26,544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-848360</wp:posOffset>
            </wp:positionV>
            <wp:extent cx="2101215" cy="8566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01215" cy="85661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2F5496"/>
        </w:rPr>
        <w:t>Policies Related to External Auditing</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Fees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Auditing Committee has set limits for payments to external auditors for “Taxes” and “Other” services. These payments may not exceed 35% of the total paid in a fiscal year. The Committee has the authority to change this limit to meet the needs of the corporation and to compensate independent auditors for highly complex services. Additionally, when the Committees considers it necessary to approve an exception, it assesses whether the service required is consistent with the rules for Independence for external auditors as defined by the United States Securities and Exchange Commission.</w:t>
      </w:r>
    </w:p>
    <w:p>
      <w:pPr>
        <w:spacing w:after="0" w:line="159"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 the years 2022, 2021 and 2020, payments for services relative to “Taxes” and “Others” represented 3%, 4% and 4%, respectively with regard to total fees paid to external auditors.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Competencies and Rotation</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Auditing Committee must high the best qualified external auditors by considering: the firm’s prestige and whether the service can improve Credicorp’s ability to manage and control risks as well as improve the quality of its auditing. The Auditing Committee is informed if external auditors fulfill standards for rotation of team members. These standards require that the partner responsible for auditing and./or the concurring partner are changed every five (05) years.</w:t>
      </w:r>
    </w:p>
    <w:p>
      <w:pPr>
        <w:spacing w:after="0" w:line="336"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*For more information, visit our web “</w:t>
      </w:r>
      <w:r>
        <w:rPr>
          <w:rFonts w:ascii="Arial" w:cs="Arial" w:eastAsia="Arial" w:hAnsi="Arial"/>
          <w:sz w:val="15"/>
          <w:szCs w:val="15"/>
          <w:u w:val="single" w:color="auto"/>
          <w:color w:val="0563C9"/>
        </w:rPr>
        <w:t>Corporate Governance Documents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408" w:space="440"/>
            <w:col w:w="5420"/>
          </w:cols>
          <w:pgMar w:left="312" w:top="122" w:right="319" w:bottom="1440" w:gutter="0" w:footer="0" w:header="0"/>
        </w:sectPr>
      </w:pPr>
    </w:p>
    <w:bookmarkStart w:id="156" w:name="page157"/>
    <w:bookmarkEnd w:id="156"/>
    <w:p>
      <w:pPr>
        <w:ind w:left="8"/>
        <w:spacing w:after="0"/>
        <w:rPr>
          <w:sz w:val="20"/>
          <w:szCs w:val="20"/>
          <w:color w:val="auto"/>
        </w:rPr>
      </w:pPr>
      <w:r>
        <w:rPr>
          <w:rFonts w:ascii="Arial" w:cs="Arial" w:eastAsia="Arial" w:hAnsi="Arial"/>
          <w:sz w:val="15"/>
          <w:szCs w:val="15"/>
          <w:b w:val="1"/>
          <w:bCs w:val="1"/>
          <w:color w:val="2F5496"/>
        </w:rPr>
        <w:t>Tax management</w:t>
      </w:r>
    </w:p>
    <w:p>
      <w:pPr>
        <w:spacing w:after="0" w:line="193" w:lineRule="exact"/>
        <w:rPr>
          <w:sz w:val="20"/>
          <w:szCs w:val="20"/>
          <w:color w:val="auto"/>
        </w:rPr>
      </w:pPr>
    </w:p>
    <w:p>
      <w:pPr>
        <w:ind w:left="8" w:right="60"/>
        <w:spacing w:after="0" w:line="242" w:lineRule="auto"/>
        <w:rPr>
          <w:sz w:val="20"/>
          <w:szCs w:val="20"/>
          <w:color w:val="auto"/>
        </w:rPr>
      </w:pPr>
      <w:r>
        <w:rPr>
          <w:rFonts w:ascii="Arial" w:cs="Arial" w:eastAsia="Arial" w:hAnsi="Arial"/>
          <w:sz w:val="15"/>
          <w:szCs w:val="15"/>
          <w:color w:val="auto"/>
        </w:rPr>
        <w:t>The purpose of Credicorp’s Tax Management Policy is to ensure that the administration of each of the Companies of the Credicorp Group, herewith EGC, applies and executes tax practices that reflect strict compliance with current legislation and act with transparency, clarity, order and coherence to fulfill the formal and substantial tax obligations responsibly and efficiently while promoting cooperative relations with different tax authorities. Our Tax Policy provides details on a series of principles and procedures that govern EGC, employees and managers of the Group. It also indicates which individuals are responsible for the process to ensure compliance with the policy and its scope.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E93CAC"/>
        </w:rPr>
        <w:t>Principies</w:t>
      </w:r>
    </w:p>
    <w:p>
      <w:pPr>
        <w:spacing w:after="0" w:line="191"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Compliance with the tax obligations of EGC, as well as its relations with the Tax Administration in the countries in which each operates, is governed by the following principles:</w:t>
      </w:r>
    </w:p>
    <w:p>
      <w:pPr>
        <w:spacing w:after="0" w:line="155" w:lineRule="exact"/>
        <w:rPr>
          <w:sz w:val="20"/>
          <w:szCs w:val="20"/>
          <w:color w:val="auto"/>
        </w:rPr>
      </w:pPr>
    </w:p>
    <w:p>
      <w:pPr>
        <w:ind w:left="8" w:right="20" w:hanging="8"/>
        <w:spacing w:after="0" w:line="258" w:lineRule="auto"/>
        <w:tabs>
          <w:tab w:leader="none" w:pos="204"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Compliance with tax rules in the different countries and territories in which the EGC operate.</w:t>
      </w:r>
    </w:p>
    <w:p>
      <w:pPr>
        <w:spacing w:after="0" w:line="147" w:lineRule="exact"/>
        <w:rPr>
          <w:rFonts w:ascii="Arial" w:cs="Arial" w:eastAsia="Arial" w:hAnsi="Arial"/>
          <w:sz w:val="15"/>
          <w:szCs w:val="15"/>
          <w:color w:val="auto"/>
        </w:rPr>
      </w:pPr>
    </w:p>
    <w:p>
      <w:pPr>
        <w:ind w:left="188" w:hanging="188"/>
        <w:spacing w:after="0"/>
        <w:tabs>
          <w:tab w:leader="none" w:pos="18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Adopt business decisions based on reasonable interpretation.</w:t>
      </w:r>
    </w:p>
    <w:p>
      <w:pPr>
        <w:spacing w:after="0" w:line="173" w:lineRule="exact"/>
        <w:rPr>
          <w:rFonts w:ascii="Arial" w:cs="Arial" w:eastAsia="Arial" w:hAnsi="Arial"/>
          <w:sz w:val="15"/>
          <w:szCs w:val="15"/>
          <w:color w:val="auto"/>
        </w:rPr>
      </w:pPr>
    </w:p>
    <w:p>
      <w:pPr>
        <w:ind w:left="8" w:hanging="8"/>
        <w:spacing w:after="0" w:line="258" w:lineRule="auto"/>
        <w:tabs>
          <w:tab w:leader="none" w:pos="22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Mitigate tax risks, ensuring that taxation is adequately aligned with the business activity developed by each EGC.</w:t>
      </w:r>
    </w:p>
    <w:p>
      <w:pPr>
        <w:spacing w:after="0" w:line="147" w:lineRule="exact"/>
        <w:rPr>
          <w:rFonts w:ascii="Arial" w:cs="Arial" w:eastAsia="Arial" w:hAnsi="Arial"/>
          <w:sz w:val="15"/>
          <w:szCs w:val="15"/>
          <w:color w:val="auto"/>
        </w:rPr>
      </w:pPr>
    </w:p>
    <w:p>
      <w:pPr>
        <w:jc w:val="both"/>
        <w:ind w:left="8" w:hanging="8"/>
        <w:spacing w:after="0" w:line="245" w:lineRule="auto"/>
        <w:tabs>
          <w:tab w:leader="none" w:pos="226"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Collaboration with tax authorities is based on respect for the law, trust, collaboration and good faith, notwithstanding legitimate controversies that, respecting the aforementioned principles and in defense of social interests, may arise with said authorities due to a difference in interpretation of applicable rules.</w:t>
      </w:r>
    </w:p>
    <w:p>
      <w:pPr>
        <w:spacing w:after="0" w:line="333" w:lineRule="exact"/>
        <w:rPr>
          <w:rFonts w:ascii="Arial" w:cs="Arial" w:eastAsia="Arial" w:hAnsi="Arial"/>
          <w:sz w:val="15"/>
          <w:szCs w:val="15"/>
          <w:color w:val="auto"/>
        </w:rPr>
      </w:pPr>
    </w:p>
    <w:p>
      <w:pPr>
        <w:jc w:val="both"/>
        <w:ind w:left="8" w:hanging="8"/>
        <w:spacing w:after="0" w:line="246" w:lineRule="auto"/>
        <w:tabs>
          <w:tab w:leader="none" w:pos="21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Transfers of operations to entities of the group that may be residents of countries with low or no tax impositions and/or will not be promoted; additionally, structures will not be designed for operations with the sole purpose of originating a lower tax burden.</w:t>
      </w:r>
    </w:p>
    <w:p>
      <w:pPr>
        <w:spacing w:after="0" w:line="157" w:lineRule="exact"/>
        <w:rPr>
          <w:sz w:val="20"/>
          <w:szCs w:val="20"/>
          <w:color w:val="auto"/>
        </w:rPr>
      </w:pPr>
    </w:p>
    <w:p>
      <w:pPr>
        <w:jc w:val="both"/>
        <w:ind w:left="8"/>
        <w:spacing w:after="0" w:line="246" w:lineRule="auto"/>
        <w:rPr>
          <w:sz w:val="20"/>
          <w:szCs w:val="20"/>
          <w:color w:val="auto"/>
        </w:rPr>
      </w:pPr>
      <w:r>
        <w:rPr>
          <w:rFonts w:ascii="Arial" w:cs="Arial" w:eastAsia="Arial" w:hAnsi="Arial"/>
          <w:sz w:val="15"/>
          <w:szCs w:val="15"/>
          <w:color w:val="auto"/>
        </w:rPr>
        <w:t>For more information, visit the section of our web “Corporate Governance Documents”. It is important to note that through Alerta GenETICA (See section: “Alerta GenETICA – Our Ethics Line”), people can report incidents that breach our tax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52640" cy="146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E93CAC"/>
        </w:rPr>
        <w:t>Individuals in charge</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General Management of each EGC will be in charge of ensuring compliance with this Policy and will actively and permanently participate in work to advance on this front. General Management, where applicable, will request an opinion from the units responsible for legal and/tax matters at each EGC or from external tax advisors.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E93CAC"/>
        </w:rPr>
        <w:t>Country by country reporting</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Credicorp Ltd. Must prepare a country-by-country for the group’s fiscal year, which beginning on or after January 1, 2016, and present said report to the tax authority in the jurisdiction where the company has its tax domicile within the 12 months following the end of the fiscal year, according to the current OECD framework:</w:t>
      </w:r>
    </w:p>
    <w:p>
      <w:pPr>
        <w:spacing w:after="0" w:line="157" w:lineRule="exact"/>
        <w:rPr>
          <w:sz w:val="20"/>
          <w:szCs w:val="20"/>
          <w:color w:val="auto"/>
        </w:rPr>
      </w:pPr>
    </w:p>
    <w:p>
      <w:pPr>
        <w:ind w:right="380"/>
        <w:spacing w:after="0" w:line="258" w:lineRule="auto"/>
        <w:rPr>
          <w:sz w:val="20"/>
          <w:szCs w:val="20"/>
          <w:color w:val="auto"/>
        </w:rPr>
      </w:pPr>
      <w:r>
        <w:rPr>
          <w:rFonts w:ascii="Arial" w:cs="Arial" w:eastAsia="Arial" w:hAnsi="Arial"/>
          <w:sz w:val="15"/>
          <w:szCs w:val="15"/>
          <w:u w:val="single" w:color="auto"/>
          <w:color w:val="0563C9"/>
        </w:rPr>
        <w:t>https://www.oecd.org/tax/beps/country-by-country-reporting-handbook-on-effective-implementation.pdf</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compliance with the aforementioned, Credicorp Ltd. presented a country by country report to the regulator in Bermuda for the period corresponding to FY 2021 in October 27, 2022, The country-by-country report was also presented to the tax regulator in Peru, SUNAT (National Superintendence for Customs and Tax Administration) in October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154</w:t>
      </w:r>
    </w:p>
    <w:p>
      <w:pPr>
        <w:sectPr>
          <w:pgSz w:w="11900" w:h="16838" w:orient="portrait"/>
          <w:cols w:equalWidth="0" w:num="2">
            <w:col w:w="5408" w:space="440"/>
            <w:col w:w="5420"/>
          </w:cols>
          <w:pgMar w:left="312" w:top="120" w:right="319" w:bottom="1440" w:gutter="0" w:footer="0" w:header="0"/>
        </w:sectPr>
      </w:pPr>
    </w:p>
    <w:bookmarkStart w:id="157" w:name="page158"/>
    <w:bookmarkEnd w:id="157"/>
    <w:p>
      <w:pPr>
        <w:spacing w:after="0"/>
        <w:rPr>
          <w:sz w:val="20"/>
          <w:szCs w:val="20"/>
          <w:color w:val="auto"/>
        </w:rPr>
      </w:pPr>
      <w:r>
        <w:rPr>
          <w:rFonts w:ascii="Arial" w:cs="Arial" w:eastAsia="Arial" w:hAnsi="Arial"/>
          <w:sz w:val="28"/>
          <w:szCs w:val="28"/>
          <w:b w:val="1"/>
          <w:bCs w:val="1"/>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5264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Approach Relations with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5264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2-29</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In 2022, we published Credicorp’s Sustainability Policy, where we set general principles to cultivate and strengthen our relations with each stakeholder group. The details of our principles for relations can be found </w:t>
      </w:r>
      <w:r>
        <w:rPr>
          <w:rFonts w:ascii="Arial" w:cs="Arial" w:eastAsia="Arial" w:hAnsi="Arial"/>
          <w:sz w:val="15"/>
          <w:szCs w:val="15"/>
          <w:u w:val="single" w:color="auto"/>
          <w:color w:val="0563C9"/>
        </w:rPr>
        <w:t>here.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groups</w:t>
      </w:r>
    </w:p>
    <w:p>
      <w:pPr>
        <w:spacing w:after="0" w:line="1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In the </w:t>
      </w:r>
      <w:r>
        <w:rPr>
          <w:rFonts w:ascii="Arial" w:cs="Arial" w:eastAsia="Arial" w:hAnsi="Arial"/>
          <w:sz w:val="15"/>
          <w:szCs w:val="15"/>
          <w:u w:val="single" w:color="auto"/>
          <w:color w:val="0563C1"/>
        </w:rPr>
        <w:t>Sustainability Policy</w:t>
      </w:r>
      <w:r>
        <w:rPr>
          <w:rFonts w:ascii="Arial" w:cs="Arial" w:eastAsia="Arial" w:hAnsi="Arial"/>
          <w:sz w:val="15"/>
          <w:szCs w:val="15"/>
          <w:color w:val="auto"/>
        </w:rPr>
        <w:t>, we have defined a two -step process to identify our stakeholders. First, we identify “those groups that are directly or indirectly affected by our activities as well as those with interests or the capacity to impact Credicorp’s results, whether positively or negatively.” Second, we prioritize the groups identified based on 3 aspects: urgency, power and legitimacy. We understand “urgency” as constituting sensitivity to delays in addressing a group’s requirements and the importance that we concede to said group. Under our definition, “power” refers to the ability to create impacts on our organization whereas legitimacy is understood as actions that are desirable, adequate or appropriate within a social system of rules, values and beliefs.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Based on the aforementioned, Credicorp has prioritized the following stakeholder groups. Nevertheless, there are other stakeholder groups with which Credicorp, and its subsidiaries interact, including business associations, academia and NGOs. Relations with these organizations are managed in a framework of strategic alliances and are activated when situations so dictate.</w:t>
      </w:r>
    </w:p>
    <w:p>
      <w:pPr>
        <w:spacing w:after="0" w:line="137" w:lineRule="exact"/>
        <w:rPr>
          <w:sz w:val="20"/>
          <w:szCs w:val="20"/>
          <w:color w:val="auto"/>
        </w:rPr>
      </w:pP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Employees</w:t>
      </w:r>
    </w:p>
    <w:p>
      <w:pPr>
        <w:spacing w:after="0" w:line="18" w:lineRule="exact"/>
        <w:rPr>
          <w:rFonts w:ascii="Arial" w:cs="Arial" w:eastAsia="Arial" w:hAnsi="Arial"/>
          <w:sz w:val="15"/>
          <w:szCs w:val="15"/>
          <w:b w:val="1"/>
          <w:bCs w:val="1"/>
          <w:color w:val="auto"/>
        </w:rPr>
      </w:pP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Clients</w:t>
      </w: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Investors / shareholders</w:t>
      </w: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Governance and regulators</w:t>
      </w: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Suppliers</w:t>
      </w: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Community</w:t>
      </w: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Press</w:t>
      </w:r>
    </w:p>
    <w:p>
      <w:pPr>
        <w:ind w:left="540" w:hanging="271"/>
        <w:spacing w:after="0"/>
        <w:tabs>
          <w:tab w:leader="none" w:pos="54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Public Opinion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Mechanisms for dialogue</w:t>
      </w:r>
    </w:p>
    <w:p>
      <w:pPr>
        <w:spacing w:after="0" w:line="1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maintain strong relations with our stakeholders that are recurring and structured. We utilize different key communication channels to address our stakeholders’ needs, concerns and expectations in terms of our activities and those of our subsidiaries.</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Additionally, and at least every 2 years, we conduct an in-depth materiality assessment through studies, interviews, surveys and other instruments to gather information on our stakeholders’ perceptions. Although different areas of Credicorp and its subsidiaries lead relations with each stakeholder group, all must coordinate efforts to gather the aforementioned information with the Sustainability Office, which will complement the review process and update the corporate sustainability strategy.</w:t>
      </w:r>
    </w:p>
    <w:p>
      <w:pPr>
        <w:spacing w:after="0" w:line="332"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Credicorp is always open to listening to the expectations, needs and concerns of these and other stakeholders that may not be mentioned. We serve all groups through public channels at the Corporate and subsidiary levels.</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166"/>
        </w:trPr>
        <w:tc>
          <w:tcPr>
            <w:tcW w:w="920" w:type="dxa"/>
            <w:vAlign w:val="bottom"/>
            <w:tcBorders>
              <w:top w:val="single" w:sz="8" w:color="auto"/>
              <w:left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Investors and</w:t>
            </w:r>
          </w:p>
        </w:tc>
        <w:tc>
          <w:tcPr>
            <w:tcW w:w="1240" w:type="dxa"/>
            <w:vAlign w:val="bottom"/>
            <w:tcBorders>
              <w:top w:val="single" w:sz="8" w:color="auto"/>
              <w:right w:val="single" w:sz="8" w:color="auto"/>
            </w:tcBorders>
          </w:tcPr>
          <w:p>
            <w:pPr>
              <w:ind w:left="80"/>
              <w:spacing w:after="0" w:line="166" w:lineRule="exact"/>
              <w:rPr>
                <w:sz w:val="20"/>
                <w:szCs w:val="20"/>
                <w:color w:val="auto"/>
              </w:rPr>
            </w:pPr>
            <w:r>
              <w:rPr>
                <w:rFonts w:ascii="Arial" w:cs="Arial" w:eastAsia="Arial" w:hAnsi="Arial"/>
                <w:sz w:val="15"/>
                <w:szCs w:val="15"/>
                <w:b w:val="1"/>
                <w:bCs w:val="1"/>
                <w:color w:val="auto"/>
              </w:rPr>
              <w:t>Governance</w:t>
            </w:r>
          </w:p>
        </w:tc>
        <w:tc>
          <w:tcPr>
            <w:tcW w:w="110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Venues for</w:t>
            </w:r>
          </w:p>
        </w:tc>
        <w:tc>
          <w:tcPr>
            <w:tcW w:w="1220" w:type="dxa"/>
            <w:vAlign w:val="bottom"/>
            <w:tcBorders>
              <w:top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Public</w:t>
            </w:r>
          </w:p>
        </w:tc>
        <w:tc>
          <w:tcPr>
            <w:tcW w:w="0" w:type="dxa"/>
            <w:vAlign w:val="bottom"/>
          </w:tcPr>
          <w:p>
            <w:pPr>
              <w:spacing w:after="0"/>
              <w:rPr>
                <w:sz w:val="1"/>
                <w:szCs w:val="1"/>
                <w:color w:val="auto"/>
              </w:rPr>
            </w:pPr>
          </w:p>
        </w:tc>
      </w:tr>
      <w:tr>
        <w:trPr>
          <w:trHeight w:val="81"/>
        </w:trPr>
        <w:tc>
          <w:tcPr>
            <w:tcW w:w="920" w:type="dxa"/>
            <w:vAlign w:val="bottom"/>
            <w:tcBorders>
              <w:left w:val="single" w:sz="8" w:color="auto"/>
              <w:right w:val="single" w:sz="8" w:color="auto"/>
            </w:tcBorders>
          </w:tcPr>
          <w:p>
            <w:pPr>
              <w:spacing w:after="0"/>
              <w:rPr>
                <w:sz w:val="7"/>
                <w:szCs w:val="7"/>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Employees</w:t>
            </w:r>
          </w:p>
        </w:tc>
        <w:tc>
          <w:tcPr>
            <w:tcW w:w="1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Clients</w:t>
            </w:r>
          </w:p>
        </w:tc>
        <w:tc>
          <w:tcPr>
            <w:tcW w:w="1700" w:type="dxa"/>
            <w:vAlign w:val="bottom"/>
            <w:tcBorders>
              <w:right w:val="single" w:sz="8" w:color="auto"/>
            </w:tcBorders>
            <w:gridSpan w:val="2"/>
            <w:vMerge w:val="continue"/>
          </w:tcPr>
          <w:p>
            <w:pPr>
              <w:spacing w:after="0"/>
              <w:rPr>
                <w:sz w:val="7"/>
                <w:szCs w:val="7"/>
                <w:color w:val="auto"/>
              </w:rPr>
            </w:pPr>
          </w:p>
        </w:tc>
        <w:tc>
          <w:tcPr>
            <w:tcW w:w="1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and</w:t>
            </w: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Suppliers</w:t>
            </w:r>
          </w:p>
        </w:tc>
        <w:tc>
          <w:tcPr>
            <w:tcW w:w="12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Community</w:t>
            </w:r>
          </w:p>
        </w:tc>
        <w:tc>
          <w:tcPr>
            <w:tcW w:w="136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2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Shareholders</w:t>
            </w:r>
          </w:p>
        </w:tc>
        <w:tc>
          <w:tcPr>
            <w:tcW w:w="124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Communication</w:t>
            </w:r>
          </w:p>
        </w:tc>
        <w:tc>
          <w:tcPr>
            <w:tcW w:w="12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Opinion</w:t>
            </w:r>
          </w:p>
        </w:tc>
        <w:tc>
          <w:tcPr>
            <w:tcW w:w="0" w:type="dxa"/>
            <w:vAlign w:val="bottom"/>
          </w:tcPr>
          <w:p>
            <w:pPr>
              <w:spacing w:after="0"/>
              <w:rPr>
                <w:sz w:val="1"/>
                <w:szCs w:val="1"/>
                <w:color w:val="auto"/>
              </w:rPr>
            </w:pPr>
          </w:p>
        </w:tc>
      </w:tr>
      <w:tr>
        <w:trPr>
          <w:trHeight w:val="111"/>
        </w:trPr>
        <w:tc>
          <w:tcPr>
            <w:tcW w:w="92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Regulators</w:t>
            </w: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auto"/>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Channels</w:t>
            </w:r>
          </w:p>
        </w:tc>
        <w:tc>
          <w:tcPr>
            <w:tcW w:w="136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Bi-directional and</w:t>
            </w:r>
          </w:p>
        </w:tc>
        <w:tc>
          <w:tcPr>
            <w:tcW w:w="120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Satisfaction</w:t>
            </w:r>
          </w:p>
        </w:tc>
        <w:tc>
          <w:tcPr>
            <w:tcW w:w="1700" w:type="dxa"/>
            <w:vAlign w:val="bottom"/>
            <w:tcBorders>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We proactively</w:t>
            </w:r>
          </w:p>
        </w:tc>
        <w:tc>
          <w:tcPr>
            <w:tcW w:w="12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Maintaining a</w:t>
            </w:r>
          </w:p>
        </w:tc>
        <w:tc>
          <w:tcPr>
            <w:tcW w:w="110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We promote</w:t>
            </w:r>
          </w:p>
        </w:tc>
        <w:tc>
          <w:tcPr>
            <w:tcW w:w="126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Different</w:t>
            </w:r>
          </w:p>
        </w:tc>
        <w:tc>
          <w:tcPr>
            <w:tcW w:w="136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In addition to the</w:t>
            </w:r>
          </w:p>
        </w:tc>
        <w:tc>
          <w:tcPr>
            <w:tcW w:w="1220" w:type="dxa"/>
            <w:vAlign w:val="bottom"/>
            <w:tcBorders>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We provide</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constant</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studies or</w:t>
            </w: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manage interactions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positive and</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 dynamic</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segments of</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press, this group</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relevant and</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communication.</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surveys and</w:t>
            </w:r>
          </w:p>
        </w:tc>
        <w:tc>
          <w:tcPr>
            <w:tcW w:w="340" w:type="dxa"/>
            <w:vAlign w:val="bottom"/>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Conference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collaborative</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supplier</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 community</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includes</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timely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Perception</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information</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calls: quarterly</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relation with</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ecosystem</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are directly or</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journalists and</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information to</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surveys relative</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collection on</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report on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with good</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indirectly</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individuals that</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Credicorp’s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to:</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perceptions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results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Government</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business</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impacted by</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influence public</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businesses for</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Workplace</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concerns.</w:t>
            </w:r>
          </w:p>
        </w:tc>
        <w:tc>
          <w:tcPr>
            <w:tcW w:w="340" w:type="dxa"/>
            <w:vAlign w:val="bottom"/>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Calls or one-on-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Regulatory</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practices.</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 operations</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opinion and</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the peruse of</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climate</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Digital and</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one meetings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Entity</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businesses</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society.</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interested</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organizational</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physical</w:t>
            </w:r>
          </w:p>
        </w:tc>
        <w:tc>
          <w:tcPr>
            <w:tcW w:w="340" w:type="dxa"/>
            <w:vAlign w:val="bottom"/>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Conferences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stakeholder</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 2021, we</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of Credicorp</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Managing a fluid</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parties.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culture</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platforms,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and non-deal-</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group is</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set up</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its</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relation with the</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personal</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relationship</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roadshows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fundamental.</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Credicorp’s</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subsidiaries.</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press is key to</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We conduct a</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experience in</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managers,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(NDRs) to</w:t>
            </w:r>
          </w:p>
        </w:tc>
        <w:tc>
          <w:tcPr>
            <w:tcW w:w="12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Corporate</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properly</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survey of a</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each stage of</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social</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strengthen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We channel</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Area for</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communicating</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representative</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the</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networks,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relations with</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our initiatives</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Negotiation</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subsidiaries</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our purpose,</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group of the</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organization’s</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chatbot,</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investors in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through the</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with and</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seek to</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vision and</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Peruvian urban</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life cycle</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mobile</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different</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business</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Management</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measure the</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objectives.</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population</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work experience</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applications,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geographies.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associations of</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of Suppliers</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most relevant</w:t>
            </w:r>
          </w:p>
        </w:tc>
        <w:tc>
          <w:tcPr>
            <w:tcW w:w="136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over the age of</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with their</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system for</w:t>
            </w:r>
          </w:p>
        </w:tc>
        <w:tc>
          <w:tcPr>
            <w:tcW w:w="340" w:type="dxa"/>
            <w:vAlign w:val="bottom"/>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Ad-hoc events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which we are a</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to ensure that</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impacts of their</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We conduct a</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18 to</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leader</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complaints,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such as Investor</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part.</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we have a</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programs.</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reputation study</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determine their</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Additionally, each</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daily</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Days, Digital</w:t>
            </w:r>
          </w:p>
        </w:tc>
        <w:tc>
          <w:tcPr>
            <w:tcW w:w="12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centralized</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Spaces exist at</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with leaders of</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level of trust in</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subsidiary has</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measurements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Days, ESG</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We conduct a</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efficient</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this level for</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opinion and</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Credicorp and</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communications</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through</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roadshows, etc.</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quarterly</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strategy i</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dialogue and</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public opinion</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in its Peruvian</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channels such</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market studies</w:t>
            </w:r>
          </w:p>
        </w:tc>
        <w:tc>
          <w:tcPr>
            <w:tcW w:w="340" w:type="dxa"/>
            <w:vAlign w:val="bottom"/>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Survey every</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reputation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place that</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exchange. At</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every quarter.</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subsidiaries.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as: forums,</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informal</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two years,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study to</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respects the</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 company</w:t>
            </w:r>
          </w:p>
        </w:tc>
        <w:tc>
          <w:tcPr>
            <w:tcW w:w="136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This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events,</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meetings</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Investor Survey,</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determine</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highest</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level, social</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Additionally, we</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information is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platforms,</w:t>
            </w: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through an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levels of trust</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commercial</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networks are</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maintain a fluid</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subsequently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bulletins and</w:t>
            </w: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external agent</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perception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ethical</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always active</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relation with</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used to</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open-door</w:t>
            </w: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to collect</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of Credicorp</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standards.</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to receive any</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these actors and</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develop our</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sessions with</w:t>
            </w: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feedback on our</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our</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communication.</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provide relevant</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companies’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leaders.</w:t>
            </w: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strategies and</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subsidiaries.</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centralized</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information on</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plans for</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management of</w:t>
            </w:r>
          </w:p>
        </w:tc>
        <w:tc>
          <w:tcPr>
            <w:tcW w:w="12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procurement</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 financial</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communication</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the Investor</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We also gather</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process</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industry, which is</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with the public</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Relations Area</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information 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meets the</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shared with the</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and to design</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 perception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guidelines</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public as</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Social</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that some</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established</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journalistic</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Responsibility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representatives</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by ISO 37001</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content. We also</w:t>
            </w: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programs.</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from the public</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for Anti-</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offer training to</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sector and</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bribery</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journalists to</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regulatory</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management.</w:t>
            </w: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strengthen their</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bodies have of</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abilities to</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us, which</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address issues</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allows us to</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of the national</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design</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economy from a</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initiatives to</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solid vantage</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consolidate a</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point.</w:t>
            </w: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healthy relation</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improve</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joint efforts.</w:t>
            </w:r>
          </w:p>
        </w:tc>
        <w:tc>
          <w:tcPr>
            <w:tcW w:w="110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Frequency</w:t>
            </w:r>
          </w:p>
        </w:tc>
        <w:tc>
          <w:tcPr>
            <w:tcW w:w="136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Quarterly or</w:t>
            </w:r>
          </w:p>
        </w:tc>
        <w:tc>
          <w:tcPr>
            <w:tcW w:w="120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Quarterly,</w:t>
            </w:r>
          </w:p>
        </w:tc>
        <w:tc>
          <w:tcPr>
            <w:tcW w:w="1700" w:type="dxa"/>
            <w:vAlign w:val="bottom"/>
            <w:tcBorders>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Quarterly results. Ad</w:t>
            </w:r>
          </w:p>
        </w:tc>
        <w:tc>
          <w:tcPr>
            <w:tcW w:w="12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Study every</w:t>
            </w:r>
          </w:p>
        </w:tc>
        <w:tc>
          <w:tcPr>
            <w:tcW w:w="110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Quarterly survey</w:t>
            </w:r>
          </w:p>
        </w:tc>
        <w:tc>
          <w:tcPr>
            <w:tcW w:w="1220" w:type="dxa"/>
            <w:vAlign w:val="bottom"/>
            <w:tcBorders>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Quarterly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annually</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monthly is</w:t>
            </w: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hoc meetings ad hoc</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three months,</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survey</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some cases</w:t>
            </w: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(Investor Day) and</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on-going</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daily for all</w:t>
            </w: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annual surveys. Calls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conversations</w:t>
            </w: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channels at</w:t>
            </w: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or one-on-one</w:t>
            </w:r>
          </w:p>
        </w:tc>
        <w:tc>
          <w:tcPr>
            <w:tcW w:w="12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w:t>
            </w: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meetings with the</w:t>
            </w:r>
          </w:p>
        </w:tc>
        <w:tc>
          <w:tcPr>
            <w:tcW w:w="12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subsidiaries</w:t>
            </w: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frequency required by</w:t>
            </w:r>
          </w:p>
        </w:tc>
        <w:tc>
          <w:tcPr>
            <w:tcW w:w="12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5"/>
                <w:szCs w:val="15"/>
                <w:color w:val="auto"/>
              </w:rPr>
              <w:t>investors</w:t>
            </w:r>
          </w:p>
        </w:tc>
        <w:tc>
          <w:tcPr>
            <w:tcW w:w="12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Arial" w:cs="Arial" w:eastAsia="Arial" w:hAnsi="Arial"/>
                <w:sz w:val="15"/>
                <w:szCs w:val="15"/>
                <w:color w:val="auto"/>
                <w:w w:val="95"/>
              </w:rPr>
              <w:t>156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293" w:right="239" w:bottom="1440" w:gutter="0" w:footer="0" w:header="0"/>
        </w:sectPr>
      </w:pPr>
    </w:p>
    <w:bookmarkStart w:id="159" w:name="page160"/>
    <w:bookmarkEnd w:id="159"/>
    <w:p>
      <w:pPr>
        <w:spacing w:after="0"/>
        <w:rPr>
          <w:sz w:val="20"/>
          <w:szCs w:val="20"/>
          <w:color w:val="auto"/>
        </w:rPr>
      </w:pPr>
      <w:r>
        <w:rPr>
          <w:rFonts w:ascii="Arial" w:cs="Arial" w:eastAsia="Arial" w:hAnsi="Arial"/>
          <w:sz w:val="25"/>
          <w:szCs w:val="25"/>
          <w:b w:val="1"/>
          <w:bCs w:val="1"/>
          <w:color w:val="auto"/>
        </w:rPr>
        <w:t>Definition of Material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4502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152640" cy="41287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2640" cy="412877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480" w:type="dxa"/>
            <w:vAlign w:val="bottom"/>
            <w:shd w:val="clear" w:color="auto" w:fill="BFBFBF"/>
          </w:tcPr>
          <w:p>
            <w:pPr>
              <w:ind w:left="700"/>
              <w:spacing w:after="0"/>
              <w:rPr>
                <w:sz w:val="20"/>
                <w:szCs w:val="20"/>
                <w:color w:val="auto"/>
              </w:rPr>
            </w:pPr>
            <w:r>
              <w:rPr>
                <w:rFonts w:ascii="Arial" w:cs="Arial" w:eastAsia="Arial" w:hAnsi="Arial"/>
                <w:sz w:val="15"/>
                <w:szCs w:val="15"/>
                <w:b w:val="1"/>
                <w:bCs w:val="1"/>
                <w:color w:val="auto"/>
              </w:rPr>
              <w:t>Relevant Topic</w:t>
            </w:r>
          </w:p>
        </w:tc>
        <w:tc>
          <w:tcPr>
            <w:tcW w:w="3600" w:type="dxa"/>
            <w:vAlign w:val="bottom"/>
            <w:shd w:val="clear" w:color="auto" w:fill="BFBFBF"/>
          </w:tcPr>
          <w:p>
            <w:pPr>
              <w:ind w:left="1020"/>
              <w:spacing w:after="0"/>
              <w:rPr>
                <w:sz w:val="20"/>
                <w:szCs w:val="20"/>
                <w:color w:val="auto"/>
              </w:rPr>
            </w:pPr>
            <w:r>
              <w:rPr>
                <w:rFonts w:ascii="Arial" w:cs="Arial" w:eastAsia="Arial" w:hAnsi="Arial"/>
                <w:sz w:val="15"/>
                <w:szCs w:val="15"/>
                <w:b w:val="1"/>
                <w:bCs w:val="1"/>
                <w:color w:val="auto"/>
              </w:rPr>
              <w:t>Description of Impact</w:t>
            </w:r>
          </w:p>
        </w:tc>
        <w:tc>
          <w:tcPr>
            <w:tcW w:w="5160" w:type="dxa"/>
            <w:vAlign w:val="bottom"/>
            <w:shd w:val="clear" w:color="auto" w:fill="BFBFBF"/>
          </w:tcPr>
          <w:p>
            <w:pPr>
              <w:ind w:left="2220"/>
              <w:spacing w:after="0"/>
              <w:rPr>
                <w:sz w:val="20"/>
                <w:szCs w:val="20"/>
                <w:color w:val="auto"/>
              </w:rPr>
            </w:pPr>
            <w:r>
              <w:rPr>
                <w:rFonts w:ascii="Arial" w:cs="Arial" w:eastAsia="Arial" w:hAnsi="Arial"/>
                <w:sz w:val="15"/>
                <w:szCs w:val="15"/>
                <w:b w:val="1"/>
                <w:bCs w:val="1"/>
                <w:color w:val="auto"/>
              </w:rPr>
              <w:t>Indicators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Business Ethics and Anti-</w:t>
            </w: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Guidelines and policies that frame ethical behavior</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205- Anticorruption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480" w:type="dxa"/>
            <w:vAlign w:val="bottom"/>
            <w:vMerge w:val="continue"/>
            <w:shd w:val="clear" w:color="auto" w:fill="BFBFBF"/>
          </w:tcPr>
          <w:p>
            <w:pPr>
              <w:spacing w:after="0"/>
              <w:rPr>
                <w:sz w:val="12"/>
                <w:szCs w:val="12"/>
                <w:color w:val="auto"/>
              </w:rPr>
            </w:pPr>
          </w:p>
        </w:tc>
        <w:tc>
          <w:tcPr>
            <w:tcW w:w="3600" w:type="dxa"/>
            <w:vAlign w:val="bottom"/>
            <w:vMerge w:val="continue"/>
            <w:shd w:val="clear" w:color="auto" w:fill="D9D9D9"/>
          </w:tcPr>
          <w:p>
            <w:pPr>
              <w:spacing w:after="0"/>
              <w:rPr>
                <w:sz w:val="12"/>
                <w:szCs w:val="12"/>
                <w:color w:val="auto"/>
              </w:rPr>
            </w:pPr>
          </w:p>
        </w:tc>
        <w:tc>
          <w:tcPr>
            <w:tcW w:w="5160" w:type="dxa"/>
            <w:vAlign w:val="bottom"/>
            <w:shd w:val="clear" w:color="auto" w:fill="D9D9D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BFBFBF"/>
          </w:tcPr>
          <w:p>
            <w:pPr>
              <w:ind w:left="60"/>
              <w:spacing w:after="0"/>
              <w:rPr>
                <w:sz w:val="20"/>
                <w:szCs w:val="20"/>
                <w:color w:val="auto"/>
              </w:rPr>
            </w:pPr>
            <w:r>
              <w:rPr>
                <w:rFonts w:ascii="Arial" w:cs="Arial" w:eastAsia="Arial" w:hAnsi="Arial"/>
                <w:sz w:val="15"/>
                <w:szCs w:val="15"/>
                <w:b w:val="1"/>
                <w:bCs w:val="1"/>
                <w:color w:val="auto"/>
              </w:rPr>
              <w:t>Corruption</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within and outside of the organization</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SASB- Business Ethics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480" w:type="dxa"/>
            <w:vAlign w:val="bottom"/>
            <w:shd w:val="clear" w:color="auto" w:fill="BFBFBF"/>
          </w:tcPr>
          <w:p>
            <w:pPr>
              <w:spacing w:after="0"/>
              <w:rPr>
                <w:sz w:val="24"/>
                <w:szCs w:val="24"/>
                <w:color w:val="auto"/>
              </w:rPr>
            </w:pPr>
          </w:p>
        </w:tc>
        <w:tc>
          <w:tcPr>
            <w:tcW w:w="3600" w:type="dxa"/>
            <w:vAlign w:val="bottom"/>
            <w:vMerge w:val="restart"/>
            <w:shd w:val="clear" w:color="auto" w:fill="D9D9D9"/>
          </w:tcPr>
          <w:p>
            <w:pPr>
              <w:ind w:left="100"/>
              <w:spacing w:after="0"/>
              <w:rPr>
                <w:sz w:val="20"/>
                <w:szCs w:val="20"/>
                <w:color w:val="auto"/>
              </w:rPr>
            </w:pPr>
            <w:r>
              <w:rPr>
                <w:rFonts w:ascii="Arial" w:cs="Arial" w:eastAsia="Arial" w:hAnsi="Arial"/>
                <w:sz w:val="15"/>
                <w:szCs w:val="15"/>
                <w:color w:val="auto"/>
              </w:rPr>
              <w:t>Actions to protect infrastructure (software,</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SASB- Data security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Cybersecurity</w:t>
            </w:r>
          </w:p>
        </w:tc>
        <w:tc>
          <w:tcPr>
            <w:tcW w:w="3600" w:type="dxa"/>
            <w:vAlign w:val="bottom"/>
            <w:vMerge w:val="continue"/>
            <w:shd w:val="clear" w:color="auto" w:fill="D9D9D9"/>
          </w:tcPr>
          <w:p>
            <w:pPr>
              <w:spacing w:after="0"/>
              <w:rPr>
                <w:sz w:val="5"/>
                <w:szCs w:val="5"/>
                <w:color w:val="auto"/>
              </w:rPr>
            </w:pPr>
          </w:p>
        </w:tc>
        <w:tc>
          <w:tcPr>
            <w:tcW w:w="5160" w:type="dxa"/>
            <w:vAlign w:val="bottom"/>
            <w:shd w:val="clear" w:color="auto" w:fill="D9D9D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480" w:type="dxa"/>
            <w:vAlign w:val="bottom"/>
            <w:vMerge w:val="continue"/>
            <w:shd w:val="clear" w:color="auto" w:fill="BFBFBF"/>
          </w:tcPr>
          <w:p>
            <w:pPr>
              <w:spacing w:after="0"/>
              <w:rPr>
                <w:sz w:val="15"/>
                <w:szCs w:val="15"/>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hardware, etc.) and the organization’s most</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Own indicators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480" w:type="dxa"/>
            <w:vAlign w:val="bottom"/>
            <w:shd w:val="clear" w:color="auto" w:fill="BFBFBF"/>
          </w:tcPr>
          <w:p>
            <w:pPr>
              <w:spacing w:after="0"/>
              <w:rPr>
                <w:sz w:val="9"/>
                <w:szCs w:val="9"/>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important systems from digital attacks</w:t>
            </w:r>
          </w:p>
        </w:tc>
        <w:tc>
          <w:tcPr>
            <w:tcW w:w="5160" w:type="dxa"/>
            <w:vAlign w:val="bottom"/>
            <w:vMerge w:val="continue"/>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80" w:type="dxa"/>
            <w:vAlign w:val="bottom"/>
            <w:shd w:val="clear" w:color="auto" w:fill="BFBFBF"/>
          </w:tcPr>
          <w:p>
            <w:pPr>
              <w:spacing w:after="0"/>
              <w:rPr>
                <w:sz w:val="7"/>
                <w:szCs w:val="7"/>
                <w:color w:val="auto"/>
              </w:rPr>
            </w:pPr>
          </w:p>
        </w:tc>
        <w:tc>
          <w:tcPr>
            <w:tcW w:w="3600" w:type="dxa"/>
            <w:vAlign w:val="bottom"/>
            <w:vMerge w:val="continue"/>
            <w:shd w:val="clear" w:color="auto" w:fill="D9D9D9"/>
          </w:tcPr>
          <w:p>
            <w:pPr>
              <w:spacing w:after="0"/>
              <w:rPr>
                <w:sz w:val="7"/>
                <w:szCs w:val="7"/>
                <w:color w:val="auto"/>
              </w:rPr>
            </w:pPr>
          </w:p>
        </w:tc>
        <w:tc>
          <w:tcPr>
            <w:tcW w:w="5160" w:type="dxa"/>
            <w:vAlign w:val="bottom"/>
            <w:shd w:val="clear" w:color="auto" w:fill="D9D9D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480" w:type="dxa"/>
            <w:vAlign w:val="bottom"/>
            <w:shd w:val="clear" w:color="auto" w:fill="BFBFBF"/>
          </w:tcPr>
          <w:p>
            <w:pPr>
              <w:spacing w:after="0"/>
              <w:rPr>
                <w:sz w:val="24"/>
                <w:szCs w:val="24"/>
                <w:color w:val="auto"/>
              </w:rPr>
            </w:pPr>
          </w:p>
        </w:tc>
        <w:tc>
          <w:tcPr>
            <w:tcW w:w="3600" w:type="dxa"/>
            <w:vAlign w:val="bottom"/>
            <w:shd w:val="clear" w:color="auto" w:fill="D9D9D9"/>
          </w:tcPr>
          <w:p>
            <w:pPr>
              <w:spacing w:after="0"/>
              <w:rPr>
                <w:sz w:val="24"/>
                <w:szCs w:val="24"/>
                <w:color w:val="auto"/>
              </w:rPr>
            </w:pP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418- Client Privacy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80" w:type="dxa"/>
            <w:vAlign w:val="bottom"/>
            <w:shd w:val="clear" w:color="auto" w:fill="BFBFBF"/>
          </w:tcPr>
          <w:p>
            <w:pPr>
              <w:ind w:left="60"/>
              <w:spacing w:after="0"/>
              <w:rPr>
                <w:sz w:val="20"/>
                <w:szCs w:val="20"/>
                <w:color w:val="auto"/>
              </w:rPr>
            </w:pPr>
            <w:r>
              <w:rPr>
                <w:rFonts w:ascii="Arial" w:cs="Arial" w:eastAsia="Arial" w:hAnsi="Arial"/>
                <w:sz w:val="15"/>
                <w:szCs w:val="15"/>
                <w:b w:val="1"/>
                <w:bCs w:val="1"/>
                <w:color w:val="auto"/>
              </w:rPr>
              <w:t>Data Privacy</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Security of our clients’ information</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SASB- Data Security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480" w:type="dxa"/>
            <w:vAlign w:val="bottom"/>
            <w:shd w:val="clear" w:color="auto" w:fill="BFBFBF"/>
          </w:tcPr>
          <w:p>
            <w:pPr>
              <w:spacing w:after="0"/>
              <w:rPr>
                <w:sz w:val="8"/>
                <w:szCs w:val="8"/>
                <w:color w:val="auto"/>
              </w:rPr>
            </w:pPr>
          </w:p>
        </w:tc>
        <w:tc>
          <w:tcPr>
            <w:tcW w:w="3600" w:type="dxa"/>
            <w:vAlign w:val="bottom"/>
            <w:shd w:val="clear" w:color="auto" w:fill="D9D9D9"/>
          </w:tcPr>
          <w:p>
            <w:pPr>
              <w:spacing w:after="0"/>
              <w:rPr>
                <w:sz w:val="8"/>
                <w:szCs w:val="8"/>
                <w:color w:val="auto"/>
              </w:rPr>
            </w:pPr>
          </w:p>
        </w:tc>
        <w:tc>
          <w:tcPr>
            <w:tcW w:w="5160" w:type="dxa"/>
            <w:vAlign w:val="bottom"/>
            <w:vMerge w:val="continue"/>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Economic and Financial</w:t>
            </w: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The Group’s financial health and generation of</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201- Economic Performance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480" w:type="dxa"/>
            <w:vAlign w:val="bottom"/>
            <w:vMerge w:val="continue"/>
            <w:shd w:val="clear" w:color="auto" w:fill="BFBFBF"/>
          </w:tcPr>
          <w:p>
            <w:pPr>
              <w:spacing w:after="0"/>
              <w:rPr>
                <w:sz w:val="12"/>
                <w:szCs w:val="12"/>
                <w:color w:val="auto"/>
              </w:rPr>
            </w:pPr>
          </w:p>
        </w:tc>
        <w:tc>
          <w:tcPr>
            <w:tcW w:w="3600" w:type="dxa"/>
            <w:vAlign w:val="bottom"/>
            <w:vMerge w:val="continue"/>
            <w:shd w:val="clear" w:color="auto" w:fill="D9D9D9"/>
          </w:tcPr>
          <w:p>
            <w:pPr>
              <w:spacing w:after="0"/>
              <w:rPr>
                <w:sz w:val="12"/>
                <w:szCs w:val="12"/>
                <w:color w:val="auto"/>
              </w:rPr>
            </w:pPr>
          </w:p>
        </w:tc>
        <w:tc>
          <w:tcPr>
            <w:tcW w:w="5160" w:type="dxa"/>
            <w:vAlign w:val="bottom"/>
            <w:shd w:val="clear" w:color="auto" w:fill="D9D9D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BFBFBF"/>
          </w:tcPr>
          <w:p>
            <w:pPr>
              <w:ind w:left="60"/>
              <w:spacing w:after="0"/>
              <w:rPr>
                <w:sz w:val="20"/>
                <w:szCs w:val="20"/>
                <w:color w:val="auto"/>
              </w:rPr>
            </w:pPr>
            <w:r>
              <w:rPr>
                <w:rFonts w:ascii="Arial" w:cs="Arial" w:eastAsia="Arial" w:hAnsi="Arial"/>
                <w:sz w:val="15"/>
                <w:szCs w:val="15"/>
                <w:b w:val="1"/>
                <w:bCs w:val="1"/>
                <w:color w:val="auto"/>
              </w:rPr>
              <w:t>Performance</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economic value</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SASB- Parameters of Activity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Regulatory compliance</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Attention to and active follow-up on the tax and</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GRI Universal Standards (GRI 2-27)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80" w:type="dxa"/>
            <w:vAlign w:val="bottom"/>
            <w:vMerge w:val="continue"/>
            <w:shd w:val="clear" w:color="auto" w:fill="BFBFBF"/>
          </w:tcPr>
          <w:p>
            <w:pPr>
              <w:spacing w:after="0"/>
              <w:rPr>
                <w:sz w:val="15"/>
                <w:szCs w:val="15"/>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other regulations with which we are bound to</w:t>
            </w:r>
          </w:p>
        </w:tc>
        <w:tc>
          <w:tcPr>
            <w:tcW w:w="5160" w:type="dxa"/>
            <w:vAlign w:val="bottom"/>
            <w:vMerge w:val="continue"/>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comply</w:t>
            </w:r>
          </w:p>
        </w:tc>
        <w:tc>
          <w:tcPr>
            <w:tcW w:w="51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Anti-competitive practices</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Market transparency of financial institutions and</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GRI 206- Disloyal Competition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80" w:type="dxa"/>
            <w:vAlign w:val="bottom"/>
            <w:vMerge w:val="continue"/>
            <w:shd w:val="clear" w:color="auto" w:fill="BFBFBF"/>
          </w:tcPr>
          <w:p>
            <w:pPr>
              <w:spacing w:after="0"/>
              <w:rPr>
                <w:sz w:val="15"/>
                <w:szCs w:val="15"/>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policies that prohibit the use of privileged</w:t>
            </w:r>
          </w:p>
        </w:tc>
        <w:tc>
          <w:tcPr>
            <w:tcW w:w="5160" w:type="dxa"/>
            <w:vAlign w:val="bottom"/>
            <w:vMerge w:val="continue"/>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information or market manipulation.</w:t>
            </w:r>
          </w:p>
        </w:tc>
        <w:tc>
          <w:tcPr>
            <w:tcW w:w="51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shd w:val="clear" w:color="auto" w:fill="BFBFBF"/>
          </w:tcPr>
          <w:p>
            <w:pPr>
              <w:spacing w:after="0"/>
              <w:rPr>
                <w:sz w:val="15"/>
                <w:szCs w:val="15"/>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Governance structure, policies, procedures and</w:t>
            </w:r>
          </w:p>
        </w:tc>
        <w:tc>
          <w:tcPr>
            <w:tcW w:w="5160" w:type="dxa"/>
            <w:vAlign w:val="bottom"/>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80" w:type="dxa"/>
            <w:vAlign w:val="bottom"/>
            <w:shd w:val="clear" w:color="auto" w:fill="BFBFBF"/>
          </w:tcPr>
          <w:p>
            <w:pPr>
              <w:ind w:left="60"/>
              <w:spacing w:after="0"/>
              <w:rPr>
                <w:sz w:val="20"/>
                <w:szCs w:val="20"/>
                <w:color w:val="auto"/>
              </w:rPr>
            </w:pPr>
            <w:r>
              <w:rPr>
                <w:rFonts w:ascii="Arial" w:cs="Arial" w:eastAsia="Arial" w:hAnsi="Arial"/>
                <w:sz w:val="15"/>
                <w:szCs w:val="15"/>
                <w:b w:val="1"/>
                <w:bCs w:val="1"/>
                <w:color w:val="auto"/>
              </w:rPr>
              <w:t>Corporate Governance</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mechanisms for strategic decision making,</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Universal Standards (GRI 2-9 a GRI 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480" w:type="dxa"/>
            <w:vAlign w:val="bottom"/>
            <w:shd w:val="clear" w:color="auto" w:fill="BFBFBF"/>
          </w:tcPr>
          <w:p>
            <w:pPr>
              <w:spacing w:after="0"/>
              <w:rPr>
                <w:sz w:val="10"/>
                <w:szCs w:val="10"/>
                <w:color w:val="auto"/>
              </w:rPr>
            </w:pPr>
          </w:p>
        </w:tc>
        <w:tc>
          <w:tcPr>
            <w:tcW w:w="3600" w:type="dxa"/>
            <w:vAlign w:val="bottom"/>
            <w:shd w:val="clear" w:color="auto" w:fill="D9D9D9"/>
          </w:tcPr>
          <w:p>
            <w:pPr>
              <w:ind w:left="60"/>
              <w:spacing w:after="0" w:line="126" w:lineRule="exact"/>
              <w:rPr>
                <w:sz w:val="20"/>
                <w:szCs w:val="20"/>
                <w:color w:val="auto"/>
              </w:rPr>
            </w:pPr>
            <w:r>
              <w:rPr>
                <w:rFonts w:ascii="Arial" w:cs="Arial" w:eastAsia="Arial" w:hAnsi="Arial"/>
                <w:sz w:val="14"/>
                <w:szCs w:val="14"/>
                <w:color w:val="auto"/>
              </w:rPr>
              <w:t>accountability, stakeholder relations and the</w:t>
            </w:r>
          </w:p>
        </w:tc>
        <w:tc>
          <w:tcPr>
            <w:tcW w:w="5160" w:type="dxa"/>
            <w:vAlign w:val="bottom"/>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sustainability culture.</w:t>
            </w:r>
          </w:p>
        </w:tc>
        <w:tc>
          <w:tcPr>
            <w:tcW w:w="51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480" w:type="dxa"/>
            <w:vAlign w:val="bottom"/>
            <w:shd w:val="clear" w:color="auto" w:fill="BFBFBF"/>
          </w:tcPr>
          <w:p>
            <w:pPr>
              <w:spacing w:after="0"/>
              <w:rPr>
                <w:sz w:val="20"/>
                <w:szCs w:val="20"/>
                <w:color w:val="auto"/>
              </w:rPr>
            </w:pPr>
          </w:p>
        </w:tc>
        <w:tc>
          <w:tcPr>
            <w:tcW w:w="36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Reduce the entry barriers that our community may</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413- Local Communities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Financial Inclusion</w:t>
            </w:r>
          </w:p>
        </w:tc>
        <w:tc>
          <w:tcPr>
            <w:tcW w:w="3600" w:type="dxa"/>
            <w:vAlign w:val="bottom"/>
            <w:shd w:val="clear" w:color="auto" w:fill="D9D9D9"/>
          </w:tcPr>
          <w:p>
            <w:pPr>
              <w:ind w:left="60"/>
              <w:spacing w:after="0" w:line="126" w:lineRule="exact"/>
              <w:rPr>
                <w:sz w:val="20"/>
                <w:szCs w:val="20"/>
                <w:color w:val="auto"/>
              </w:rPr>
            </w:pPr>
            <w:r>
              <w:rPr>
                <w:rFonts w:ascii="Arial" w:cs="Arial" w:eastAsia="Arial" w:hAnsi="Arial"/>
                <w:sz w:val="14"/>
                <w:szCs w:val="14"/>
                <w:color w:val="auto"/>
              </w:rPr>
              <w:t>experience when attempting to access the</w:t>
            </w:r>
          </w:p>
        </w:tc>
        <w:tc>
          <w:tcPr>
            <w:tcW w:w="5160" w:type="dxa"/>
            <w:vAlign w:val="bottom"/>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vMerge w:val="continue"/>
            <w:shd w:val="clear" w:color="auto" w:fill="BFBFBF"/>
          </w:tcPr>
          <w:p>
            <w:pPr>
              <w:spacing w:after="0"/>
              <w:rPr>
                <w:sz w:val="15"/>
                <w:szCs w:val="15"/>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financial system and to increase the use of the</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SASB- Generating inclusion and financial skills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80" w:type="dxa"/>
            <w:vAlign w:val="bottom"/>
            <w:shd w:val="clear" w:color="auto" w:fill="BFBFBF"/>
          </w:tcPr>
          <w:p>
            <w:pPr>
              <w:spacing w:after="0"/>
              <w:rPr>
                <w:sz w:val="8"/>
                <w:szCs w:val="8"/>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same through different initiatives, products and</w:t>
            </w:r>
          </w:p>
        </w:tc>
        <w:tc>
          <w:tcPr>
            <w:tcW w:w="5160" w:type="dxa"/>
            <w:vAlign w:val="bottom"/>
            <w:vMerge w:val="continue"/>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80" w:type="dxa"/>
            <w:vAlign w:val="bottom"/>
            <w:shd w:val="clear" w:color="auto" w:fill="BFBFBF"/>
          </w:tcPr>
          <w:p>
            <w:pPr>
              <w:spacing w:after="0"/>
              <w:rPr>
                <w:sz w:val="6"/>
                <w:szCs w:val="6"/>
                <w:color w:val="auto"/>
              </w:rPr>
            </w:pPr>
          </w:p>
        </w:tc>
        <w:tc>
          <w:tcPr>
            <w:tcW w:w="3600" w:type="dxa"/>
            <w:vAlign w:val="bottom"/>
            <w:vMerge w:val="continue"/>
            <w:shd w:val="clear" w:color="auto" w:fill="D9D9D9"/>
          </w:tcPr>
          <w:p>
            <w:pPr>
              <w:spacing w:after="0"/>
              <w:rPr>
                <w:sz w:val="6"/>
                <w:szCs w:val="6"/>
                <w:color w:val="auto"/>
              </w:rPr>
            </w:pPr>
          </w:p>
        </w:tc>
        <w:tc>
          <w:tcPr>
            <w:tcW w:w="5160" w:type="dxa"/>
            <w:vAlign w:val="bottom"/>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services.</w:t>
            </w:r>
          </w:p>
        </w:tc>
        <w:tc>
          <w:tcPr>
            <w:tcW w:w="51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shd w:val="clear" w:color="auto" w:fill="BFBFBF"/>
          </w:tcPr>
          <w:p>
            <w:pPr>
              <w:spacing w:after="0"/>
              <w:rPr>
                <w:sz w:val="15"/>
                <w:szCs w:val="15"/>
                <w:color w:val="auto"/>
              </w:rPr>
            </w:pPr>
          </w:p>
        </w:tc>
        <w:tc>
          <w:tcPr>
            <w:tcW w:w="36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Transformation of the business model through</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203- Indirect Economic Impacts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Innovation and transformation</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digitalization processes and use of technological</w:t>
            </w:r>
          </w:p>
        </w:tc>
        <w:tc>
          <w:tcPr>
            <w:tcW w:w="5160" w:type="dxa"/>
            <w:vAlign w:val="bottom"/>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80" w:type="dxa"/>
            <w:vAlign w:val="bottom"/>
            <w:vMerge w:val="continue"/>
            <w:shd w:val="clear" w:color="auto" w:fill="BFBFBF"/>
          </w:tcPr>
          <w:p>
            <w:pPr>
              <w:spacing w:after="0"/>
              <w:rPr>
                <w:sz w:val="8"/>
                <w:szCs w:val="8"/>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tools to make internal processes more agile and</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Own indicators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80" w:type="dxa"/>
            <w:vAlign w:val="bottom"/>
            <w:shd w:val="clear" w:color="auto" w:fill="BFBFBF"/>
          </w:tcPr>
          <w:p>
            <w:pPr>
              <w:spacing w:after="0"/>
              <w:rPr>
                <w:sz w:val="6"/>
                <w:szCs w:val="6"/>
                <w:color w:val="auto"/>
              </w:rPr>
            </w:pPr>
          </w:p>
        </w:tc>
        <w:tc>
          <w:tcPr>
            <w:tcW w:w="3600" w:type="dxa"/>
            <w:vAlign w:val="bottom"/>
            <w:vMerge w:val="continue"/>
            <w:shd w:val="clear" w:color="auto" w:fill="D9D9D9"/>
          </w:tcPr>
          <w:p>
            <w:pPr>
              <w:spacing w:after="0"/>
              <w:rPr>
                <w:sz w:val="6"/>
                <w:szCs w:val="6"/>
                <w:color w:val="auto"/>
              </w:rPr>
            </w:pPr>
          </w:p>
        </w:tc>
        <w:tc>
          <w:tcPr>
            <w:tcW w:w="5160" w:type="dxa"/>
            <w:vAlign w:val="bottom"/>
            <w:vMerge w:val="continue"/>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480" w:type="dxa"/>
            <w:vAlign w:val="bottom"/>
            <w:shd w:val="clear" w:color="auto" w:fill="BFBFBF"/>
          </w:tcPr>
          <w:p>
            <w:pPr>
              <w:spacing w:after="0"/>
              <w:rPr>
                <w:sz w:val="15"/>
                <w:szCs w:val="15"/>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provide a better client experience.</w:t>
            </w:r>
          </w:p>
        </w:tc>
        <w:tc>
          <w:tcPr>
            <w:tcW w:w="5160" w:type="dxa"/>
            <w:vAlign w:val="bottom"/>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5"/>
        </w:trPr>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80" w:type="dxa"/>
            <w:vAlign w:val="bottom"/>
            <w:gridSpan w:val="2"/>
          </w:tcPr>
          <w:p>
            <w:pPr>
              <w:ind w:left="4920"/>
              <w:spacing w:after="0"/>
              <w:rPr>
                <w:sz w:val="20"/>
                <w:szCs w:val="20"/>
                <w:color w:val="auto"/>
              </w:rPr>
            </w:pPr>
            <w:r>
              <w:rPr>
                <w:rFonts w:ascii="Arial" w:cs="Arial" w:eastAsia="Arial" w:hAnsi="Arial"/>
                <w:sz w:val="15"/>
                <w:szCs w:val="15"/>
                <w:color w:val="auto"/>
                <w:w w:val="95"/>
              </w:rPr>
              <w:t>157</w:t>
            </w:r>
          </w:p>
        </w:tc>
        <w:tc>
          <w:tcPr>
            <w:tcW w:w="0" w:type="dxa"/>
            <w:vAlign w:val="bottom"/>
          </w:tcPr>
          <w:p>
            <w:pPr>
              <w:spacing w:after="0"/>
              <w:rPr>
                <w:sz w:val="1"/>
                <w:szCs w:val="1"/>
                <w:color w:val="auto"/>
              </w:rPr>
            </w:pPr>
          </w:p>
        </w:tc>
      </w:tr>
      <w:tr>
        <w:trPr>
          <w:trHeight w:val="38"/>
        </w:trPr>
        <w:tc>
          <w:tcPr>
            <w:tcW w:w="24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6" w:right="319"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52640" cy="4070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2640" cy="4070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Comprehensive Risk</w:t>
            </w:r>
          </w:p>
        </w:tc>
        <w:tc>
          <w:tcPr>
            <w:tcW w:w="36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Identification, control and follow-up on risks,</w:t>
            </w:r>
          </w:p>
        </w:tc>
        <w:tc>
          <w:tcPr>
            <w:tcW w:w="5160" w:type="dxa"/>
            <w:vAlign w:val="bottom"/>
            <w:vMerge w:val="restart"/>
            <w:shd w:val="clear" w:color="auto" w:fill="D9D9D9"/>
          </w:tcPr>
          <w:p>
            <w:pPr>
              <w:ind w:left="120"/>
              <w:spacing w:after="0"/>
              <w:rPr>
                <w:sz w:val="20"/>
                <w:szCs w:val="20"/>
                <w:color w:val="auto"/>
              </w:rPr>
            </w:pPr>
            <w:r>
              <w:rPr>
                <w:rFonts w:ascii="Arial" w:cs="Arial" w:eastAsia="Arial" w:hAnsi="Arial"/>
                <w:sz w:val="15"/>
                <w:szCs w:val="15"/>
                <w:color w:val="auto"/>
              </w:rPr>
              <w:t>SASB- System Risk Management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480" w:type="dxa"/>
            <w:vAlign w:val="bottom"/>
            <w:vMerge w:val="continue"/>
            <w:shd w:val="clear" w:color="auto" w:fill="BFBFBF"/>
          </w:tcPr>
          <w:p>
            <w:pPr>
              <w:spacing w:after="0"/>
              <w:rPr>
                <w:sz w:val="7"/>
                <w:szCs w:val="7"/>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opportunities and economic, environmental and</w:t>
            </w:r>
          </w:p>
        </w:tc>
        <w:tc>
          <w:tcPr>
            <w:tcW w:w="5160" w:type="dxa"/>
            <w:vAlign w:val="bottom"/>
            <w:vMerge w:val="continue"/>
            <w:shd w:val="clear" w:color="auto" w:fill="D9D9D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Management</w:t>
            </w:r>
          </w:p>
        </w:tc>
        <w:tc>
          <w:tcPr>
            <w:tcW w:w="3600" w:type="dxa"/>
            <w:vAlign w:val="bottom"/>
            <w:vMerge w:val="continue"/>
            <w:shd w:val="clear" w:color="auto" w:fill="D9D9D9"/>
          </w:tcPr>
          <w:p>
            <w:pPr>
              <w:spacing w:after="0"/>
              <w:rPr>
                <w:sz w:val="7"/>
                <w:szCs w:val="7"/>
                <w:color w:val="auto"/>
              </w:rPr>
            </w:pPr>
          </w:p>
        </w:tc>
        <w:tc>
          <w:tcPr>
            <w:tcW w:w="5160" w:type="dxa"/>
            <w:vAlign w:val="bottom"/>
            <w:shd w:val="clear" w:color="auto" w:fill="D9D9D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480" w:type="dxa"/>
            <w:vAlign w:val="bottom"/>
            <w:vMerge w:val="continue"/>
            <w:shd w:val="clear" w:color="auto" w:fill="BFBFBF"/>
          </w:tcPr>
          <w:p>
            <w:pPr>
              <w:spacing w:after="0"/>
              <w:rPr>
                <w:sz w:val="9"/>
                <w:szCs w:val="9"/>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social impacts of all of the group’s operations</w:t>
            </w:r>
          </w:p>
        </w:tc>
        <w:tc>
          <w:tcPr>
            <w:tcW w:w="5160" w:type="dxa"/>
            <w:vAlign w:val="bottom"/>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480" w:type="dxa"/>
            <w:vAlign w:val="bottom"/>
            <w:shd w:val="clear" w:color="auto" w:fill="BFBFBF"/>
          </w:tcPr>
          <w:p>
            <w:pPr>
              <w:spacing w:after="0"/>
              <w:rPr>
                <w:sz w:val="5"/>
                <w:szCs w:val="5"/>
                <w:color w:val="auto"/>
              </w:rPr>
            </w:pPr>
          </w:p>
        </w:tc>
        <w:tc>
          <w:tcPr>
            <w:tcW w:w="3600" w:type="dxa"/>
            <w:vAlign w:val="bottom"/>
            <w:vMerge w:val="continue"/>
            <w:shd w:val="clear" w:color="auto" w:fill="D9D9D9"/>
          </w:tcPr>
          <w:p>
            <w:pPr>
              <w:spacing w:after="0"/>
              <w:rPr>
                <w:sz w:val="5"/>
                <w:szCs w:val="5"/>
                <w:color w:val="auto"/>
              </w:rPr>
            </w:pPr>
          </w:p>
        </w:tc>
        <w:tc>
          <w:tcPr>
            <w:tcW w:w="5160" w:type="dxa"/>
            <w:vAlign w:val="bottom"/>
            <w:shd w:val="clear" w:color="auto" w:fill="D9D9D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480" w:type="dxa"/>
            <w:vAlign w:val="bottom"/>
            <w:shd w:val="clear" w:color="auto" w:fill="BFBFBF"/>
          </w:tcPr>
          <w:p>
            <w:pPr>
              <w:ind w:left="60"/>
              <w:spacing w:after="0"/>
              <w:rPr>
                <w:sz w:val="20"/>
                <w:szCs w:val="20"/>
                <w:color w:val="auto"/>
              </w:rPr>
            </w:pPr>
            <w:r>
              <w:rPr>
                <w:rFonts w:ascii="Arial" w:cs="Arial" w:eastAsia="Arial" w:hAnsi="Arial"/>
                <w:sz w:val="15"/>
                <w:szCs w:val="15"/>
                <w:b w:val="1"/>
                <w:bCs w:val="1"/>
                <w:color w:val="auto"/>
              </w:rPr>
              <w:t>Commitment to society</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Development of initiatives or programs for society,</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413- Local Communities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BFBFBF"/>
          </w:tcPr>
          <w:p>
            <w:pPr>
              <w:spacing w:after="0"/>
              <w:rPr>
                <w:sz w:val="12"/>
                <w:szCs w:val="12"/>
                <w:color w:val="auto"/>
              </w:rPr>
            </w:pPr>
          </w:p>
        </w:tc>
        <w:tc>
          <w:tcPr>
            <w:tcW w:w="3600" w:type="dxa"/>
            <w:vAlign w:val="bottom"/>
            <w:shd w:val="clear" w:color="auto" w:fill="D9D9D9"/>
          </w:tcPr>
          <w:p>
            <w:pPr>
              <w:ind w:left="60"/>
              <w:spacing w:after="0" w:line="149" w:lineRule="exact"/>
              <w:rPr>
                <w:sz w:val="20"/>
                <w:szCs w:val="20"/>
                <w:color w:val="auto"/>
              </w:rPr>
            </w:pPr>
            <w:r>
              <w:rPr>
                <w:rFonts w:ascii="Arial" w:cs="Arial" w:eastAsia="Arial" w:hAnsi="Arial"/>
                <w:sz w:val="15"/>
                <w:szCs w:val="15"/>
                <w:color w:val="auto"/>
              </w:rPr>
              <w:t>contributing to social progress</w:t>
            </w:r>
          </w:p>
        </w:tc>
        <w:tc>
          <w:tcPr>
            <w:tcW w:w="5160" w:type="dxa"/>
            <w:vAlign w:val="bottom"/>
            <w:shd w:val="clear" w:color="auto" w:fill="D9D9D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Employment and Talent</w:t>
            </w: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Processes for workplace management that are</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401- Employment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480" w:type="dxa"/>
            <w:vAlign w:val="bottom"/>
            <w:vMerge w:val="continue"/>
            <w:shd w:val="clear" w:color="auto" w:fill="BFBFBF"/>
          </w:tcPr>
          <w:p>
            <w:pPr>
              <w:spacing w:after="0"/>
              <w:rPr>
                <w:sz w:val="5"/>
                <w:szCs w:val="5"/>
                <w:color w:val="auto"/>
              </w:rPr>
            </w:pPr>
          </w:p>
        </w:tc>
        <w:tc>
          <w:tcPr>
            <w:tcW w:w="3600" w:type="dxa"/>
            <w:vAlign w:val="bottom"/>
            <w:vMerge w:val="continue"/>
            <w:shd w:val="clear" w:color="auto" w:fill="D9D9D9"/>
          </w:tcPr>
          <w:p>
            <w:pPr>
              <w:spacing w:after="0"/>
              <w:rPr>
                <w:sz w:val="5"/>
                <w:szCs w:val="5"/>
                <w:color w:val="auto"/>
              </w:rPr>
            </w:pPr>
          </w:p>
        </w:tc>
        <w:tc>
          <w:tcPr>
            <w:tcW w:w="5160" w:type="dxa"/>
            <w:vAlign w:val="bottom"/>
            <w:shd w:val="clear" w:color="auto" w:fill="D9D9D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480" w:type="dxa"/>
            <w:vAlign w:val="bottom"/>
            <w:vMerge w:val="continue"/>
            <w:shd w:val="clear" w:color="auto" w:fill="BFBFBF"/>
          </w:tcPr>
          <w:p>
            <w:pPr>
              <w:spacing w:after="0"/>
              <w:rPr>
                <w:sz w:val="6"/>
                <w:szCs w:val="6"/>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aligned with the Group’s purpose and ensure</w:t>
            </w:r>
          </w:p>
        </w:tc>
        <w:tc>
          <w:tcPr>
            <w:tcW w:w="5160" w:type="dxa"/>
            <w:vAlign w:val="bottom"/>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Management</w:t>
            </w:r>
          </w:p>
        </w:tc>
        <w:tc>
          <w:tcPr>
            <w:tcW w:w="3600" w:type="dxa"/>
            <w:vAlign w:val="bottom"/>
            <w:vMerge w:val="continue"/>
            <w:shd w:val="clear" w:color="auto" w:fill="D9D9D9"/>
          </w:tcPr>
          <w:p>
            <w:pPr>
              <w:spacing w:after="0"/>
              <w:rPr>
                <w:sz w:val="8"/>
                <w:szCs w:val="8"/>
                <w:color w:val="auto"/>
              </w:rPr>
            </w:pP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GRI 404- Training and Learning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80" w:type="dxa"/>
            <w:vAlign w:val="bottom"/>
            <w:vMerge w:val="continue"/>
            <w:shd w:val="clear" w:color="auto" w:fill="BFBFBF"/>
          </w:tcPr>
          <w:p>
            <w:pPr>
              <w:spacing w:after="0"/>
              <w:rPr>
                <w:sz w:val="9"/>
                <w:szCs w:val="9"/>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employees’ professional development</w:t>
            </w:r>
          </w:p>
        </w:tc>
        <w:tc>
          <w:tcPr>
            <w:tcW w:w="5160" w:type="dxa"/>
            <w:vAlign w:val="bottom"/>
            <w:vMerge w:val="continue"/>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80" w:type="dxa"/>
            <w:vAlign w:val="bottom"/>
            <w:shd w:val="clear" w:color="auto" w:fill="BFBFBF"/>
          </w:tcPr>
          <w:p>
            <w:pPr>
              <w:spacing w:after="0"/>
              <w:rPr>
                <w:sz w:val="7"/>
                <w:szCs w:val="7"/>
                <w:color w:val="auto"/>
              </w:rPr>
            </w:pPr>
          </w:p>
        </w:tc>
        <w:tc>
          <w:tcPr>
            <w:tcW w:w="3600" w:type="dxa"/>
            <w:vAlign w:val="bottom"/>
            <w:vMerge w:val="continue"/>
            <w:shd w:val="clear" w:color="auto" w:fill="D9D9D9"/>
          </w:tcPr>
          <w:p>
            <w:pPr>
              <w:spacing w:after="0"/>
              <w:rPr>
                <w:sz w:val="7"/>
                <w:szCs w:val="7"/>
                <w:color w:val="auto"/>
              </w:rPr>
            </w:pPr>
          </w:p>
        </w:tc>
        <w:tc>
          <w:tcPr>
            <w:tcW w:w="5160" w:type="dxa"/>
            <w:vAlign w:val="bottom"/>
            <w:shd w:val="clear" w:color="auto" w:fill="D9D9D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480" w:type="dxa"/>
            <w:vAlign w:val="bottom"/>
            <w:shd w:val="clear" w:color="auto" w:fill="BFBFBF"/>
          </w:tcPr>
          <w:p>
            <w:pPr>
              <w:spacing w:after="0"/>
              <w:rPr>
                <w:sz w:val="24"/>
                <w:szCs w:val="24"/>
                <w:color w:val="auto"/>
              </w:rPr>
            </w:pPr>
          </w:p>
        </w:tc>
        <w:tc>
          <w:tcPr>
            <w:tcW w:w="3600" w:type="dxa"/>
            <w:vAlign w:val="bottom"/>
            <w:shd w:val="clear" w:color="auto" w:fill="D9D9D9"/>
          </w:tcPr>
          <w:p>
            <w:pPr>
              <w:spacing w:after="0"/>
              <w:rPr>
                <w:sz w:val="24"/>
                <w:szCs w:val="24"/>
                <w:color w:val="auto"/>
              </w:rPr>
            </w:pP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GEI 203- Indirect Economic Impacts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Financial Education</w:t>
            </w:r>
          </w:p>
        </w:tc>
        <w:tc>
          <w:tcPr>
            <w:tcW w:w="36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Mechanisms to educate clients and citizens about</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GRI 413- Local Communities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480" w:type="dxa"/>
            <w:vAlign w:val="bottom"/>
            <w:vMerge w:val="continue"/>
            <w:shd w:val="clear" w:color="auto" w:fill="BFBFBF"/>
          </w:tcPr>
          <w:p>
            <w:pPr>
              <w:spacing w:after="0"/>
              <w:rPr>
                <w:sz w:val="9"/>
                <w:szCs w:val="9"/>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financial services; financial management; and to</w:t>
            </w:r>
          </w:p>
        </w:tc>
        <w:tc>
          <w:tcPr>
            <w:tcW w:w="5160" w:type="dxa"/>
            <w:vAlign w:val="bottom"/>
            <w:vMerge w:val="continue"/>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480" w:type="dxa"/>
            <w:vAlign w:val="bottom"/>
            <w:vMerge w:val="continue"/>
            <w:shd w:val="clear" w:color="auto" w:fill="BFBFBF"/>
          </w:tcPr>
          <w:p>
            <w:pPr>
              <w:spacing w:after="0"/>
              <w:rPr>
                <w:sz w:val="5"/>
                <w:szCs w:val="5"/>
                <w:color w:val="auto"/>
              </w:rPr>
            </w:pPr>
          </w:p>
        </w:tc>
        <w:tc>
          <w:tcPr>
            <w:tcW w:w="3600" w:type="dxa"/>
            <w:vAlign w:val="bottom"/>
            <w:vMerge w:val="continue"/>
            <w:shd w:val="clear" w:color="auto" w:fill="D9D9D9"/>
          </w:tcPr>
          <w:p>
            <w:pPr>
              <w:spacing w:after="0"/>
              <w:rPr>
                <w:sz w:val="5"/>
                <w:szCs w:val="5"/>
                <w:color w:val="auto"/>
              </w:rPr>
            </w:pPr>
          </w:p>
        </w:tc>
        <w:tc>
          <w:tcPr>
            <w:tcW w:w="5160" w:type="dxa"/>
            <w:vAlign w:val="bottom"/>
            <w:shd w:val="clear" w:color="auto" w:fill="D9D9D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drive their digital skills</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SASB Generating financial inclusion and skills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480" w:type="dxa"/>
            <w:vAlign w:val="bottom"/>
            <w:shd w:val="clear" w:color="auto" w:fill="BFBFBF"/>
          </w:tcPr>
          <w:p>
            <w:pPr>
              <w:spacing w:after="0"/>
              <w:rPr>
                <w:sz w:val="8"/>
                <w:szCs w:val="8"/>
                <w:color w:val="auto"/>
              </w:rPr>
            </w:pPr>
          </w:p>
        </w:tc>
        <w:tc>
          <w:tcPr>
            <w:tcW w:w="3600" w:type="dxa"/>
            <w:vAlign w:val="bottom"/>
            <w:shd w:val="clear" w:color="auto" w:fill="D9D9D9"/>
          </w:tcPr>
          <w:p>
            <w:pPr>
              <w:spacing w:after="0"/>
              <w:rPr>
                <w:sz w:val="8"/>
                <w:szCs w:val="8"/>
                <w:color w:val="auto"/>
              </w:rPr>
            </w:pPr>
          </w:p>
        </w:tc>
        <w:tc>
          <w:tcPr>
            <w:tcW w:w="5160" w:type="dxa"/>
            <w:vAlign w:val="bottom"/>
            <w:vMerge w:val="continue"/>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2480" w:type="dxa"/>
            <w:vAlign w:val="bottom"/>
            <w:shd w:val="clear" w:color="auto" w:fill="BFBFBF"/>
          </w:tcPr>
          <w:p>
            <w:pPr>
              <w:spacing w:after="0"/>
              <w:rPr>
                <w:sz w:val="24"/>
                <w:szCs w:val="24"/>
                <w:color w:val="auto"/>
              </w:rPr>
            </w:pPr>
          </w:p>
        </w:tc>
        <w:tc>
          <w:tcPr>
            <w:tcW w:w="36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Develop and offer responsible financial products</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203- Indirect Economic Impacts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Responsible and Sustainable</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that are adapted to clients’ needs, including those</w:t>
            </w:r>
          </w:p>
        </w:tc>
        <w:tc>
          <w:tcPr>
            <w:tcW w:w="5160" w:type="dxa"/>
            <w:vAlign w:val="bottom"/>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480" w:type="dxa"/>
            <w:vAlign w:val="bottom"/>
            <w:vMerge w:val="continue"/>
            <w:shd w:val="clear" w:color="auto" w:fill="BFBFBF"/>
          </w:tcPr>
          <w:p>
            <w:pPr>
              <w:spacing w:after="0"/>
              <w:rPr>
                <w:sz w:val="5"/>
                <w:szCs w:val="5"/>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with added value from a social and environmental</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SASB- Incorporation of environmental, social, and credit analysis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Finance and Investment</w:t>
            </w:r>
          </w:p>
        </w:tc>
        <w:tc>
          <w:tcPr>
            <w:tcW w:w="3600" w:type="dxa"/>
            <w:vAlign w:val="bottom"/>
            <w:vMerge w:val="continue"/>
            <w:shd w:val="clear" w:color="auto" w:fill="D9D9D9"/>
          </w:tcPr>
          <w:p>
            <w:pPr>
              <w:spacing w:after="0"/>
              <w:rPr>
                <w:sz w:val="9"/>
                <w:szCs w:val="9"/>
                <w:color w:val="auto"/>
              </w:rPr>
            </w:pPr>
          </w:p>
        </w:tc>
        <w:tc>
          <w:tcPr>
            <w:tcW w:w="5160" w:type="dxa"/>
            <w:vAlign w:val="bottom"/>
            <w:vMerge w:val="continue"/>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480" w:type="dxa"/>
            <w:vAlign w:val="bottom"/>
            <w:vMerge w:val="continue"/>
            <w:shd w:val="clear" w:color="auto" w:fill="BFBFBF"/>
          </w:tcPr>
          <w:p>
            <w:pPr>
              <w:spacing w:after="0"/>
              <w:rPr>
                <w:sz w:val="8"/>
                <w:szCs w:val="8"/>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perspective and support the transition to more</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management factors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80" w:type="dxa"/>
            <w:vAlign w:val="bottom"/>
            <w:shd w:val="clear" w:color="auto" w:fill="BFBFBF"/>
          </w:tcPr>
          <w:p>
            <w:pPr>
              <w:spacing w:after="0"/>
              <w:rPr>
                <w:sz w:val="6"/>
                <w:szCs w:val="6"/>
                <w:color w:val="auto"/>
              </w:rPr>
            </w:pPr>
          </w:p>
        </w:tc>
        <w:tc>
          <w:tcPr>
            <w:tcW w:w="3600" w:type="dxa"/>
            <w:vAlign w:val="bottom"/>
            <w:vMerge w:val="continue"/>
            <w:shd w:val="clear" w:color="auto" w:fill="D9D9D9"/>
          </w:tcPr>
          <w:p>
            <w:pPr>
              <w:spacing w:after="0"/>
              <w:rPr>
                <w:sz w:val="6"/>
                <w:szCs w:val="6"/>
                <w:color w:val="auto"/>
              </w:rPr>
            </w:pPr>
          </w:p>
        </w:tc>
        <w:tc>
          <w:tcPr>
            <w:tcW w:w="5160" w:type="dxa"/>
            <w:vAlign w:val="bottom"/>
            <w:vMerge w:val="continue"/>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environmentally sustainable models and activities</w:t>
            </w:r>
          </w:p>
        </w:tc>
        <w:tc>
          <w:tcPr>
            <w:tcW w:w="51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Inclusion of diversity and equal</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Equal opportunities for growth and personal</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405- Diversity and Equal Opportunities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80" w:type="dxa"/>
            <w:vAlign w:val="bottom"/>
            <w:vMerge w:val="continue"/>
            <w:shd w:val="clear" w:color="auto" w:fill="BFBFBF"/>
          </w:tcPr>
          <w:p>
            <w:pPr>
              <w:spacing w:after="0"/>
              <w:rPr>
                <w:sz w:val="13"/>
                <w:szCs w:val="13"/>
                <w:color w:val="auto"/>
              </w:rPr>
            </w:pPr>
          </w:p>
        </w:tc>
        <w:tc>
          <w:tcPr>
            <w:tcW w:w="3600" w:type="dxa"/>
            <w:vAlign w:val="bottom"/>
            <w:shd w:val="clear" w:color="auto" w:fill="D9D9D9"/>
          </w:tcPr>
          <w:p>
            <w:pPr>
              <w:ind w:left="60"/>
              <w:spacing w:after="0" w:line="155" w:lineRule="exact"/>
              <w:rPr>
                <w:sz w:val="20"/>
                <w:szCs w:val="20"/>
                <w:color w:val="auto"/>
              </w:rPr>
            </w:pPr>
            <w:r>
              <w:rPr>
                <w:rFonts w:ascii="Arial" w:cs="Arial" w:eastAsia="Arial" w:hAnsi="Arial"/>
                <w:sz w:val="15"/>
                <w:szCs w:val="15"/>
                <w:color w:val="auto"/>
              </w:rPr>
              <w:t>development for all employees regardless of</w:t>
            </w:r>
          </w:p>
        </w:tc>
        <w:tc>
          <w:tcPr>
            <w:tcW w:w="5160" w:type="dxa"/>
            <w:vAlign w:val="bottom"/>
            <w:shd w:val="clear" w:color="auto" w:fill="D9D9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80" w:type="dxa"/>
            <w:vAlign w:val="bottom"/>
            <w:shd w:val="clear" w:color="auto" w:fill="BFBFBF"/>
          </w:tcPr>
          <w:p>
            <w:pPr>
              <w:ind w:left="60"/>
              <w:spacing w:after="0"/>
              <w:rPr>
                <w:sz w:val="20"/>
                <w:szCs w:val="20"/>
                <w:color w:val="auto"/>
              </w:rPr>
            </w:pPr>
            <w:r>
              <w:rPr>
                <w:rFonts w:ascii="Arial" w:cs="Arial" w:eastAsia="Arial" w:hAnsi="Arial"/>
                <w:sz w:val="15"/>
                <w:szCs w:val="15"/>
                <w:b w:val="1"/>
                <w:bCs w:val="1"/>
                <w:color w:val="auto"/>
              </w:rPr>
              <w:t>opportunities</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gender, race, sexual orientation and socio-</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406- No Discrimination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economic level</w:t>
            </w:r>
          </w:p>
        </w:tc>
        <w:tc>
          <w:tcPr>
            <w:tcW w:w="51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BFBFBF"/>
          </w:tcPr>
          <w:p>
            <w:pPr>
              <w:spacing w:after="0"/>
              <w:rPr>
                <w:sz w:val="17"/>
                <w:szCs w:val="17"/>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System to manage Human Rights via Human</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Universal Standards (GRI 2-22 to GR 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480" w:type="dxa"/>
            <w:vAlign w:val="bottom"/>
            <w:shd w:val="clear" w:color="auto" w:fill="BFBFBF"/>
          </w:tcPr>
          <w:p>
            <w:pPr>
              <w:spacing w:after="0"/>
              <w:rPr>
                <w:sz w:val="13"/>
                <w:szCs w:val="13"/>
                <w:color w:val="auto"/>
              </w:rPr>
            </w:pPr>
          </w:p>
        </w:tc>
        <w:tc>
          <w:tcPr>
            <w:tcW w:w="3600" w:type="dxa"/>
            <w:vAlign w:val="bottom"/>
            <w:vMerge w:val="continue"/>
            <w:shd w:val="clear" w:color="auto" w:fill="D9D9D9"/>
          </w:tcPr>
          <w:p>
            <w:pPr>
              <w:spacing w:after="0"/>
              <w:rPr>
                <w:sz w:val="13"/>
                <w:szCs w:val="13"/>
                <w:color w:val="auto"/>
              </w:rPr>
            </w:pPr>
          </w:p>
        </w:tc>
        <w:tc>
          <w:tcPr>
            <w:tcW w:w="5160" w:type="dxa"/>
            <w:vAlign w:val="bottom"/>
            <w:shd w:val="clear" w:color="auto" w:fill="D9D9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Human Rights</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Rights Policy and procedures to protect said rights</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408- Child Labor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80" w:type="dxa"/>
            <w:vAlign w:val="bottom"/>
            <w:vMerge w:val="continue"/>
            <w:shd w:val="clear" w:color="auto" w:fill="BFBFBF"/>
          </w:tcPr>
          <w:p>
            <w:pPr>
              <w:spacing w:after="0"/>
              <w:rPr>
                <w:sz w:val="8"/>
                <w:szCs w:val="8"/>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among the Group’s employees, suppliers,</w:t>
            </w:r>
          </w:p>
        </w:tc>
        <w:tc>
          <w:tcPr>
            <w:tcW w:w="5160" w:type="dxa"/>
            <w:vAlign w:val="bottom"/>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80" w:type="dxa"/>
            <w:vAlign w:val="bottom"/>
            <w:shd w:val="clear" w:color="auto" w:fill="BFBFBF"/>
          </w:tcPr>
          <w:p>
            <w:pPr>
              <w:spacing w:after="0"/>
              <w:rPr>
                <w:sz w:val="6"/>
                <w:szCs w:val="6"/>
                <w:color w:val="auto"/>
              </w:rPr>
            </w:pPr>
          </w:p>
        </w:tc>
        <w:tc>
          <w:tcPr>
            <w:tcW w:w="3600" w:type="dxa"/>
            <w:vAlign w:val="bottom"/>
            <w:vMerge w:val="continue"/>
            <w:shd w:val="clear" w:color="auto" w:fill="D9D9D9"/>
          </w:tcPr>
          <w:p>
            <w:pPr>
              <w:spacing w:after="0"/>
              <w:rPr>
                <w:sz w:val="6"/>
                <w:szCs w:val="6"/>
                <w:color w:val="auto"/>
              </w:rPr>
            </w:pPr>
          </w:p>
        </w:tc>
        <w:tc>
          <w:tcPr>
            <w:tcW w:w="5160" w:type="dxa"/>
            <w:vAlign w:val="bottom"/>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BFBFBF"/>
          </w:tcPr>
          <w:p>
            <w:pPr>
              <w:spacing w:after="0"/>
              <w:rPr>
                <w:sz w:val="16"/>
                <w:szCs w:val="16"/>
                <w:color w:val="auto"/>
              </w:rPr>
            </w:pP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communities and society in general</w:t>
            </w: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409- Forced or Obligatory Labor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2480" w:type="dxa"/>
            <w:vAlign w:val="bottom"/>
            <w:shd w:val="clear" w:color="auto" w:fill="BFBFBF"/>
          </w:tcPr>
          <w:p>
            <w:pPr>
              <w:spacing w:after="0"/>
              <w:rPr>
                <w:sz w:val="24"/>
                <w:szCs w:val="24"/>
                <w:color w:val="auto"/>
              </w:rPr>
            </w:pPr>
          </w:p>
        </w:tc>
        <w:tc>
          <w:tcPr>
            <w:tcW w:w="3600" w:type="dxa"/>
            <w:vAlign w:val="bottom"/>
            <w:shd w:val="clear" w:color="auto" w:fill="D9D9D9"/>
          </w:tcPr>
          <w:p>
            <w:pPr>
              <w:spacing w:after="0"/>
              <w:rPr>
                <w:sz w:val="24"/>
                <w:szCs w:val="24"/>
                <w:color w:val="auto"/>
              </w:rPr>
            </w:pPr>
          </w:p>
        </w:tc>
        <w:tc>
          <w:tcPr>
            <w:tcW w:w="51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GRI 203- Indirect Economic Impacts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Simplicity, Transparency and</w:t>
            </w:r>
          </w:p>
        </w:tc>
        <w:tc>
          <w:tcPr>
            <w:tcW w:w="3600" w:type="dxa"/>
            <w:vAlign w:val="bottom"/>
            <w:shd w:val="clear" w:color="auto" w:fill="D9D9D9"/>
          </w:tcPr>
          <w:p>
            <w:pPr>
              <w:ind w:left="60"/>
              <w:spacing w:after="0"/>
              <w:rPr>
                <w:sz w:val="20"/>
                <w:szCs w:val="20"/>
                <w:color w:val="auto"/>
              </w:rPr>
            </w:pPr>
            <w:r>
              <w:rPr>
                <w:rFonts w:ascii="Arial" w:cs="Arial" w:eastAsia="Arial" w:hAnsi="Arial"/>
                <w:sz w:val="15"/>
                <w:szCs w:val="15"/>
                <w:color w:val="auto"/>
              </w:rPr>
              <w:t>Simply and transparently explain the conditions of</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GRI 417: Marketing and Labelling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480" w:type="dxa"/>
            <w:vAlign w:val="bottom"/>
            <w:vMerge w:val="continue"/>
            <w:shd w:val="clear" w:color="auto" w:fill="BFBFBF"/>
          </w:tcPr>
          <w:p>
            <w:pPr>
              <w:spacing w:after="0"/>
              <w:rPr>
                <w:sz w:val="6"/>
                <w:szCs w:val="6"/>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our products and services as well as pricing and</w:t>
            </w:r>
          </w:p>
        </w:tc>
        <w:tc>
          <w:tcPr>
            <w:tcW w:w="5160" w:type="dxa"/>
            <w:vAlign w:val="bottom"/>
            <w:vMerge w:val="continue"/>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80" w:type="dxa"/>
            <w:vAlign w:val="bottom"/>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the Client Experience</w:t>
            </w:r>
          </w:p>
        </w:tc>
        <w:tc>
          <w:tcPr>
            <w:tcW w:w="3600" w:type="dxa"/>
            <w:vAlign w:val="bottom"/>
            <w:vMerge w:val="continue"/>
            <w:shd w:val="clear" w:color="auto" w:fill="D9D9D9"/>
          </w:tcPr>
          <w:p>
            <w:pPr>
              <w:spacing w:after="0"/>
              <w:rPr>
                <w:sz w:val="8"/>
                <w:szCs w:val="8"/>
                <w:color w:val="auto"/>
              </w:rPr>
            </w:pPr>
          </w:p>
        </w:tc>
        <w:tc>
          <w:tcPr>
            <w:tcW w:w="5160" w:type="dxa"/>
            <w:vAlign w:val="bottom"/>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80" w:type="dxa"/>
            <w:vAlign w:val="bottom"/>
            <w:vMerge w:val="continue"/>
            <w:shd w:val="clear" w:color="auto" w:fill="BFBFBF"/>
          </w:tcPr>
          <w:p>
            <w:pPr>
              <w:spacing w:after="0"/>
              <w:rPr>
                <w:sz w:val="9"/>
                <w:szCs w:val="9"/>
                <w:color w:val="auto"/>
              </w:rPr>
            </w:pPr>
          </w:p>
        </w:tc>
        <w:tc>
          <w:tcPr>
            <w:tcW w:w="3600" w:type="dxa"/>
            <w:vAlign w:val="bottom"/>
            <w:vMerge w:val="restart"/>
            <w:shd w:val="clear" w:color="auto" w:fill="D9D9D9"/>
          </w:tcPr>
          <w:p>
            <w:pPr>
              <w:ind w:left="60"/>
              <w:spacing w:after="0"/>
              <w:rPr>
                <w:sz w:val="20"/>
                <w:szCs w:val="20"/>
                <w:color w:val="auto"/>
              </w:rPr>
            </w:pPr>
            <w:r>
              <w:rPr>
                <w:rFonts w:ascii="Arial" w:cs="Arial" w:eastAsia="Arial" w:hAnsi="Arial"/>
                <w:sz w:val="15"/>
                <w:szCs w:val="15"/>
                <w:color w:val="auto"/>
              </w:rPr>
              <w:t>fees to increase our clients’ trust and satisfaction</w:t>
            </w:r>
          </w:p>
        </w:tc>
        <w:tc>
          <w:tcPr>
            <w:tcW w:w="51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Own indicators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80" w:type="dxa"/>
            <w:vAlign w:val="bottom"/>
            <w:shd w:val="clear" w:color="auto" w:fill="BFBFBF"/>
          </w:tcPr>
          <w:p>
            <w:pPr>
              <w:spacing w:after="0"/>
              <w:rPr>
                <w:sz w:val="7"/>
                <w:szCs w:val="7"/>
                <w:color w:val="auto"/>
              </w:rPr>
            </w:pPr>
          </w:p>
        </w:tc>
        <w:tc>
          <w:tcPr>
            <w:tcW w:w="3600" w:type="dxa"/>
            <w:vAlign w:val="bottom"/>
            <w:vMerge w:val="continue"/>
            <w:shd w:val="clear" w:color="auto" w:fill="D9D9D9"/>
          </w:tcPr>
          <w:p>
            <w:pPr>
              <w:spacing w:after="0"/>
              <w:rPr>
                <w:sz w:val="7"/>
                <w:szCs w:val="7"/>
                <w:color w:val="auto"/>
              </w:rPr>
            </w:pPr>
          </w:p>
        </w:tc>
        <w:tc>
          <w:tcPr>
            <w:tcW w:w="5160" w:type="dxa"/>
            <w:vAlign w:val="bottom"/>
            <w:vMerge w:val="continue"/>
            <w:shd w:val="clear" w:color="auto" w:fill="D9D9D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80" w:type="dxa"/>
            <w:vAlign w:val="bottom"/>
            <w:shd w:val="clear" w:color="auto" w:fill="BFBFBF"/>
          </w:tcPr>
          <w:p>
            <w:pPr>
              <w:spacing w:after="0"/>
              <w:rPr>
                <w:sz w:val="8"/>
                <w:szCs w:val="8"/>
                <w:color w:val="auto"/>
              </w:rPr>
            </w:pPr>
          </w:p>
        </w:tc>
        <w:tc>
          <w:tcPr>
            <w:tcW w:w="3600" w:type="dxa"/>
            <w:vAlign w:val="bottom"/>
            <w:shd w:val="clear" w:color="auto" w:fill="D9D9D9"/>
          </w:tcPr>
          <w:p>
            <w:pPr>
              <w:spacing w:after="0"/>
              <w:rPr>
                <w:sz w:val="8"/>
                <w:szCs w:val="8"/>
                <w:color w:val="auto"/>
              </w:rPr>
            </w:pPr>
          </w:p>
        </w:tc>
        <w:tc>
          <w:tcPr>
            <w:tcW w:w="5160" w:type="dxa"/>
            <w:vAlign w:val="bottom"/>
            <w:vMerge w:val="continue"/>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BFBFBF"/>
          </w:tcPr>
          <w:p>
            <w:pPr>
              <w:spacing w:after="0"/>
              <w:rPr>
                <w:sz w:val="14"/>
                <w:szCs w:val="14"/>
                <w:color w:val="auto"/>
              </w:rPr>
            </w:pPr>
          </w:p>
        </w:tc>
        <w:tc>
          <w:tcPr>
            <w:tcW w:w="3600" w:type="dxa"/>
            <w:vAlign w:val="bottom"/>
            <w:shd w:val="clear" w:color="auto" w:fill="D9D9D9"/>
          </w:tcPr>
          <w:p>
            <w:pPr>
              <w:spacing w:after="0"/>
              <w:rPr>
                <w:sz w:val="14"/>
                <w:szCs w:val="14"/>
                <w:color w:val="auto"/>
              </w:rPr>
            </w:pPr>
          </w:p>
        </w:tc>
        <w:tc>
          <w:tcPr>
            <w:tcW w:w="5160" w:type="dxa"/>
            <w:vAlign w:val="bottom"/>
            <w:shd w:val="clear" w:color="auto" w:fill="D9D9D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80" w:type="dxa"/>
            <w:vAlign w:val="bottom"/>
            <w:gridSpan w:val="2"/>
          </w:tcPr>
          <w:p>
            <w:pPr>
              <w:ind w:left="4920"/>
              <w:spacing w:after="0"/>
              <w:rPr>
                <w:sz w:val="20"/>
                <w:szCs w:val="20"/>
                <w:color w:val="auto"/>
              </w:rPr>
            </w:pPr>
            <w:r>
              <w:rPr>
                <w:rFonts w:ascii="Arial" w:cs="Arial" w:eastAsia="Arial" w:hAnsi="Arial"/>
                <w:sz w:val="15"/>
                <w:szCs w:val="15"/>
                <w:color w:val="auto"/>
                <w:w w:val="95"/>
              </w:rPr>
              <w:t>158</w:t>
            </w:r>
          </w:p>
        </w:tc>
        <w:tc>
          <w:tcPr>
            <w:tcW w:w="0" w:type="dxa"/>
            <w:vAlign w:val="bottom"/>
          </w:tcPr>
          <w:p>
            <w:pPr>
              <w:spacing w:after="0"/>
              <w:rPr>
                <w:sz w:val="1"/>
                <w:szCs w:val="1"/>
                <w:color w:val="auto"/>
              </w:rPr>
            </w:pPr>
          </w:p>
        </w:tc>
      </w:tr>
      <w:tr>
        <w:trPr>
          <w:trHeight w:val="38"/>
        </w:trPr>
        <w:tc>
          <w:tcPr>
            <w:tcW w:w="24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 w:right="319" w:bottom="1440" w:gutter="0" w:footer="0" w:header="0"/>
        </w:sectPr>
      </w:pPr>
    </w:p>
    <w:bookmarkStart w:id="161" w:name="page162"/>
    <w:bookmarkEnd w:id="161"/>
    <w:p>
      <w:pPr>
        <w:spacing w:after="0"/>
        <w:rPr>
          <w:sz w:val="20"/>
          <w:szCs w:val="20"/>
          <w:color w:val="auto"/>
        </w:rPr>
      </w:pPr>
      <w:r>
        <w:rPr>
          <w:rFonts w:ascii="Arial" w:cs="Arial" w:eastAsia="Arial" w:hAnsi="Arial"/>
          <w:sz w:val="25"/>
          <w:szCs w:val="25"/>
          <w:b w:val="1"/>
          <w:bCs w:val="1"/>
          <w:color w:val="auto"/>
        </w:rPr>
        <w:t>Dashboard of corporate metrics</w:t>
      </w:r>
      <w:r>
        <w:rPr>
          <w:rFonts w:ascii="Arial" w:cs="Arial" w:eastAsia="Arial" w:hAnsi="Arial"/>
          <w:sz w:val="40"/>
          <w:szCs w:val="40"/>
          <w:b w:val="1"/>
          <w:bCs w:val="1"/>
          <w:color w:val="auto"/>
          <w:vertAlign w:val="superscript"/>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5264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380" w:type="dxa"/>
            <w:vAlign w:val="bottom"/>
            <w:tcBorders>
              <w:top w:val="single" w:sz="8" w:color="auto"/>
              <w:left w:val="single" w:sz="8" w:color="auto"/>
              <w:right w:val="single" w:sz="8" w:color="auto"/>
            </w:tcBorders>
            <w:vMerge w:val="restart"/>
          </w:tcPr>
          <w:p>
            <w:pPr>
              <w:ind w:left="500"/>
              <w:spacing w:after="0"/>
              <w:rPr>
                <w:sz w:val="20"/>
                <w:szCs w:val="20"/>
                <w:color w:val="auto"/>
              </w:rPr>
            </w:pPr>
            <w:r>
              <w:rPr>
                <w:rFonts w:ascii="Arial" w:cs="Arial" w:eastAsia="Arial" w:hAnsi="Arial"/>
                <w:sz w:val="15"/>
                <w:szCs w:val="15"/>
                <w:b w:val="1"/>
                <w:bCs w:val="1"/>
                <w:color w:val="auto"/>
              </w:rPr>
              <w:t>Pillar</w:t>
            </w:r>
          </w:p>
        </w:tc>
        <w:tc>
          <w:tcPr>
            <w:tcW w:w="860" w:type="dxa"/>
            <w:vAlign w:val="bottom"/>
            <w:tcBorders>
              <w:top w:val="single" w:sz="8" w:color="auto"/>
            </w:tcBorders>
          </w:tcPr>
          <w:p>
            <w:pPr>
              <w:spacing w:after="0"/>
              <w:rPr>
                <w:sz w:val="14"/>
                <w:szCs w:val="14"/>
                <w:color w:val="auto"/>
              </w:rPr>
            </w:pPr>
          </w:p>
        </w:tc>
        <w:tc>
          <w:tcPr>
            <w:tcW w:w="218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5"/>
                <w:szCs w:val="15"/>
                <w:b w:val="1"/>
                <w:bCs w:val="1"/>
                <w:color w:val="auto"/>
              </w:rPr>
              <w:t>Ambition</w:t>
            </w:r>
          </w:p>
        </w:tc>
        <w:tc>
          <w:tcPr>
            <w:tcW w:w="1580" w:type="dxa"/>
            <w:vAlign w:val="bottom"/>
            <w:tcBorders>
              <w:top w:val="single" w:sz="8" w:color="auto"/>
              <w:right w:val="single" w:sz="8" w:color="auto"/>
            </w:tcBorders>
            <w:vMerge w:val="restart"/>
          </w:tcPr>
          <w:p>
            <w:pPr>
              <w:ind w:left="460"/>
              <w:spacing w:after="0"/>
              <w:rPr>
                <w:sz w:val="20"/>
                <w:szCs w:val="20"/>
                <w:color w:val="auto"/>
              </w:rPr>
            </w:pPr>
            <w:r>
              <w:rPr>
                <w:rFonts w:ascii="Arial" w:cs="Arial" w:eastAsia="Arial" w:hAnsi="Arial"/>
                <w:sz w:val="15"/>
                <w:szCs w:val="15"/>
                <w:b w:val="1"/>
                <w:bCs w:val="1"/>
                <w:color w:val="auto"/>
              </w:rPr>
              <w:t>Platform</w:t>
            </w:r>
          </w:p>
        </w:tc>
        <w:tc>
          <w:tcPr>
            <w:tcW w:w="156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5"/>
                <w:szCs w:val="15"/>
                <w:b w:val="1"/>
                <w:bCs w:val="1"/>
                <w:color w:val="auto"/>
              </w:rPr>
              <w:t>Subsidiary</w:t>
            </w:r>
          </w:p>
        </w:tc>
        <w:tc>
          <w:tcPr>
            <w:tcW w:w="1680" w:type="dxa"/>
            <w:vAlign w:val="bottom"/>
            <w:tcBorders>
              <w:top w:val="single" w:sz="8" w:color="auto"/>
              <w:right w:val="single" w:sz="8" w:color="auto"/>
            </w:tcBorders>
            <w:vMerge w:val="restart"/>
          </w:tcPr>
          <w:p>
            <w:pPr>
              <w:ind w:left="500"/>
              <w:spacing w:after="0"/>
              <w:rPr>
                <w:sz w:val="20"/>
                <w:szCs w:val="20"/>
                <w:color w:val="auto"/>
              </w:rPr>
            </w:pPr>
            <w:r>
              <w:rPr>
                <w:rFonts w:ascii="Arial" w:cs="Arial" w:eastAsia="Arial" w:hAnsi="Arial"/>
                <w:sz w:val="15"/>
                <w:szCs w:val="15"/>
                <w:b w:val="1"/>
                <w:bCs w:val="1"/>
                <w:color w:val="auto"/>
              </w:rPr>
              <w:t>Indicator</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Units</w:t>
            </w:r>
          </w:p>
        </w:tc>
        <w:tc>
          <w:tcPr>
            <w:tcW w:w="1120" w:type="dxa"/>
            <w:vAlign w:val="bottom"/>
            <w:tcBorders>
              <w:top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rPr>
              <w:t>2022 (year-</w:t>
            </w:r>
          </w:p>
        </w:tc>
        <w:tc>
          <w:tcPr>
            <w:tcW w:w="0" w:type="dxa"/>
            <w:vAlign w:val="bottom"/>
          </w:tcPr>
          <w:p>
            <w:pPr>
              <w:spacing w:after="0"/>
              <w:rPr>
                <w:sz w:val="1"/>
                <w:szCs w:val="1"/>
                <w:color w:val="auto"/>
              </w:rPr>
            </w:pPr>
          </w:p>
        </w:tc>
      </w:tr>
      <w:tr>
        <w:trPr>
          <w:trHeight w:val="111"/>
        </w:trPr>
        <w:tc>
          <w:tcPr>
            <w:tcW w:w="138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end)</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bottom w:val="single" w:sz="8" w:color="auto"/>
              <w:right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shd w:val="clear" w:color="auto" w:fill="DEEAF6"/>
          </w:tcPr>
          <w:p>
            <w:pPr>
              <w:spacing w:after="0"/>
              <w:rPr>
                <w:sz w:val="14"/>
                <w:szCs w:val="14"/>
                <w:color w:val="auto"/>
              </w:rPr>
            </w:pPr>
          </w:p>
        </w:tc>
        <w:tc>
          <w:tcPr>
            <w:tcW w:w="860" w:type="dxa"/>
            <w:vAlign w:val="bottom"/>
            <w:shd w:val="clear" w:color="auto" w:fill="DEEAF6"/>
          </w:tcPr>
          <w:p>
            <w:pPr>
              <w:spacing w:after="0"/>
              <w:rPr>
                <w:sz w:val="14"/>
                <w:szCs w:val="14"/>
                <w:color w:val="auto"/>
              </w:rPr>
            </w:pPr>
          </w:p>
        </w:tc>
        <w:tc>
          <w:tcPr>
            <w:tcW w:w="2180" w:type="dxa"/>
            <w:vAlign w:val="bottom"/>
            <w:tcBorders>
              <w:right w:val="single" w:sz="8" w:color="auto"/>
            </w:tcBorders>
            <w:shd w:val="clear" w:color="auto" w:fill="DEEAF6"/>
          </w:tcPr>
          <w:p>
            <w:pPr>
              <w:spacing w:after="0"/>
              <w:rPr>
                <w:sz w:val="14"/>
                <w:szCs w:val="14"/>
                <w:color w:val="auto"/>
              </w:rPr>
            </w:pPr>
          </w:p>
        </w:tc>
        <w:tc>
          <w:tcPr>
            <w:tcW w:w="1580" w:type="dxa"/>
            <w:vAlign w:val="bottom"/>
            <w:tcBorders>
              <w:right w:val="single" w:sz="8" w:color="auto"/>
            </w:tcBorders>
            <w:shd w:val="clear" w:color="auto" w:fill="DEEAF6"/>
          </w:tcPr>
          <w:p>
            <w:pPr>
              <w:spacing w:after="0"/>
              <w:rPr>
                <w:sz w:val="14"/>
                <w:szCs w:val="14"/>
                <w:color w:val="auto"/>
              </w:rPr>
            </w:pPr>
          </w:p>
        </w:tc>
        <w:tc>
          <w:tcPr>
            <w:tcW w:w="1560" w:type="dxa"/>
            <w:vAlign w:val="bottom"/>
            <w:tcBorders>
              <w:right w:val="single" w:sz="8" w:color="auto"/>
            </w:tcBorders>
            <w:shd w:val="clear" w:color="auto" w:fill="DEEAF6"/>
          </w:tcPr>
          <w:p>
            <w:pPr>
              <w:spacing w:after="0"/>
              <w:rPr>
                <w:sz w:val="14"/>
                <w:szCs w:val="14"/>
                <w:color w:val="auto"/>
              </w:rPr>
            </w:pPr>
          </w:p>
        </w:tc>
        <w:tc>
          <w:tcPr>
            <w:tcW w:w="168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Loans for invoice</w:t>
            </w:r>
          </w:p>
        </w:tc>
        <w:tc>
          <w:tcPr>
            <w:tcW w:w="900" w:type="dxa"/>
            <w:vAlign w:val="bottom"/>
            <w:tcBorders>
              <w:right w:val="single" w:sz="8" w:color="auto"/>
            </w:tcBorders>
            <w:shd w:val="clear" w:color="auto" w:fill="DEEAF6"/>
          </w:tcPr>
          <w:p>
            <w:pPr>
              <w:spacing w:after="0"/>
              <w:rPr>
                <w:sz w:val="14"/>
                <w:szCs w:val="14"/>
                <w:color w:val="auto"/>
              </w:rPr>
            </w:pPr>
          </w:p>
        </w:tc>
        <w:tc>
          <w:tcPr>
            <w:tcW w:w="1120" w:type="dxa"/>
            <w:vAlign w:val="bottom"/>
            <w:tcBorders>
              <w:right w:val="single" w:sz="8" w:color="auto"/>
            </w:tcBorders>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DEEAF6"/>
          </w:tcPr>
          <w:p>
            <w:pPr>
              <w:spacing w:after="0"/>
              <w:rPr>
                <w:sz w:val="15"/>
                <w:szCs w:val="15"/>
                <w:color w:val="auto"/>
              </w:rPr>
            </w:pPr>
          </w:p>
        </w:tc>
        <w:tc>
          <w:tcPr>
            <w:tcW w:w="3040" w:type="dxa"/>
            <w:vAlign w:val="bottom"/>
            <w:tcBorders>
              <w:right w:val="single" w:sz="8" w:color="auto"/>
            </w:tcBorders>
            <w:gridSpan w:val="2"/>
            <w:shd w:val="clear" w:color="auto" w:fill="DEEAF6"/>
          </w:tcPr>
          <w:p>
            <w:pPr>
              <w:ind w:left="40"/>
              <w:spacing w:after="0"/>
              <w:rPr>
                <w:sz w:val="20"/>
                <w:szCs w:val="20"/>
                <w:color w:val="auto"/>
              </w:rPr>
            </w:pPr>
            <w:r>
              <w:rPr>
                <w:rFonts w:ascii="Arial" w:cs="Arial" w:eastAsia="Arial" w:hAnsi="Arial"/>
                <w:sz w:val="15"/>
                <w:szCs w:val="15"/>
                <w:color w:val="auto"/>
              </w:rPr>
              <w:t>Help small and medium businesses grow,</w:t>
            </w:r>
          </w:p>
        </w:tc>
        <w:tc>
          <w:tcPr>
            <w:tcW w:w="15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Help small</w:t>
            </w:r>
          </w:p>
        </w:tc>
        <w:tc>
          <w:tcPr>
            <w:tcW w:w="156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BCP</w:t>
            </w: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discounting for small</w:t>
            </w:r>
          </w:p>
        </w:tc>
        <w:tc>
          <w:tcPr>
            <w:tcW w:w="9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S/ millions</w:t>
            </w:r>
          </w:p>
        </w:tc>
        <w:tc>
          <w:tcPr>
            <w:tcW w:w="112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1,450</w:t>
            </w: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DEEAF6"/>
          </w:tcPr>
          <w:p>
            <w:pPr>
              <w:spacing w:after="0"/>
              <w:rPr>
                <w:sz w:val="8"/>
                <w:szCs w:val="8"/>
                <w:color w:val="auto"/>
              </w:rPr>
            </w:pP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including our supplier ecosystem</w:t>
            </w:r>
          </w:p>
        </w:tc>
        <w:tc>
          <w:tcPr>
            <w:tcW w:w="15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businesses grow</w:t>
            </w:r>
          </w:p>
        </w:tc>
        <w:tc>
          <w:tcPr>
            <w:tcW w:w="1560" w:type="dxa"/>
            <w:vAlign w:val="bottom"/>
            <w:tcBorders>
              <w:right w:val="single" w:sz="8" w:color="auto"/>
            </w:tcBorders>
            <w:vMerge w:val="continue"/>
            <w:shd w:val="clear" w:color="auto" w:fill="DEEAF6"/>
          </w:tcPr>
          <w:p>
            <w:pPr>
              <w:spacing w:after="0"/>
              <w:rPr>
                <w:sz w:val="8"/>
                <w:szCs w:val="8"/>
                <w:color w:val="auto"/>
              </w:rPr>
            </w:pP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and medium</w:t>
            </w:r>
          </w:p>
        </w:tc>
        <w:tc>
          <w:tcPr>
            <w:tcW w:w="900" w:type="dxa"/>
            <w:vAlign w:val="bottom"/>
            <w:tcBorders>
              <w:right w:val="single" w:sz="8" w:color="auto"/>
            </w:tcBorders>
            <w:vMerge w:val="continue"/>
            <w:shd w:val="clear" w:color="auto" w:fill="DEEAF6"/>
          </w:tcPr>
          <w:p>
            <w:pPr>
              <w:spacing w:after="0"/>
              <w:rPr>
                <w:sz w:val="8"/>
                <w:szCs w:val="8"/>
                <w:color w:val="auto"/>
              </w:rPr>
            </w:pPr>
          </w:p>
        </w:tc>
        <w:tc>
          <w:tcPr>
            <w:tcW w:w="1120" w:type="dxa"/>
            <w:vAlign w:val="bottom"/>
            <w:tcBorders>
              <w:right w:val="single" w:sz="8" w:color="auto"/>
            </w:tcBorders>
            <w:vMerge w:val="continue"/>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380" w:type="dxa"/>
            <w:vAlign w:val="bottom"/>
            <w:tcBorders>
              <w:left w:val="single" w:sz="8" w:color="auto"/>
              <w:right w:val="single" w:sz="8" w:color="auto"/>
            </w:tcBorders>
            <w:shd w:val="clear" w:color="auto" w:fill="DEEAF6"/>
          </w:tcPr>
          <w:p>
            <w:pPr>
              <w:spacing w:after="0"/>
              <w:rPr>
                <w:sz w:val="6"/>
                <w:szCs w:val="6"/>
                <w:color w:val="auto"/>
              </w:rPr>
            </w:pPr>
          </w:p>
        </w:tc>
        <w:tc>
          <w:tcPr>
            <w:tcW w:w="3040" w:type="dxa"/>
            <w:vAlign w:val="bottom"/>
            <w:tcBorders>
              <w:right w:val="single" w:sz="8" w:color="auto"/>
            </w:tcBorders>
            <w:gridSpan w:val="2"/>
            <w:vMerge w:val="continue"/>
            <w:shd w:val="clear" w:color="auto" w:fill="DEEAF6"/>
          </w:tcPr>
          <w:p>
            <w:pPr>
              <w:spacing w:after="0"/>
              <w:rPr>
                <w:sz w:val="6"/>
                <w:szCs w:val="6"/>
                <w:color w:val="auto"/>
              </w:rPr>
            </w:pPr>
          </w:p>
        </w:tc>
        <w:tc>
          <w:tcPr>
            <w:tcW w:w="1580" w:type="dxa"/>
            <w:vAlign w:val="bottom"/>
            <w:tcBorders>
              <w:right w:val="single" w:sz="8" w:color="auto"/>
            </w:tcBorders>
            <w:vMerge w:val="continue"/>
            <w:shd w:val="clear" w:color="auto" w:fill="DEEAF6"/>
          </w:tcPr>
          <w:p>
            <w:pPr>
              <w:spacing w:after="0"/>
              <w:rPr>
                <w:sz w:val="6"/>
                <w:szCs w:val="6"/>
                <w:color w:val="auto"/>
              </w:rPr>
            </w:pPr>
          </w:p>
        </w:tc>
        <w:tc>
          <w:tcPr>
            <w:tcW w:w="1560" w:type="dxa"/>
            <w:vAlign w:val="bottom"/>
            <w:tcBorders>
              <w:right w:val="single" w:sz="8" w:color="auto"/>
            </w:tcBorders>
            <w:shd w:val="clear" w:color="auto" w:fill="DEEAF6"/>
          </w:tcPr>
          <w:p>
            <w:pPr>
              <w:spacing w:after="0"/>
              <w:rPr>
                <w:sz w:val="6"/>
                <w:szCs w:val="6"/>
                <w:color w:val="auto"/>
              </w:rPr>
            </w:pPr>
          </w:p>
        </w:tc>
        <w:tc>
          <w:tcPr>
            <w:tcW w:w="1680" w:type="dxa"/>
            <w:vAlign w:val="bottom"/>
            <w:tcBorders>
              <w:right w:val="single" w:sz="8" w:color="auto"/>
            </w:tcBorders>
            <w:vMerge w:val="continue"/>
            <w:shd w:val="clear" w:color="auto" w:fill="DEEAF6"/>
          </w:tcPr>
          <w:p>
            <w:pPr>
              <w:spacing w:after="0"/>
              <w:rPr>
                <w:sz w:val="6"/>
                <w:szCs w:val="6"/>
                <w:color w:val="auto"/>
              </w:rPr>
            </w:pPr>
          </w:p>
        </w:tc>
        <w:tc>
          <w:tcPr>
            <w:tcW w:w="900" w:type="dxa"/>
            <w:vAlign w:val="bottom"/>
            <w:tcBorders>
              <w:right w:val="single" w:sz="8" w:color="auto"/>
            </w:tcBorders>
            <w:shd w:val="clear" w:color="auto" w:fill="DEEAF6"/>
          </w:tcPr>
          <w:p>
            <w:pPr>
              <w:spacing w:after="0"/>
              <w:rPr>
                <w:sz w:val="6"/>
                <w:szCs w:val="6"/>
                <w:color w:val="auto"/>
              </w:rPr>
            </w:pPr>
          </w:p>
        </w:tc>
        <w:tc>
          <w:tcPr>
            <w:tcW w:w="1120" w:type="dxa"/>
            <w:vAlign w:val="bottom"/>
            <w:tcBorders>
              <w:right w:val="single" w:sz="8" w:color="auto"/>
            </w:tcBorders>
            <w:shd w:val="clear" w:color="auto" w:fill="DEEAF6"/>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380" w:type="dxa"/>
            <w:vAlign w:val="bottom"/>
            <w:tcBorders>
              <w:left w:val="single" w:sz="8" w:color="auto"/>
              <w:bottom w:val="single" w:sz="8" w:color="DEEAF6"/>
              <w:right w:val="single" w:sz="8" w:color="auto"/>
            </w:tcBorders>
            <w:shd w:val="clear" w:color="auto" w:fill="DEEAF6"/>
          </w:tcPr>
          <w:p>
            <w:pPr>
              <w:spacing w:after="0"/>
              <w:rPr>
                <w:sz w:val="15"/>
                <w:szCs w:val="15"/>
                <w:color w:val="auto"/>
              </w:rPr>
            </w:pPr>
          </w:p>
        </w:tc>
        <w:tc>
          <w:tcPr>
            <w:tcW w:w="860" w:type="dxa"/>
            <w:vAlign w:val="bottom"/>
            <w:tcBorders>
              <w:bottom w:val="single" w:sz="8" w:color="auto"/>
            </w:tcBorders>
            <w:shd w:val="clear" w:color="auto" w:fill="DEEAF6"/>
          </w:tcPr>
          <w:p>
            <w:pPr>
              <w:spacing w:after="0"/>
              <w:rPr>
                <w:sz w:val="15"/>
                <w:szCs w:val="15"/>
                <w:color w:val="auto"/>
              </w:rPr>
            </w:pPr>
          </w:p>
        </w:tc>
        <w:tc>
          <w:tcPr>
            <w:tcW w:w="2180" w:type="dxa"/>
            <w:vAlign w:val="bottom"/>
            <w:tcBorders>
              <w:bottom w:val="single" w:sz="8" w:color="auto"/>
              <w:right w:val="single" w:sz="8" w:color="auto"/>
            </w:tcBorders>
            <w:shd w:val="clear" w:color="auto" w:fill="DEEAF6"/>
          </w:tcPr>
          <w:p>
            <w:pPr>
              <w:spacing w:after="0"/>
              <w:rPr>
                <w:sz w:val="15"/>
                <w:szCs w:val="15"/>
                <w:color w:val="auto"/>
              </w:rPr>
            </w:pPr>
          </w:p>
        </w:tc>
        <w:tc>
          <w:tcPr>
            <w:tcW w:w="1580" w:type="dxa"/>
            <w:vAlign w:val="bottom"/>
            <w:tcBorders>
              <w:bottom w:val="single" w:sz="8" w:color="auto"/>
              <w:right w:val="single" w:sz="8" w:color="auto"/>
            </w:tcBorders>
            <w:shd w:val="clear" w:color="auto" w:fill="DEEAF6"/>
          </w:tcPr>
          <w:p>
            <w:pPr>
              <w:spacing w:after="0"/>
              <w:rPr>
                <w:sz w:val="15"/>
                <w:szCs w:val="15"/>
                <w:color w:val="auto"/>
              </w:rPr>
            </w:pPr>
          </w:p>
        </w:tc>
        <w:tc>
          <w:tcPr>
            <w:tcW w:w="1560" w:type="dxa"/>
            <w:vAlign w:val="bottom"/>
            <w:tcBorders>
              <w:bottom w:val="single" w:sz="8" w:color="auto"/>
              <w:right w:val="single" w:sz="8" w:color="auto"/>
            </w:tcBorders>
            <w:shd w:val="clear" w:color="auto" w:fill="DEEAF6"/>
          </w:tcPr>
          <w:p>
            <w:pPr>
              <w:spacing w:after="0"/>
              <w:rPr>
                <w:sz w:val="15"/>
                <w:szCs w:val="15"/>
                <w:color w:val="auto"/>
              </w:rPr>
            </w:pPr>
          </w:p>
        </w:tc>
        <w:tc>
          <w:tcPr>
            <w:tcW w:w="1680" w:type="dxa"/>
            <w:vAlign w:val="bottom"/>
            <w:tcBorders>
              <w:bottom w:val="single" w:sz="8" w:color="auto"/>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businesses</w:t>
            </w:r>
          </w:p>
        </w:tc>
        <w:tc>
          <w:tcPr>
            <w:tcW w:w="900" w:type="dxa"/>
            <w:vAlign w:val="bottom"/>
            <w:tcBorders>
              <w:bottom w:val="single" w:sz="8" w:color="auto"/>
              <w:right w:val="single" w:sz="8" w:color="auto"/>
            </w:tcBorders>
            <w:shd w:val="clear" w:color="auto" w:fill="DEEAF6"/>
          </w:tcPr>
          <w:p>
            <w:pPr>
              <w:spacing w:after="0"/>
              <w:rPr>
                <w:sz w:val="15"/>
                <w:szCs w:val="15"/>
                <w:color w:val="auto"/>
              </w:rPr>
            </w:pPr>
          </w:p>
        </w:tc>
        <w:tc>
          <w:tcPr>
            <w:tcW w:w="1120" w:type="dxa"/>
            <w:vAlign w:val="bottom"/>
            <w:tcBorders>
              <w:bottom w:val="single" w:sz="8" w:color="auto"/>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shd w:val="clear" w:color="auto" w:fill="DEEAF6"/>
          </w:tcPr>
          <w:p>
            <w:pPr>
              <w:spacing w:after="0"/>
              <w:rPr>
                <w:sz w:val="14"/>
                <w:szCs w:val="14"/>
                <w:color w:val="auto"/>
              </w:rPr>
            </w:pPr>
          </w:p>
        </w:tc>
        <w:tc>
          <w:tcPr>
            <w:tcW w:w="3040" w:type="dxa"/>
            <w:vAlign w:val="bottom"/>
            <w:tcBorders>
              <w:right w:val="single" w:sz="8" w:color="auto"/>
            </w:tcBorders>
            <w:gridSpan w:val="2"/>
            <w:shd w:val="clear" w:color="auto" w:fill="DEEAF6"/>
          </w:tcPr>
          <w:p>
            <w:pPr>
              <w:ind w:left="40"/>
              <w:spacing w:after="0" w:line="164" w:lineRule="exact"/>
              <w:rPr>
                <w:sz w:val="20"/>
                <w:szCs w:val="20"/>
                <w:color w:val="auto"/>
              </w:rPr>
            </w:pPr>
            <w:r>
              <w:rPr>
                <w:rFonts w:ascii="Arial" w:cs="Arial" w:eastAsia="Arial" w:hAnsi="Arial"/>
                <w:sz w:val="15"/>
                <w:szCs w:val="15"/>
                <w:color w:val="auto"/>
              </w:rPr>
              <w:t>Support the transition to an</w:t>
            </w:r>
          </w:p>
        </w:tc>
        <w:tc>
          <w:tcPr>
            <w:tcW w:w="1580" w:type="dxa"/>
            <w:vAlign w:val="bottom"/>
            <w:tcBorders>
              <w:right w:val="single" w:sz="8" w:color="auto"/>
            </w:tcBorders>
            <w:shd w:val="clear" w:color="auto" w:fill="DEEAF6"/>
          </w:tcPr>
          <w:p>
            <w:pPr>
              <w:spacing w:after="0"/>
              <w:rPr>
                <w:sz w:val="14"/>
                <w:szCs w:val="14"/>
                <w:color w:val="auto"/>
              </w:rPr>
            </w:pPr>
          </w:p>
        </w:tc>
        <w:tc>
          <w:tcPr>
            <w:tcW w:w="1560" w:type="dxa"/>
            <w:vAlign w:val="bottom"/>
            <w:tcBorders>
              <w:right w:val="single" w:sz="8" w:color="auto"/>
            </w:tcBorders>
            <w:shd w:val="clear" w:color="auto" w:fill="DEEAF6"/>
          </w:tcPr>
          <w:p>
            <w:pPr>
              <w:spacing w:after="0"/>
              <w:rPr>
                <w:sz w:val="14"/>
                <w:szCs w:val="14"/>
                <w:color w:val="auto"/>
              </w:rPr>
            </w:pPr>
          </w:p>
        </w:tc>
        <w:tc>
          <w:tcPr>
            <w:tcW w:w="168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Total disbursed</w:t>
            </w:r>
          </w:p>
        </w:tc>
        <w:tc>
          <w:tcPr>
            <w:tcW w:w="900" w:type="dxa"/>
            <w:vAlign w:val="bottom"/>
            <w:tcBorders>
              <w:right w:val="single" w:sz="8" w:color="auto"/>
            </w:tcBorders>
            <w:shd w:val="clear" w:color="auto" w:fill="DEEAF6"/>
          </w:tcPr>
          <w:p>
            <w:pPr>
              <w:spacing w:after="0"/>
              <w:rPr>
                <w:sz w:val="14"/>
                <w:szCs w:val="14"/>
                <w:color w:val="auto"/>
              </w:rPr>
            </w:pPr>
          </w:p>
        </w:tc>
        <w:tc>
          <w:tcPr>
            <w:tcW w:w="1120" w:type="dxa"/>
            <w:vAlign w:val="bottom"/>
            <w:tcBorders>
              <w:right w:val="single" w:sz="8" w:color="auto"/>
            </w:tcBorders>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DEEAF6"/>
          </w:tcPr>
          <w:p>
            <w:pPr>
              <w:spacing w:after="0"/>
              <w:rPr>
                <w:sz w:val="15"/>
                <w:szCs w:val="15"/>
                <w:color w:val="auto"/>
              </w:rPr>
            </w:pPr>
          </w:p>
        </w:tc>
        <w:tc>
          <w:tcPr>
            <w:tcW w:w="3040" w:type="dxa"/>
            <w:vAlign w:val="bottom"/>
            <w:tcBorders>
              <w:right w:val="single" w:sz="8" w:color="auto"/>
            </w:tcBorders>
            <w:gridSpan w:val="2"/>
            <w:shd w:val="clear" w:color="auto" w:fill="DEEAF6"/>
          </w:tcPr>
          <w:p>
            <w:pPr>
              <w:ind w:left="40"/>
              <w:spacing w:after="0"/>
              <w:rPr>
                <w:sz w:val="20"/>
                <w:szCs w:val="20"/>
                <w:color w:val="auto"/>
              </w:rPr>
            </w:pPr>
            <w:r>
              <w:rPr>
                <w:rFonts w:ascii="Arial" w:cs="Arial" w:eastAsia="Arial" w:hAnsi="Arial"/>
                <w:sz w:val="15"/>
                <w:szCs w:val="15"/>
                <w:color w:val="auto"/>
              </w:rPr>
              <w:t>environmentally sustainable economy,</w:t>
            </w:r>
          </w:p>
        </w:tc>
        <w:tc>
          <w:tcPr>
            <w:tcW w:w="15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Sustainable Finance</w:t>
            </w:r>
          </w:p>
        </w:tc>
        <w:tc>
          <w:tcPr>
            <w:tcW w:w="156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BCP</w:t>
            </w: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through the Eco-</w:t>
            </w:r>
          </w:p>
        </w:tc>
        <w:tc>
          <w:tcPr>
            <w:tcW w:w="9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S/ millions</w:t>
            </w:r>
          </w:p>
        </w:tc>
        <w:tc>
          <w:tcPr>
            <w:tcW w:w="112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149.64</w:t>
            </w:r>
          </w:p>
        </w:tc>
        <w:tc>
          <w:tcPr>
            <w:tcW w:w="0" w:type="dxa"/>
            <w:vAlign w:val="bottom"/>
          </w:tcPr>
          <w:p>
            <w:pPr>
              <w:spacing w:after="0"/>
              <w:rPr>
                <w:sz w:val="1"/>
                <w:szCs w:val="1"/>
                <w:color w:val="auto"/>
              </w:rPr>
            </w:pPr>
          </w:p>
        </w:tc>
      </w:tr>
      <w:tr>
        <w:trPr>
          <w:trHeight w:val="174"/>
        </w:trPr>
        <w:tc>
          <w:tcPr>
            <w:tcW w:w="1380" w:type="dxa"/>
            <w:vAlign w:val="bottom"/>
            <w:tcBorders>
              <w:left w:val="single" w:sz="8" w:color="auto"/>
              <w:bottom w:val="single" w:sz="8" w:color="DEEAF6"/>
              <w:right w:val="single" w:sz="8" w:color="auto"/>
            </w:tcBorders>
            <w:shd w:val="clear" w:color="auto" w:fill="DEEAF6"/>
          </w:tcPr>
          <w:p>
            <w:pPr>
              <w:spacing w:after="0"/>
              <w:rPr>
                <w:sz w:val="15"/>
                <w:szCs w:val="15"/>
                <w:color w:val="auto"/>
              </w:rPr>
            </w:pPr>
          </w:p>
        </w:tc>
        <w:tc>
          <w:tcPr>
            <w:tcW w:w="3040" w:type="dxa"/>
            <w:vAlign w:val="bottom"/>
            <w:tcBorders>
              <w:bottom w:val="single" w:sz="8" w:color="auto"/>
              <w:right w:val="single" w:sz="8" w:color="auto"/>
            </w:tcBorders>
            <w:gridSpan w:val="2"/>
            <w:shd w:val="clear" w:color="auto" w:fill="DEEAF6"/>
          </w:tcPr>
          <w:p>
            <w:pPr>
              <w:ind w:left="40"/>
              <w:spacing w:after="0"/>
              <w:rPr>
                <w:sz w:val="20"/>
                <w:szCs w:val="20"/>
                <w:color w:val="auto"/>
              </w:rPr>
            </w:pPr>
            <w:r>
              <w:rPr>
                <w:rFonts w:ascii="Arial" w:cs="Arial" w:eastAsia="Arial" w:hAnsi="Arial"/>
                <w:sz w:val="15"/>
                <w:szCs w:val="15"/>
                <w:color w:val="auto"/>
              </w:rPr>
              <w:t>including the effects of climate change</w:t>
            </w:r>
          </w:p>
        </w:tc>
        <w:tc>
          <w:tcPr>
            <w:tcW w:w="1580" w:type="dxa"/>
            <w:vAlign w:val="bottom"/>
            <w:tcBorders>
              <w:bottom w:val="single" w:sz="8" w:color="auto"/>
              <w:right w:val="single" w:sz="8" w:color="auto"/>
            </w:tcBorders>
            <w:shd w:val="clear" w:color="auto" w:fill="DEEAF6"/>
          </w:tcPr>
          <w:p>
            <w:pPr>
              <w:spacing w:after="0"/>
              <w:rPr>
                <w:sz w:val="15"/>
                <w:szCs w:val="15"/>
                <w:color w:val="auto"/>
              </w:rPr>
            </w:pPr>
          </w:p>
        </w:tc>
        <w:tc>
          <w:tcPr>
            <w:tcW w:w="1560" w:type="dxa"/>
            <w:vAlign w:val="bottom"/>
            <w:tcBorders>
              <w:bottom w:val="single" w:sz="8" w:color="auto"/>
              <w:right w:val="single" w:sz="8" w:color="auto"/>
            </w:tcBorders>
            <w:shd w:val="clear" w:color="auto" w:fill="DEEAF6"/>
          </w:tcPr>
          <w:p>
            <w:pPr>
              <w:spacing w:after="0"/>
              <w:rPr>
                <w:sz w:val="15"/>
                <w:szCs w:val="15"/>
                <w:color w:val="auto"/>
              </w:rPr>
            </w:pPr>
          </w:p>
        </w:tc>
        <w:tc>
          <w:tcPr>
            <w:tcW w:w="1680" w:type="dxa"/>
            <w:vAlign w:val="bottom"/>
            <w:tcBorders>
              <w:bottom w:val="single" w:sz="8" w:color="auto"/>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factoring process</w:t>
            </w:r>
          </w:p>
        </w:tc>
        <w:tc>
          <w:tcPr>
            <w:tcW w:w="900" w:type="dxa"/>
            <w:vAlign w:val="bottom"/>
            <w:tcBorders>
              <w:bottom w:val="single" w:sz="8" w:color="auto"/>
              <w:right w:val="single" w:sz="8" w:color="auto"/>
            </w:tcBorders>
            <w:shd w:val="clear" w:color="auto" w:fill="DEEAF6"/>
          </w:tcPr>
          <w:p>
            <w:pPr>
              <w:spacing w:after="0"/>
              <w:rPr>
                <w:sz w:val="15"/>
                <w:szCs w:val="15"/>
                <w:color w:val="auto"/>
              </w:rPr>
            </w:pPr>
          </w:p>
        </w:tc>
        <w:tc>
          <w:tcPr>
            <w:tcW w:w="1120" w:type="dxa"/>
            <w:vAlign w:val="bottom"/>
            <w:tcBorders>
              <w:bottom w:val="single" w:sz="8" w:color="auto"/>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shd w:val="clear" w:color="auto" w:fill="DEEAF6"/>
          </w:tcPr>
          <w:p>
            <w:pPr>
              <w:spacing w:after="0"/>
              <w:rPr>
                <w:sz w:val="14"/>
                <w:szCs w:val="14"/>
                <w:color w:val="auto"/>
              </w:rPr>
            </w:pPr>
          </w:p>
        </w:tc>
        <w:tc>
          <w:tcPr>
            <w:tcW w:w="3040" w:type="dxa"/>
            <w:vAlign w:val="bottom"/>
            <w:tcBorders>
              <w:right w:val="single" w:sz="8" w:color="auto"/>
            </w:tcBorders>
            <w:gridSpan w:val="2"/>
            <w:shd w:val="clear" w:color="auto" w:fill="DEEAF6"/>
          </w:tcPr>
          <w:p>
            <w:pPr>
              <w:ind w:left="40"/>
              <w:spacing w:after="0" w:line="164" w:lineRule="exact"/>
              <w:rPr>
                <w:sz w:val="20"/>
                <w:szCs w:val="20"/>
                <w:color w:val="auto"/>
              </w:rPr>
            </w:pPr>
            <w:r>
              <w:rPr>
                <w:rFonts w:ascii="Arial" w:cs="Arial" w:eastAsia="Arial" w:hAnsi="Arial"/>
                <w:sz w:val="15"/>
                <w:szCs w:val="15"/>
                <w:color w:val="auto"/>
              </w:rPr>
              <w:t>Support the transition to an</w:t>
            </w:r>
          </w:p>
        </w:tc>
        <w:tc>
          <w:tcPr>
            <w:tcW w:w="15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Sustainable Finance</w:t>
            </w:r>
          </w:p>
        </w:tc>
        <w:tc>
          <w:tcPr>
            <w:tcW w:w="156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BCP</w:t>
            </w:r>
          </w:p>
        </w:tc>
        <w:tc>
          <w:tcPr>
            <w:tcW w:w="168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Verified green</w:t>
            </w:r>
          </w:p>
        </w:tc>
        <w:tc>
          <w:tcPr>
            <w:tcW w:w="9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w w:val="95"/>
              </w:rPr>
              <w:t>#</w:t>
            </w:r>
          </w:p>
        </w:tc>
        <w:tc>
          <w:tcPr>
            <w:tcW w:w="112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DEEAF6"/>
          </w:tcPr>
          <w:p>
            <w:pPr>
              <w:spacing w:after="0"/>
              <w:rPr>
                <w:sz w:val="8"/>
                <w:szCs w:val="8"/>
                <w:color w:val="auto"/>
              </w:rPr>
            </w:pP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environmentally sustainable economy</w:t>
            </w:r>
          </w:p>
        </w:tc>
        <w:tc>
          <w:tcPr>
            <w:tcW w:w="1580" w:type="dxa"/>
            <w:vAlign w:val="bottom"/>
            <w:tcBorders>
              <w:right w:val="single" w:sz="8" w:color="auto"/>
            </w:tcBorders>
            <w:vMerge w:val="continue"/>
            <w:shd w:val="clear" w:color="auto" w:fill="DEEAF6"/>
          </w:tcPr>
          <w:p>
            <w:pPr>
              <w:spacing w:after="0"/>
              <w:rPr>
                <w:sz w:val="8"/>
                <w:szCs w:val="8"/>
                <w:color w:val="auto"/>
              </w:rPr>
            </w:pPr>
          </w:p>
        </w:tc>
        <w:tc>
          <w:tcPr>
            <w:tcW w:w="1560" w:type="dxa"/>
            <w:vAlign w:val="bottom"/>
            <w:tcBorders>
              <w:right w:val="single" w:sz="8" w:color="auto"/>
            </w:tcBorders>
            <w:vMerge w:val="continue"/>
            <w:shd w:val="clear" w:color="auto" w:fill="DEEAF6"/>
          </w:tcPr>
          <w:p>
            <w:pPr>
              <w:spacing w:after="0"/>
              <w:rPr>
                <w:sz w:val="8"/>
                <w:szCs w:val="8"/>
                <w:color w:val="auto"/>
              </w:rPr>
            </w:pP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financing</w:t>
            </w:r>
          </w:p>
        </w:tc>
        <w:tc>
          <w:tcPr>
            <w:tcW w:w="900" w:type="dxa"/>
            <w:vAlign w:val="bottom"/>
            <w:tcBorders>
              <w:right w:val="single" w:sz="8" w:color="auto"/>
            </w:tcBorders>
            <w:vMerge w:val="continue"/>
            <w:shd w:val="clear" w:color="auto" w:fill="DEEAF6"/>
          </w:tcPr>
          <w:p>
            <w:pPr>
              <w:spacing w:after="0"/>
              <w:rPr>
                <w:sz w:val="8"/>
                <w:szCs w:val="8"/>
                <w:color w:val="auto"/>
              </w:rPr>
            </w:pPr>
          </w:p>
        </w:tc>
        <w:tc>
          <w:tcPr>
            <w:tcW w:w="1120" w:type="dxa"/>
            <w:vAlign w:val="bottom"/>
            <w:tcBorders>
              <w:right w:val="single" w:sz="8" w:color="auto"/>
            </w:tcBorders>
            <w:vMerge w:val="continue"/>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Borders>
              <w:left w:val="single" w:sz="8" w:color="auto"/>
              <w:bottom w:val="single" w:sz="8" w:color="DEEAF6"/>
              <w:right w:val="single" w:sz="8" w:color="auto"/>
            </w:tcBorders>
            <w:shd w:val="clear" w:color="auto" w:fill="DEEAF6"/>
          </w:tcPr>
          <w:p>
            <w:pPr>
              <w:spacing w:after="0"/>
              <w:rPr>
                <w:sz w:val="7"/>
                <w:szCs w:val="7"/>
                <w:color w:val="auto"/>
              </w:rPr>
            </w:pPr>
          </w:p>
        </w:tc>
        <w:tc>
          <w:tcPr>
            <w:tcW w:w="3040" w:type="dxa"/>
            <w:vAlign w:val="bottom"/>
            <w:tcBorders>
              <w:bottom w:val="single" w:sz="8" w:color="auto"/>
              <w:right w:val="single" w:sz="8" w:color="auto"/>
            </w:tcBorders>
            <w:gridSpan w:val="2"/>
            <w:vMerge w:val="continue"/>
            <w:shd w:val="clear" w:color="auto" w:fill="DEEAF6"/>
          </w:tcPr>
          <w:p>
            <w:pPr>
              <w:spacing w:after="0"/>
              <w:rPr>
                <w:sz w:val="7"/>
                <w:szCs w:val="7"/>
                <w:color w:val="auto"/>
              </w:rPr>
            </w:pPr>
          </w:p>
        </w:tc>
        <w:tc>
          <w:tcPr>
            <w:tcW w:w="1580" w:type="dxa"/>
            <w:vAlign w:val="bottom"/>
            <w:tcBorders>
              <w:bottom w:val="single" w:sz="8" w:color="auto"/>
              <w:right w:val="single" w:sz="8" w:color="auto"/>
            </w:tcBorders>
            <w:shd w:val="clear" w:color="auto" w:fill="DEEAF6"/>
          </w:tcPr>
          <w:p>
            <w:pPr>
              <w:spacing w:after="0"/>
              <w:rPr>
                <w:sz w:val="7"/>
                <w:szCs w:val="7"/>
                <w:color w:val="auto"/>
              </w:rPr>
            </w:pPr>
          </w:p>
        </w:tc>
        <w:tc>
          <w:tcPr>
            <w:tcW w:w="1560" w:type="dxa"/>
            <w:vAlign w:val="bottom"/>
            <w:tcBorders>
              <w:bottom w:val="single" w:sz="8" w:color="auto"/>
              <w:right w:val="single" w:sz="8" w:color="auto"/>
            </w:tcBorders>
            <w:shd w:val="clear" w:color="auto" w:fill="DEEAF6"/>
          </w:tcPr>
          <w:p>
            <w:pPr>
              <w:spacing w:after="0"/>
              <w:rPr>
                <w:sz w:val="7"/>
                <w:szCs w:val="7"/>
                <w:color w:val="auto"/>
              </w:rPr>
            </w:pPr>
          </w:p>
        </w:tc>
        <w:tc>
          <w:tcPr>
            <w:tcW w:w="1680" w:type="dxa"/>
            <w:vAlign w:val="bottom"/>
            <w:tcBorders>
              <w:bottom w:val="single" w:sz="8" w:color="auto"/>
              <w:right w:val="single" w:sz="8" w:color="auto"/>
            </w:tcBorders>
            <w:vMerge w:val="continue"/>
            <w:shd w:val="clear" w:color="auto" w:fill="DEEAF6"/>
          </w:tcPr>
          <w:p>
            <w:pPr>
              <w:spacing w:after="0"/>
              <w:rPr>
                <w:sz w:val="7"/>
                <w:szCs w:val="7"/>
                <w:color w:val="auto"/>
              </w:rPr>
            </w:pPr>
          </w:p>
        </w:tc>
        <w:tc>
          <w:tcPr>
            <w:tcW w:w="900" w:type="dxa"/>
            <w:vAlign w:val="bottom"/>
            <w:tcBorders>
              <w:bottom w:val="single" w:sz="8" w:color="auto"/>
              <w:right w:val="single" w:sz="8" w:color="auto"/>
            </w:tcBorders>
            <w:shd w:val="clear" w:color="auto" w:fill="DEEAF6"/>
          </w:tcPr>
          <w:p>
            <w:pPr>
              <w:spacing w:after="0"/>
              <w:rPr>
                <w:sz w:val="7"/>
                <w:szCs w:val="7"/>
                <w:color w:val="auto"/>
              </w:rPr>
            </w:pPr>
          </w:p>
        </w:tc>
        <w:tc>
          <w:tcPr>
            <w:tcW w:w="1120" w:type="dxa"/>
            <w:vAlign w:val="bottom"/>
            <w:tcBorders>
              <w:bottom w:val="single" w:sz="8" w:color="auto"/>
              <w:right w:val="single" w:sz="8" w:color="auto"/>
            </w:tcBorders>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shd w:val="clear" w:color="auto" w:fill="DEEAF6"/>
          </w:tcPr>
          <w:p>
            <w:pPr>
              <w:spacing w:after="0"/>
              <w:rPr>
                <w:sz w:val="14"/>
                <w:szCs w:val="14"/>
                <w:color w:val="auto"/>
              </w:rPr>
            </w:pPr>
          </w:p>
        </w:tc>
        <w:tc>
          <w:tcPr>
            <w:tcW w:w="860" w:type="dxa"/>
            <w:vAlign w:val="bottom"/>
            <w:shd w:val="clear" w:color="auto" w:fill="DEEAF6"/>
          </w:tcPr>
          <w:p>
            <w:pPr>
              <w:spacing w:after="0"/>
              <w:rPr>
                <w:sz w:val="14"/>
                <w:szCs w:val="14"/>
                <w:color w:val="auto"/>
              </w:rPr>
            </w:pPr>
          </w:p>
        </w:tc>
        <w:tc>
          <w:tcPr>
            <w:tcW w:w="2180" w:type="dxa"/>
            <w:vAlign w:val="bottom"/>
            <w:tcBorders>
              <w:right w:val="single" w:sz="8" w:color="auto"/>
            </w:tcBorders>
            <w:shd w:val="clear" w:color="auto" w:fill="DEEAF6"/>
          </w:tcPr>
          <w:p>
            <w:pPr>
              <w:spacing w:after="0"/>
              <w:rPr>
                <w:sz w:val="14"/>
                <w:szCs w:val="14"/>
                <w:color w:val="auto"/>
              </w:rPr>
            </w:pPr>
          </w:p>
        </w:tc>
        <w:tc>
          <w:tcPr>
            <w:tcW w:w="1580" w:type="dxa"/>
            <w:vAlign w:val="bottom"/>
            <w:tcBorders>
              <w:right w:val="single" w:sz="8" w:color="auto"/>
            </w:tcBorders>
            <w:shd w:val="clear" w:color="auto" w:fill="DEEAF6"/>
          </w:tcPr>
          <w:p>
            <w:pPr>
              <w:spacing w:after="0"/>
              <w:rPr>
                <w:sz w:val="14"/>
                <w:szCs w:val="14"/>
                <w:color w:val="auto"/>
              </w:rPr>
            </w:pPr>
          </w:p>
        </w:tc>
        <w:tc>
          <w:tcPr>
            <w:tcW w:w="1560" w:type="dxa"/>
            <w:vAlign w:val="bottom"/>
            <w:tcBorders>
              <w:right w:val="single" w:sz="8" w:color="auto"/>
            </w:tcBorders>
            <w:shd w:val="clear" w:color="auto" w:fill="DEEAF6"/>
          </w:tcPr>
          <w:p>
            <w:pPr>
              <w:spacing w:after="0"/>
              <w:rPr>
                <w:sz w:val="14"/>
                <w:szCs w:val="14"/>
                <w:color w:val="auto"/>
              </w:rPr>
            </w:pPr>
          </w:p>
        </w:tc>
        <w:tc>
          <w:tcPr>
            <w:tcW w:w="168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People who are</w:t>
            </w:r>
          </w:p>
        </w:tc>
        <w:tc>
          <w:tcPr>
            <w:tcW w:w="900" w:type="dxa"/>
            <w:vAlign w:val="bottom"/>
            <w:tcBorders>
              <w:right w:val="single" w:sz="8" w:color="auto"/>
            </w:tcBorders>
            <w:shd w:val="clear" w:color="auto" w:fill="DEEAF6"/>
          </w:tcPr>
          <w:p>
            <w:pPr>
              <w:spacing w:after="0"/>
              <w:rPr>
                <w:sz w:val="14"/>
                <w:szCs w:val="14"/>
                <w:color w:val="auto"/>
              </w:rPr>
            </w:pPr>
          </w:p>
        </w:tc>
        <w:tc>
          <w:tcPr>
            <w:tcW w:w="1120" w:type="dxa"/>
            <w:vAlign w:val="bottom"/>
            <w:tcBorders>
              <w:right w:val="single" w:sz="8" w:color="auto"/>
            </w:tcBorders>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DEEAF6"/>
          </w:tcPr>
          <w:p>
            <w:pPr>
              <w:spacing w:after="0"/>
              <w:rPr>
                <w:sz w:val="15"/>
                <w:szCs w:val="15"/>
                <w:color w:val="auto"/>
              </w:rPr>
            </w:pPr>
          </w:p>
        </w:tc>
        <w:tc>
          <w:tcPr>
            <w:tcW w:w="860" w:type="dxa"/>
            <w:vAlign w:val="bottom"/>
            <w:shd w:val="clear" w:color="auto" w:fill="DEEAF6"/>
          </w:tcPr>
          <w:p>
            <w:pPr>
              <w:spacing w:after="0"/>
              <w:rPr>
                <w:sz w:val="15"/>
                <w:szCs w:val="15"/>
                <w:color w:val="auto"/>
              </w:rPr>
            </w:pPr>
          </w:p>
        </w:tc>
        <w:tc>
          <w:tcPr>
            <w:tcW w:w="2180" w:type="dxa"/>
            <w:vAlign w:val="bottom"/>
            <w:tcBorders>
              <w:right w:val="single" w:sz="8" w:color="auto"/>
            </w:tcBorders>
            <w:shd w:val="clear" w:color="auto" w:fill="DEEAF6"/>
          </w:tcPr>
          <w:p>
            <w:pPr>
              <w:spacing w:after="0"/>
              <w:rPr>
                <w:sz w:val="15"/>
                <w:szCs w:val="15"/>
                <w:color w:val="auto"/>
              </w:rPr>
            </w:pPr>
          </w:p>
        </w:tc>
        <w:tc>
          <w:tcPr>
            <w:tcW w:w="1580" w:type="dxa"/>
            <w:vAlign w:val="bottom"/>
            <w:tcBorders>
              <w:right w:val="single" w:sz="8" w:color="auto"/>
            </w:tcBorders>
            <w:shd w:val="clear" w:color="auto" w:fill="DEEAF6"/>
          </w:tcPr>
          <w:p>
            <w:pPr>
              <w:spacing w:after="0"/>
              <w:rPr>
                <w:sz w:val="15"/>
                <w:szCs w:val="15"/>
                <w:color w:val="auto"/>
              </w:rPr>
            </w:pPr>
          </w:p>
        </w:tc>
        <w:tc>
          <w:tcPr>
            <w:tcW w:w="1560" w:type="dxa"/>
            <w:vAlign w:val="bottom"/>
            <w:tcBorders>
              <w:right w:val="single" w:sz="8" w:color="auto"/>
            </w:tcBorders>
            <w:shd w:val="clear" w:color="auto" w:fill="DEEAF6"/>
          </w:tcPr>
          <w:p>
            <w:pPr>
              <w:spacing w:after="0"/>
              <w:rPr>
                <w:sz w:val="15"/>
                <w:szCs w:val="15"/>
                <w:color w:val="auto"/>
              </w:rPr>
            </w:pP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financially included</w:t>
            </w:r>
          </w:p>
        </w:tc>
        <w:tc>
          <w:tcPr>
            <w:tcW w:w="900" w:type="dxa"/>
            <w:vAlign w:val="bottom"/>
            <w:tcBorders>
              <w:right w:val="single" w:sz="8" w:color="auto"/>
            </w:tcBorders>
            <w:shd w:val="clear" w:color="auto" w:fill="DEEAF6"/>
          </w:tcPr>
          <w:p>
            <w:pPr>
              <w:spacing w:after="0"/>
              <w:rPr>
                <w:sz w:val="15"/>
                <w:szCs w:val="15"/>
                <w:color w:val="auto"/>
              </w:rPr>
            </w:pPr>
          </w:p>
        </w:tc>
        <w:tc>
          <w:tcPr>
            <w:tcW w:w="1120" w:type="dxa"/>
            <w:vAlign w:val="bottom"/>
            <w:tcBorders>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DEEAF6"/>
          </w:tcPr>
          <w:p>
            <w:pPr>
              <w:spacing w:after="0"/>
              <w:rPr>
                <w:sz w:val="15"/>
                <w:szCs w:val="15"/>
                <w:color w:val="auto"/>
              </w:rPr>
            </w:pPr>
          </w:p>
        </w:tc>
        <w:tc>
          <w:tcPr>
            <w:tcW w:w="3040" w:type="dxa"/>
            <w:vAlign w:val="bottom"/>
            <w:tcBorders>
              <w:right w:val="single" w:sz="8" w:color="auto"/>
            </w:tcBorders>
            <w:gridSpan w:val="2"/>
            <w:shd w:val="clear" w:color="auto" w:fill="DEEAF6"/>
          </w:tcPr>
          <w:p>
            <w:pPr>
              <w:ind w:left="40"/>
              <w:spacing w:after="0"/>
              <w:rPr>
                <w:sz w:val="20"/>
                <w:szCs w:val="20"/>
                <w:color w:val="auto"/>
              </w:rPr>
            </w:pPr>
            <w:r>
              <w:rPr>
                <w:rFonts w:ascii="Arial" w:cs="Arial" w:eastAsia="Arial" w:hAnsi="Arial"/>
                <w:sz w:val="15"/>
                <w:szCs w:val="15"/>
                <w:color w:val="auto"/>
              </w:rPr>
              <w:t>Increase financial inclusion</w:t>
            </w:r>
          </w:p>
        </w:tc>
        <w:tc>
          <w:tcPr>
            <w:tcW w:w="15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Financial inclusion</w:t>
            </w:r>
          </w:p>
        </w:tc>
        <w:tc>
          <w:tcPr>
            <w:tcW w:w="156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BCP</w:t>
            </w: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through Yape,</w:t>
            </w:r>
          </w:p>
        </w:tc>
        <w:tc>
          <w:tcPr>
            <w:tcW w:w="9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w w:val="95"/>
              </w:rPr>
              <w:t>#</w:t>
            </w:r>
          </w:p>
        </w:tc>
        <w:tc>
          <w:tcPr>
            <w:tcW w:w="112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2,606,342</w:t>
            </w: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vMerge w:val="restart"/>
            <w:shd w:val="clear" w:color="auto" w:fill="DEEAF6"/>
          </w:tcPr>
          <w:p>
            <w:pPr>
              <w:ind w:left="60"/>
              <w:spacing w:after="0"/>
              <w:rPr>
                <w:sz w:val="20"/>
                <w:szCs w:val="20"/>
                <w:color w:val="auto"/>
              </w:rPr>
            </w:pPr>
            <w:r>
              <w:rPr>
                <w:rFonts w:ascii="Arial" w:cs="Arial" w:eastAsia="Arial" w:hAnsi="Arial"/>
                <w:sz w:val="15"/>
                <w:szCs w:val="15"/>
                <w:color w:val="auto"/>
              </w:rPr>
              <w:t>Create a more</w:t>
            </w:r>
          </w:p>
        </w:tc>
        <w:tc>
          <w:tcPr>
            <w:tcW w:w="860" w:type="dxa"/>
            <w:vAlign w:val="bottom"/>
            <w:shd w:val="clear" w:color="auto" w:fill="DEEAF6"/>
          </w:tcPr>
          <w:p>
            <w:pPr>
              <w:spacing w:after="0"/>
              <w:rPr>
                <w:sz w:val="15"/>
                <w:szCs w:val="15"/>
                <w:color w:val="auto"/>
              </w:rPr>
            </w:pPr>
          </w:p>
        </w:tc>
        <w:tc>
          <w:tcPr>
            <w:tcW w:w="2180" w:type="dxa"/>
            <w:vAlign w:val="bottom"/>
            <w:tcBorders>
              <w:right w:val="single" w:sz="8" w:color="auto"/>
            </w:tcBorders>
            <w:shd w:val="clear" w:color="auto" w:fill="DEEAF6"/>
          </w:tcPr>
          <w:p>
            <w:pPr>
              <w:spacing w:after="0"/>
              <w:rPr>
                <w:sz w:val="15"/>
                <w:szCs w:val="15"/>
                <w:color w:val="auto"/>
              </w:rPr>
            </w:pPr>
          </w:p>
        </w:tc>
        <w:tc>
          <w:tcPr>
            <w:tcW w:w="1580" w:type="dxa"/>
            <w:vAlign w:val="bottom"/>
            <w:tcBorders>
              <w:right w:val="single" w:sz="8" w:color="auto"/>
            </w:tcBorders>
            <w:shd w:val="clear" w:color="auto" w:fill="DEEAF6"/>
          </w:tcPr>
          <w:p>
            <w:pPr>
              <w:spacing w:after="0"/>
              <w:rPr>
                <w:sz w:val="15"/>
                <w:szCs w:val="15"/>
                <w:color w:val="auto"/>
              </w:rPr>
            </w:pPr>
          </w:p>
        </w:tc>
        <w:tc>
          <w:tcPr>
            <w:tcW w:w="1560" w:type="dxa"/>
            <w:vAlign w:val="bottom"/>
            <w:tcBorders>
              <w:right w:val="single" w:sz="8" w:color="auto"/>
            </w:tcBorders>
            <w:shd w:val="clear" w:color="auto" w:fill="DEEAF6"/>
          </w:tcPr>
          <w:p>
            <w:pPr>
              <w:spacing w:after="0"/>
              <w:rPr>
                <w:sz w:val="15"/>
                <w:szCs w:val="15"/>
                <w:color w:val="auto"/>
              </w:rPr>
            </w:pP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accumulated through</w:t>
            </w:r>
          </w:p>
        </w:tc>
        <w:tc>
          <w:tcPr>
            <w:tcW w:w="900" w:type="dxa"/>
            <w:vAlign w:val="bottom"/>
            <w:tcBorders>
              <w:right w:val="single" w:sz="8" w:color="auto"/>
            </w:tcBorders>
            <w:shd w:val="clear" w:color="auto" w:fill="DEEAF6"/>
          </w:tcPr>
          <w:p>
            <w:pPr>
              <w:spacing w:after="0"/>
              <w:rPr>
                <w:sz w:val="15"/>
                <w:szCs w:val="15"/>
                <w:color w:val="auto"/>
              </w:rPr>
            </w:pPr>
          </w:p>
        </w:tc>
        <w:tc>
          <w:tcPr>
            <w:tcW w:w="1120" w:type="dxa"/>
            <w:vAlign w:val="bottom"/>
            <w:tcBorders>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right w:val="single" w:sz="8" w:color="auto"/>
            </w:tcBorders>
            <w:vMerge w:val="continue"/>
            <w:shd w:val="clear" w:color="auto" w:fill="DEEAF6"/>
          </w:tcPr>
          <w:p>
            <w:pPr>
              <w:spacing w:after="0"/>
              <w:rPr>
                <w:sz w:val="8"/>
                <w:szCs w:val="8"/>
                <w:color w:val="auto"/>
              </w:rPr>
            </w:pPr>
          </w:p>
        </w:tc>
        <w:tc>
          <w:tcPr>
            <w:tcW w:w="860" w:type="dxa"/>
            <w:vAlign w:val="bottom"/>
            <w:shd w:val="clear" w:color="auto" w:fill="DEEAF6"/>
          </w:tcPr>
          <w:p>
            <w:pPr>
              <w:spacing w:after="0"/>
              <w:rPr>
                <w:sz w:val="8"/>
                <w:szCs w:val="8"/>
                <w:color w:val="auto"/>
              </w:rPr>
            </w:pPr>
          </w:p>
        </w:tc>
        <w:tc>
          <w:tcPr>
            <w:tcW w:w="2180" w:type="dxa"/>
            <w:vAlign w:val="bottom"/>
            <w:tcBorders>
              <w:right w:val="single" w:sz="8" w:color="auto"/>
            </w:tcBorders>
            <w:shd w:val="clear" w:color="auto" w:fill="DEEAF6"/>
          </w:tcPr>
          <w:p>
            <w:pPr>
              <w:spacing w:after="0"/>
              <w:rPr>
                <w:sz w:val="8"/>
                <w:szCs w:val="8"/>
                <w:color w:val="auto"/>
              </w:rPr>
            </w:pPr>
          </w:p>
        </w:tc>
        <w:tc>
          <w:tcPr>
            <w:tcW w:w="1580" w:type="dxa"/>
            <w:vAlign w:val="bottom"/>
            <w:tcBorders>
              <w:right w:val="single" w:sz="8" w:color="auto"/>
            </w:tcBorders>
            <w:shd w:val="clear" w:color="auto" w:fill="DEEAF6"/>
          </w:tcPr>
          <w:p>
            <w:pPr>
              <w:spacing w:after="0"/>
              <w:rPr>
                <w:sz w:val="8"/>
                <w:szCs w:val="8"/>
                <w:color w:val="auto"/>
              </w:rPr>
            </w:pPr>
          </w:p>
        </w:tc>
        <w:tc>
          <w:tcPr>
            <w:tcW w:w="1560" w:type="dxa"/>
            <w:vAlign w:val="bottom"/>
            <w:tcBorders>
              <w:right w:val="single" w:sz="8" w:color="auto"/>
            </w:tcBorders>
            <w:shd w:val="clear" w:color="auto" w:fill="DEEAF6"/>
          </w:tcPr>
          <w:p>
            <w:pPr>
              <w:spacing w:after="0"/>
              <w:rPr>
                <w:sz w:val="8"/>
                <w:szCs w:val="8"/>
                <w:color w:val="auto"/>
              </w:rPr>
            </w:pP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2017</w:t>
            </w:r>
          </w:p>
        </w:tc>
        <w:tc>
          <w:tcPr>
            <w:tcW w:w="900" w:type="dxa"/>
            <w:vAlign w:val="bottom"/>
            <w:tcBorders>
              <w:right w:val="single" w:sz="8" w:color="auto"/>
            </w:tcBorders>
            <w:shd w:val="clear" w:color="auto" w:fill="DEEAF6"/>
          </w:tcPr>
          <w:p>
            <w:pPr>
              <w:spacing w:after="0"/>
              <w:rPr>
                <w:sz w:val="8"/>
                <w:szCs w:val="8"/>
                <w:color w:val="auto"/>
              </w:rPr>
            </w:pPr>
          </w:p>
        </w:tc>
        <w:tc>
          <w:tcPr>
            <w:tcW w:w="1120" w:type="dxa"/>
            <w:vAlign w:val="bottom"/>
            <w:tcBorders>
              <w:right w:val="single" w:sz="8" w:color="auto"/>
            </w:tcBorders>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Borders>
              <w:left w:val="single" w:sz="8" w:color="auto"/>
              <w:bottom w:val="single" w:sz="8" w:color="DEEAF6"/>
              <w:right w:val="single" w:sz="8" w:color="auto"/>
            </w:tcBorders>
            <w:vMerge w:val="restart"/>
            <w:shd w:val="clear" w:color="auto" w:fill="DEEAF6"/>
          </w:tcPr>
          <w:p>
            <w:pPr>
              <w:ind w:left="60"/>
              <w:spacing w:after="0"/>
              <w:rPr>
                <w:sz w:val="20"/>
                <w:szCs w:val="20"/>
                <w:color w:val="auto"/>
              </w:rPr>
            </w:pPr>
            <w:r>
              <w:rPr>
                <w:rFonts w:ascii="Arial" w:cs="Arial" w:eastAsia="Arial" w:hAnsi="Arial"/>
                <w:sz w:val="15"/>
                <w:szCs w:val="15"/>
                <w:color w:val="auto"/>
              </w:rPr>
              <w:t>sustainable and</w:t>
            </w:r>
          </w:p>
        </w:tc>
        <w:tc>
          <w:tcPr>
            <w:tcW w:w="860" w:type="dxa"/>
            <w:vAlign w:val="bottom"/>
            <w:tcBorders>
              <w:bottom w:val="single" w:sz="8" w:color="auto"/>
            </w:tcBorders>
            <w:shd w:val="clear" w:color="auto" w:fill="DEEAF6"/>
          </w:tcPr>
          <w:p>
            <w:pPr>
              <w:spacing w:after="0"/>
              <w:rPr>
                <w:sz w:val="7"/>
                <w:szCs w:val="7"/>
                <w:color w:val="auto"/>
              </w:rPr>
            </w:pPr>
          </w:p>
        </w:tc>
        <w:tc>
          <w:tcPr>
            <w:tcW w:w="2180" w:type="dxa"/>
            <w:vAlign w:val="bottom"/>
            <w:tcBorders>
              <w:bottom w:val="single" w:sz="8" w:color="auto"/>
              <w:right w:val="single" w:sz="8" w:color="auto"/>
            </w:tcBorders>
            <w:shd w:val="clear" w:color="auto" w:fill="DEEAF6"/>
          </w:tcPr>
          <w:p>
            <w:pPr>
              <w:spacing w:after="0"/>
              <w:rPr>
                <w:sz w:val="7"/>
                <w:szCs w:val="7"/>
                <w:color w:val="auto"/>
              </w:rPr>
            </w:pPr>
          </w:p>
        </w:tc>
        <w:tc>
          <w:tcPr>
            <w:tcW w:w="1580" w:type="dxa"/>
            <w:vAlign w:val="bottom"/>
            <w:tcBorders>
              <w:bottom w:val="single" w:sz="8" w:color="auto"/>
              <w:right w:val="single" w:sz="8" w:color="auto"/>
            </w:tcBorders>
            <w:shd w:val="clear" w:color="auto" w:fill="DEEAF6"/>
          </w:tcPr>
          <w:p>
            <w:pPr>
              <w:spacing w:after="0"/>
              <w:rPr>
                <w:sz w:val="7"/>
                <w:szCs w:val="7"/>
                <w:color w:val="auto"/>
              </w:rPr>
            </w:pPr>
          </w:p>
        </w:tc>
        <w:tc>
          <w:tcPr>
            <w:tcW w:w="1560" w:type="dxa"/>
            <w:vAlign w:val="bottom"/>
            <w:tcBorders>
              <w:bottom w:val="single" w:sz="8" w:color="auto"/>
              <w:right w:val="single" w:sz="8" w:color="auto"/>
            </w:tcBorders>
            <w:shd w:val="clear" w:color="auto" w:fill="DEEAF6"/>
          </w:tcPr>
          <w:p>
            <w:pPr>
              <w:spacing w:after="0"/>
              <w:rPr>
                <w:sz w:val="7"/>
                <w:szCs w:val="7"/>
                <w:color w:val="auto"/>
              </w:rPr>
            </w:pPr>
          </w:p>
        </w:tc>
        <w:tc>
          <w:tcPr>
            <w:tcW w:w="1680" w:type="dxa"/>
            <w:vAlign w:val="bottom"/>
            <w:tcBorders>
              <w:bottom w:val="single" w:sz="8" w:color="auto"/>
              <w:right w:val="single" w:sz="8" w:color="auto"/>
            </w:tcBorders>
            <w:vMerge w:val="continue"/>
            <w:shd w:val="clear" w:color="auto" w:fill="DEEAF6"/>
          </w:tcPr>
          <w:p>
            <w:pPr>
              <w:spacing w:after="0"/>
              <w:rPr>
                <w:sz w:val="7"/>
                <w:szCs w:val="7"/>
                <w:color w:val="auto"/>
              </w:rPr>
            </w:pPr>
          </w:p>
        </w:tc>
        <w:tc>
          <w:tcPr>
            <w:tcW w:w="900" w:type="dxa"/>
            <w:vAlign w:val="bottom"/>
            <w:tcBorders>
              <w:bottom w:val="single" w:sz="8" w:color="auto"/>
              <w:right w:val="single" w:sz="8" w:color="auto"/>
            </w:tcBorders>
            <w:shd w:val="clear" w:color="auto" w:fill="DEEAF6"/>
          </w:tcPr>
          <w:p>
            <w:pPr>
              <w:spacing w:after="0"/>
              <w:rPr>
                <w:sz w:val="7"/>
                <w:szCs w:val="7"/>
                <w:color w:val="auto"/>
              </w:rPr>
            </w:pPr>
          </w:p>
        </w:tc>
        <w:tc>
          <w:tcPr>
            <w:tcW w:w="1120" w:type="dxa"/>
            <w:vAlign w:val="bottom"/>
            <w:tcBorders>
              <w:bottom w:val="single" w:sz="8" w:color="auto"/>
              <w:right w:val="single" w:sz="8" w:color="auto"/>
            </w:tcBorders>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380" w:type="dxa"/>
            <w:vAlign w:val="bottom"/>
            <w:tcBorders>
              <w:left w:val="single" w:sz="8" w:color="auto"/>
              <w:right w:val="single" w:sz="8" w:color="auto"/>
            </w:tcBorders>
            <w:vMerge w:val="continue"/>
            <w:shd w:val="clear" w:color="auto" w:fill="DEEAF6"/>
          </w:tcPr>
          <w:p>
            <w:pPr>
              <w:spacing w:after="0"/>
              <w:rPr>
                <w:sz w:val="6"/>
                <w:szCs w:val="6"/>
                <w:color w:val="auto"/>
              </w:rPr>
            </w:pPr>
          </w:p>
        </w:tc>
        <w:tc>
          <w:tcPr>
            <w:tcW w:w="860" w:type="dxa"/>
            <w:vAlign w:val="bottom"/>
            <w:shd w:val="clear" w:color="auto" w:fill="DEEAF6"/>
          </w:tcPr>
          <w:p>
            <w:pPr>
              <w:spacing w:after="0"/>
              <w:rPr>
                <w:sz w:val="6"/>
                <w:szCs w:val="6"/>
                <w:color w:val="auto"/>
              </w:rPr>
            </w:pPr>
          </w:p>
        </w:tc>
        <w:tc>
          <w:tcPr>
            <w:tcW w:w="2180" w:type="dxa"/>
            <w:vAlign w:val="bottom"/>
            <w:tcBorders>
              <w:right w:val="single" w:sz="8" w:color="auto"/>
            </w:tcBorders>
            <w:shd w:val="clear" w:color="auto" w:fill="DEEAF6"/>
          </w:tcPr>
          <w:p>
            <w:pPr>
              <w:spacing w:after="0"/>
              <w:rPr>
                <w:sz w:val="6"/>
                <w:szCs w:val="6"/>
                <w:color w:val="auto"/>
              </w:rPr>
            </w:pPr>
          </w:p>
        </w:tc>
        <w:tc>
          <w:tcPr>
            <w:tcW w:w="1580" w:type="dxa"/>
            <w:vAlign w:val="bottom"/>
            <w:tcBorders>
              <w:right w:val="single" w:sz="8" w:color="auto"/>
            </w:tcBorders>
            <w:shd w:val="clear" w:color="auto" w:fill="DEEAF6"/>
          </w:tcPr>
          <w:p>
            <w:pPr>
              <w:spacing w:after="0"/>
              <w:rPr>
                <w:sz w:val="6"/>
                <w:szCs w:val="6"/>
                <w:color w:val="auto"/>
              </w:rPr>
            </w:pPr>
          </w:p>
        </w:tc>
        <w:tc>
          <w:tcPr>
            <w:tcW w:w="1560" w:type="dxa"/>
            <w:vAlign w:val="bottom"/>
            <w:tcBorders>
              <w:right w:val="single" w:sz="8" w:color="auto"/>
            </w:tcBorders>
            <w:vMerge w:val="restart"/>
            <w:shd w:val="clear" w:color="auto" w:fill="DEEAF6"/>
          </w:tcPr>
          <w:p>
            <w:pPr>
              <w:ind w:left="40"/>
              <w:spacing w:after="0" w:line="164" w:lineRule="exact"/>
              <w:rPr>
                <w:sz w:val="20"/>
                <w:szCs w:val="20"/>
                <w:color w:val="auto"/>
              </w:rPr>
            </w:pPr>
            <w:r>
              <w:rPr>
                <w:rFonts w:ascii="Arial" w:cs="Arial" w:eastAsia="Arial" w:hAnsi="Arial"/>
                <w:sz w:val="15"/>
                <w:szCs w:val="15"/>
                <w:color w:val="auto"/>
              </w:rPr>
              <w:t>MIBANCO</w:t>
            </w:r>
          </w:p>
        </w:tc>
        <w:tc>
          <w:tcPr>
            <w:tcW w:w="1680" w:type="dxa"/>
            <w:vAlign w:val="bottom"/>
            <w:tcBorders>
              <w:right w:val="single" w:sz="8" w:color="auto"/>
            </w:tcBorders>
            <w:shd w:val="clear" w:color="auto" w:fill="DEEAF6"/>
          </w:tcPr>
          <w:p>
            <w:pPr>
              <w:spacing w:after="0"/>
              <w:rPr>
                <w:sz w:val="6"/>
                <w:szCs w:val="6"/>
                <w:color w:val="auto"/>
              </w:rPr>
            </w:pPr>
          </w:p>
        </w:tc>
        <w:tc>
          <w:tcPr>
            <w:tcW w:w="900" w:type="dxa"/>
            <w:vAlign w:val="bottom"/>
            <w:tcBorders>
              <w:right w:val="single" w:sz="8" w:color="auto"/>
            </w:tcBorders>
            <w:shd w:val="clear" w:color="auto" w:fill="DEEAF6"/>
          </w:tcPr>
          <w:p>
            <w:pPr>
              <w:spacing w:after="0"/>
              <w:rPr>
                <w:sz w:val="6"/>
                <w:szCs w:val="6"/>
                <w:color w:val="auto"/>
              </w:rPr>
            </w:pPr>
          </w:p>
        </w:tc>
        <w:tc>
          <w:tcPr>
            <w:tcW w:w="1120" w:type="dxa"/>
            <w:vAlign w:val="bottom"/>
            <w:tcBorders>
              <w:right w:val="single" w:sz="8" w:color="auto"/>
            </w:tcBorders>
            <w:shd w:val="clear" w:color="auto" w:fill="DEEAF6"/>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right w:val="single" w:sz="8" w:color="auto"/>
            </w:tcBorders>
            <w:vMerge w:val="restart"/>
            <w:shd w:val="clear" w:color="auto" w:fill="DEEAF6"/>
          </w:tcPr>
          <w:p>
            <w:pPr>
              <w:ind w:left="60"/>
              <w:spacing w:after="0"/>
              <w:rPr>
                <w:sz w:val="20"/>
                <w:szCs w:val="20"/>
                <w:color w:val="auto"/>
              </w:rPr>
            </w:pPr>
            <w:r>
              <w:rPr>
                <w:rFonts w:ascii="Arial" w:cs="Arial" w:eastAsia="Arial" w:hAnsi="Arial"/>
                <w:sz w:val="15"/>
                <w:szCs w:val="15"/>
                <w:color w:val="auto"/>
              </w:rPr>
              <w:t>inclusive</w:t>
            </w: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Increase financial inclusion</w:t>
            </w:r>
          </w:p>
        </w:tc>
        <w:tc>
          <w:tcPr>
            <w:tcW w:w="15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Financial inclusion</w:t>
            </w:r>
          </w:p>
        </w:tc>
        <w:tc>
          <w:tcPr>
            <w:tcW w:w="1560" w:type="dxa"/>
            <w:vAlign w:val="bottom"/>
            <w:tcBorders>
              <w:right w:val="single" w:sz="8" w:color="auto"/>
            </w:tcBorders>
            <w:vMerge w:val="continue"/>
            <w:shd w:val="clear" w:color="auto" w:fill="DEEAF6"/>
          </w:tcPr>
          <w:p>
            <w:pPr>
              <w:spacing w:after="0"/>
              <w:rPr>
                <w:sz w:val="8"/>
                <w:szCs w:val="8"/>
                <w:color w:val="auto"/>
              </w:rPr>
            </w:pP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Banked clients (active)</w:t>
            </w:r>
          </w:p>
        </w:tc>
        <w:tc>
          <w:tcPr>
            <w:tcW w:w="9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w w:val="95"/>
              </w:rPr>
              <w:t>#</w:t>
            </w:r>
          </w:p>
        </w:tc>
        <w:tc>
          <w:tcPr>
            <w:tcW w:w="112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26,557</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right w:val="single" w:sz="8" w:color="auto"/>
            </w:tcBorders>
            <w:vMerge w:val="continue"/>
            <w:shd w:val="clear" w:color="auto" w:fill="DEEAF6"/>
          </w:tcPr>
          <w:p>
            <w:pPr>
              <w:spacing w:after="0"/>
              <w:rPr>
                <w:sz w:val="7"/>
                <w:szCs w:val="7"/>
                <w:color w:val="auto"/>
              </w:rPr>
            </w:pPr>
          </w:p>
        </w:tc>
        <w:tc>
          <w:tcPr>
            <w:tcW w:w="3040" w:type="dxa"/>
            <w:vAlign w:val="bottom"/>
            <w:tcBorders>
              <w:right w:val="single" w:sz="8" w:color="auto"/>
            </w:tcBorders>
            <w:gridSpan w:val="2"/>
            <w:vMerge w:val="continue"/>
            <w:shd w:val="clear" w:color="auto" w:fill="DEEAF6"/>
          </w:tcPr>
          <w:p>
            <w:pPr>
              <w:spacing w:after="0"/>
              <w:rPr>
                <w:sz w:val="7"/>
                <w:szCs w:val="7"/>
                <w:color w:val="auto"/>
              </w:rPr>
            </w:pPr>
          </w:p>
        </w:tc>
        <w:tc>
          <w:tcPr>
            <w:tcW w:w="1580" w:type="dxa"/>
            <w:vAlign w:val="bottom"/>
            <w:tcBorders>
              <w:right w:val="single" w:sz="8" w:color="auto"/>
            </w:tcBorders>
            <w:vMerge w:val="continue"/>
            <w:shd w:val="clear" w:color="auto" w:fill="DEEAF6"/>
          </w:tcPr>
          <w:p>
            <w:pPr>
              <w:spacing w:after="0"/>
              <w:rPr>
                <w:sz w:val="7"/>
                <w:szCs w:val="7"/>
                <w:color w:val="auto"/>
              </w:rPr>
            </w:pPr>
          </w:p>
        </w:tc>
        <w:tc>
          <w:tcPr>
            <w:tcW w:w="156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COLOMBIA</w:t>
            </w:r>
          </w:p>
        </w:tc>
        <w:tc>
          <w:tcPr>
            <w:tcW w:w="1680" w:type="dxa"/>
            <w:vAlign w:val="bottom"/>
            <w:tcBorders>
              <w:right w:val="single" w:sz="8" w:color="auto"/>
            </w:tcBorders>
            <w:vMerge w:val="continue"/>
            <w:shd w:val="clear" w:color="auto" w:fill="DEEAF6"/>
          </w:tcPr>
          <w:p>
            <w:pPr>
              <w:spacing w:after="0"/>
              <w:rPr>
                <w:sz w:val="7"/>
                <w:szCs w:val="7"/>
                <w:color w:val="auto"/>
              </w:rPr>
            </w:pPr>
          </w:p>
        </w:tc>
        <w:tc>
          <w:tcPr>
            <w:tcW w:w="900" w:type="dxa"/>
            <w:vAlign w:val="bottom"/>
            <w:tcBorders>
              <w:right w:val="single" w:sz="8" w:color="auto"/>
            </w:tcBorders>
            <w:vMerge w:val="continue"/>
            <w:shd w:val="clear" w:color="auto" w:fill="DEEAF6"/>
          </w:tcPr>
          <w:p>
            <w:pPr>
              <w:spacing w:after="0"/>
              <w:rPr>
                <w:sz w:val="7"/>
                <w:szCs w:val="7"/>
                <w:color w:val="auto"/>
              </w:rPr>
            </w:pPr>
          </w:p>
        </w:tc>
        <w:tc>
          <w:tcPr>
            <w:tcW w:w="1120" w:type="dxa"/>
            <w:vAlign w:val="bottom"/>
            <w:tcBorders>
              <w:right w:val="single" w:sz="8" w:color="auto"/>
            </w:tcBorders>
            <w:vMerge w:val="continue"/>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80" w:type="dxa"/>
            <w:vAlign w:val="bottom"/>
            <w:tcBorders>
              <w:left w:val="single" w:sz="8" w:color="auto"/>
              <w:bottom w:val="single" w:sz="8" w:color="DEEAF6"/>
              <w:right w:val="single" w:sz="8" w:color="auto"/>
            </w:tcBorders>
            <w:vMerge w:val="restart"/>
            <w:shd w:val="clear" w:color="auto" w:fill="DEEAF6"/>
          </w:tcPr>
          <w:p>
            <w:pPr>
              <w:ind w:left="60"/>
              <w:spacing w:after="0"/>
              <w:rPr>
                <w:sz w:val="20"/>
                <w:szCs w:val="20"/>
                <w:color w:val="auto"/>
              </w:rPr>
            </w:pPr>
            <w:r>
              <w:rPr>
                <w:rFonts w:ascii="Arial" w:cs="Arial" w:eastAsia="Arial" w:hAnsi="Arial"/>
                <w:sz w:val="15"/>
                <w:szCs w:val="15"/>
                <w:color w:val="auto"/>
              </w:rPr>
              <w:t>economy</w:t>
            </w:r>
          </w:p>
        </w:tc>
        <w:tc>
          <w:tcPr>
            <w:tcW w:w="860" w:type="dxa"/>
            <w:vAlign w:val="bottom"/>
            <w:tcBorders>
              <w:bottom w:val="single" w:sz="8" w:color="auto"/>
            </w:tcBorders>
            <w:shd w:val="clear" w:color="auto" w:fill="DEEAF6"/>
          </w:tcPr>
          <w:p>
            <w:pPr>
              <w:spacing w:after="0"/>
              <w:rPr>
                <w:sz w:val="8"/>
                <w:szCs w:val="8"/>
                <w:color w:val="auto"/>
              </w:rPr>
            </w:pPr>
          </w:p>
        </w:tc>
        <w:tc>
          <w:tcPr>
            <w:tcW w:w="2180" w:type="dxa"/>
            <w:vAlign w:val="bottom"/>
            <w:tcBorders>
              <w:bottom w:val="single" w:sz="8" w:color="auto"/>
              <w:right w:val="single" w:sz="8" w:color="auto"/>
            </w:tcBorders>
            <w:shd w:val="clear" w:color="auto" w:fill="DEEAF6"/>
          </w:tcPr>
          <w:p>
            <w:pPr>
              <w:spacing w:after="0"/>
              <w:rPr>
                <w:sz w:val="8"/>
                <w:szCs w:val="8"/>
                <w:color w:val="auto"/>
              </w:rPr>
            </w:pPr>
          </w:p>
        </w:tc>
        <w:tc>
          <w:tcPr>
            <w:tcW w:w="1580" w:type="dxa"/>
            <w:vAlign w:val="bottom"/>
            <w:tcBorders>
              <w:bottom w:val="single" w:sz="8" w:color="auto"/>
              <w:right w:val="single" w:sz="8" w:color="auto"/>
            </w:tcBorders>
            <w:shd w:val="clear" w:color="auto" w:fill="DEEAF6"/>
          </w:tcPr>
          <w:p>
            <w:pPr>
              <w:spacing w:after="0"/>
              <w:rPr>
                <w:sz w:val="8"/>
                <w:szCs w:val="8"/>
                <w:color w:val="auto"/>
              </w:rPr>
            </w:pPr>
          </w:p>
        </w:tc>
        <w:tc>
          <w:tcPr>
            <w:tcW w:w="1560" w:type="dxa"/>
            <w:vAlign w:val="bottom"/>
            <w:tcBorders>
              <w:bottom w:val="single" w:sz="8" w:color="auto"/>
              <w:right w:val="single" w:sz="8" w:color="auto"/>
            </w:tcBorders>
            <w:vMerge w:val="continue"/>
            <w:shd w:val="clear" w:color="auto" w:fill="DEEAF6"/>
          </w:tcPr>
          <w:p>
            <w:pPr>
              <w:spacing w:after="0"/>
              <w:rPr>
                <w:sz w:val="8"/>
                <w:szCs w:val="8"/>
                <w:color w:val="auto"/>
              </w:rPr>
            </w:pPr>
          </w:p>
        </w:tc>
        <w:tc>
          <w:tcPr>
            <w:tcW w:w="1680" w:type="dxa"/>
            <w:vAlign w:val="bottom"/>
            <w:tcBorders>
              <w:bottom w:val="single" w:sz="8" w:color="auto"/>
              <w:right w:val="single" w:sz="8" w:color="auto"/>
            </w:tcBorders>
            <w:shd w:val="clear" w:color="auto" w:fill="DEEAF6"/>
          </w:tcPr>
          <w:p>
            <w:pPr>
              <w:spacing w:after="0"/>
              <w:rPr>
                <w:sz w:val="8"/>
                <w:szCs w:val="8"/>
                <w:color w:val="auto"/>
              </w:rPr>
            </w:pPr>
          </w:p>
        </w:tc>
        <w:tc>
          <w:tcPr>
            <w:tcW w:w="900" w:type="dxa"/>
            <w:vAlign w:val="bottom"/>
            <w:tcBorders>
              <w:bottom w:val="single" w:sz="8" w:color="auto"/>
              <w:right w:val="single" w:sz="8" w:color="auto"/>
            </w:tcBorders>
            <w:shd w:val="clear" w:color="auto" w:fill="DEEAF6"/>
          </w:tcPr>
          <w:p>
            <w:pPr>
              <w:spacing w:after="0"/>
              <w:rPr>
                <w:sz w:val="8"/>
                <w:szCs w:val="8"/>
                <w:color w:val="auto"/>
              </w:rPr>
            </w:pPr>
          </w:p>
        </w:tc>
        <w:tc>
          <w:tcPr>
            <w:tcW w:w="1120" w:type="dxa"/>
            <w:vAlign w:val="bottom"/>
            <w:tcBorders>
              <w:bottom w:val="single" w:sz="8" w:color="auto"/>
              <w:right w:val="single" w:sz="8" w:color="auto"/>
            </w:tcBorders>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right w:val="single" w:sz="8" w:color="auto"/>
            </w:tcBorders>
            <w:vMerge w:val="continue"/>
            <w:shd w:val="clear" w:color="auto" w:fill="DEEAF6"/>
          </w:tcPr>
          <w:p>
            <w:pPr>
              <w:spacing w:after="0"/>
              <w:rPr>
                <w:sz w:val="6"/>
                <w:szCs w:val="6"/>
                <w:color w:val="auto"/>
              </w:rPr>
            </w:pP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Increase financial inclusion</w:t>
            </w:r>
          </w:p>
        </w:tc>
        <w:tc>
          <w:tcPr>
            <w:tcW w:w="15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Financial inclusion</w:t>
            </w:r>
          </w:p>
        </w:tc>
        <w:tc>
          <w:tcPr>
            <w:tcW w:w="156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MIBANCO PERU</w:t>
            </w:r>
          </w:p>
        </w:tc>
        <w:tc>
          <w:tcPr>
            <w:tcW w:w="1680" w:type="dxa"/>
            <w:vAlign w:val="bottom"/>
            <w:tcBorders>
              <w:right w:val="single" w:sz="8" w:color="auto"/>
            </w:tcBorders>
            <w:vMerge w:val="restart"/>
            <w:shd w:val="clear" w:color="auto" w:fill="DEEAF6"/>
          </w:tcPr>
          <w:p>
            <w:pPr>
              <w:ind w:left="40"/>
              <w:spacing w:after="0" w:line="164" w:lineRule="exact"/>
              <w:rPr>
                <w:sz w:val="20"/>
                <w:szCs w:val="20"/>
                <w:color w:val="auto"/>
              </w:rPr>
            </w:pPr>
            <w:r>
              <w:rPr>
                <w:rFonts w:ascii="Arial" w:cs="Arial" w:eastAsia="Arial" w:hAnsi="Arial"/>
                <w:sz w:val="15"/>
                <w:szCs w:val="15"/>
                <w:color w:val="auto"/>
              </w:rPr>
              <w:t>Number of Yevo</w:t>
            </w:r>
          </w:p>
        </w:tc>
        <w:tc>
          <w:tcPr>
            <w:tcW w:w="9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w w:val="95"/>
              </w:rPr>
              <w:t>#</w:t>
            </w:r>
          </w:p>
        </w:tc>
        <w:tc>
          <w:tcPr>
            <w:tcW w:w="112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w w:val="99"/>
              </w:rPr>
              <w:t>236,909</w:t>
            </w:r>
          </w:p>
        </w:tc>
        <w:tc>
          <w:tcPr>
            <w:tcW w:w="0" w:type="dxa"/>
            <w:vAlign w:val="bottom"/>
          </w:tcPr>
          <w:p>
            <w:pPr>
              <w:spacing w:after="0"/>
              <w:rPr>
                <w:sz w:val="1"/>
                <w:szCs w:val="1"/>
                <w:color w:val="auto"/>
              </w:rPr>
            </w:pPr>
          </w:p>
        </w:tc>
      </w:tr>
      <w:tr>
        <w:trPr>
          <w:trHeight w:val="92"/>
        </w:trPr>
        <w:tc>
          <w:tcPr>
            <w:tcW w:w="1380" w:type="dxa"/>
            <w:vAlign w:val="bottom"/>
            <w:tcBorders>
              <w:left w:val="single" w:sz="8" w:color="auto"/>
              <w:right w:val="single" w:sz="8" w:color="auto"/>
            </w:tcBorders>
            <w:shd w:val="clear" w:color="auto" w:fill="DEEAF6"/>
          </w:tcPr>
          <w:p>
            <w:pPr>
              <w:spacing w:after="0"/>
              <w:rPr>
                <w:sz w:val="7"/>
                <w:szCs w:val="7"/>
                <w:color w:val="auto"/>
              </w:rPr>
            </w:pPr>
          </w:p>
        </w:tc>
        <w:tc>
          <w:tcPr>
            <w:tcW w:w="3040" w:type="dxa"/>
            <w:vAlign w:val="bottom"/>
            <w:tcBorders>
              <w:right w:val="single" w:sz="8" w:color="auto"/>
            </w:tcBorders>
            <w:gridSpan w:val="2"/>
            <w:vMerge w:val="continue"/>
            <w:shd w:val="clear" w:color="auto" w:fill="DEEAF6"/>
          </w:tcPr>
          <w:p>
            <w:pPr>
              <w:spacing w:after="0"/>
              <w:rPr>
                <w:sz w:val="7"/>
                <w:szCs w:val="7"/>
                <w:color w:val="auto"/>
              </w:rPr>
            </w:pPr>
          </w:p>
        </w:tc>
        <w:tc>
          <w:tcPr>
            <w:tcW w:w="1580" w:type="dxa"/>
            <w:vAlign w:val="bottom"/>
            <w:tcBorders>
              <w:right w:val="single" w:sz="8" w:color="auto"/>
            </w:tcBorders>
            <w:vMerge w:val="continue"/>
            <w:shd w:val="clear" w:color="auto" w:fill="DEEAF6"/>
          </w:tcPr>
          <w:p>
            <w:pPr>
              <w:spacing w:after="0"/>
              <w:rPr>
                <w:sz w:val="7"/>
                <w:szCs w:val="7"/>
                <w:color w:val="auto"/>
              </w:rPr>
            </w:pPr>
          </w:p>
        </w:tc>
        <w:tc>
          <w:tcPr>
            <w:tcW w:w="1560" w:type="dxa"/>
            <w:vAlign w:val="bottom"/>
            <w:tcBorders>
              <w:right w:val="single" w:sz="8" w:color="auto"/>
            </w:tcBorders>
            <w:vMerge w:val="continue"/>
            <w:shd w:val="clear" w:color="auto" w:fill="DEEAF6"/>
          </w:tcPr>
          <w:p>
            <w:pPr>
              <w:spacing w:after="0"/>
              <w:rPr>
                <w:sz w:val="7"/>
                <w:szCs w:val="7"/>
                <w:color w:val="auto"/>
              </w:rPr>
            </w:pPr>
          </w:p>
        </w:tc>
        <w:tc>
          <w:tcPr>
            <w:tcW w:w="1680" w:type="dxa"/>
            <w:vAlign w:val="bottom"/>
            <w:tcBorders>
              <w:right w:val="single" w:sz="8" w:color="auto"/>
            </w:tcBorders>
            <w:vMerge w:val="continue"/>
            <w:shd w:val="clear" w:color="auto" w:fill="DEEAF6"/>
          </w:tcPr>
          <w:p>
            <w:pPr>
              <w:spacing w:after="0"/>
              <w:rPr>
                <w:sz w:val="7"/>
                <w:szCs w:val="7"/>
                <w:color w:val="auto"/>
              </w:rPr>
            </w:pPr>
          </w:p>
        </w:tc>
        <w:tc>
          <w:tcPr>
            <w:tcW w:w="900" w:type="dxa"/>
            <w:vAlign w:val="bottom"/>
            <w:tcBorders>
              <w:right w:val="single" w:sz="8" w:color="auto"/>
            </w:tcBorders>
            <w:vMerge w:val="continue"/>
            <w:shd w:val="clear" w:color="auto" w:fill="DEEAF6"/>
          </w:tcPr>
          <w:p>
            <w:pPr>
              <w:spacing w:after="0"/>
              <w:rPr>
                <w:sz w:val="7"/>
                <w:szCs w:val="7"/>
                <w:color w:val="auto"/>
              </w:rPr>
            </w:pPr>
          </w:p>
        </w:tc>
        <w:tc>
          <w:tcPr>
            <w:tcW w:w="1120" w:type="dxa"/>
            <w:vAlign w:val="bottom"/>
            <w:tcBorders>
              <w:right w:val="single" w:sz="8" w:color="auto"/>
            </w:tcBorders>
            <w:vMerge w:val="continue"/>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DEEAF6"/>
          </w:tcPr>
          <w:p>
            <w:pPr>
              <w:spacing w:after="0"/>
              <w:rPr>
                <w:sz w:val="8"/>
                <w:szCs w:val="8"/>
                <w:color w:val="auto"/>
              </w:rPr>
            </w:pPr>
          </w:p>
        </w:tc>
        <w:tc>
          <w:tcPr>
            <w:tcW w:w="3040" w:type="dxa"/>
            <w:vAlign w:val="bottom"/>
            <w:tcBorders>
              <w:right w:val="single" w:sz="8" w:color="auto"/>
            </w:tcBorders>
            <w:gridSpan w:val="2"/>
            <w:vMerge w:val="continue"/>
            <w:shd w:val="clear" w:color="auto" w:fill="DEEAF6"/>
          </w:tcPr>
          <w:p>
            <w:pPr>
              <w:spacing w:after="0"/>
              <w:rPr>
                <w:sz w:val="8"/>
                <w:szCs w:val="8"/>
                <w:color w:val="auto"/>
              </w:rPr>
            </w:pPr>
          </w:p>
        </w:tc>
        <w:tc>
          <w:tcPr>
            <w:tcW w:w="1580" w:type="dxa"/>
            <w:vAlign w:val="bottom"/>
            <w:tcBorders>
              <w:right w:val="single" w:sz="8" w:color="auto"/>
            </w:tcBorders>
            <w:vMerge w:val="continue"/>
            <w:shd w:val="clear" w:color="auto" w:fill="DEEAF6"/>
          </w:tcPr>
          <w:p>
            <w:pPr>
              <w:spacing w:after="0"/>
              <w:rPr>
                <w:sz w:val="8"/>
                <w:szCs w:val="8"/>
                <w:color w:val="auto"/>
              </w:rPr>
            </w:pPr>
          </w:p>
        </w:tc>
        <w:tc>
          <w:tcPr>
            <w:tcW w:w="1560" w:type="dxa"/>
            <w:vAlign w:val="bottom"/>
            <w:tcBorders>
              <w:right w:val="single" w:sz="8" w:color="auto"/>
            </w:tcBorders>
            <w:vMerge w:val="continue"/>
            <w:shd w:val="clear" w:color="auto" w:fill="DEEAF6"/>
          </w:tcPr>
          <w:p>
            <w:pPr>
              <w:spacing w:after="0"/>
              <w:rPr>
                <w:sz w:val="8"/>
                <w:szCs w:val="8"/>
                <w:color w:val="auto"/>
              </w:rPr>
            </w:pP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affiliates since 2020</w:t>
            </w:r>
          </w:p>
        </w:tc>
        <w:tc>
          <w:tcPr>
            <w:tcW w:w="900" w:type="dxa"/>
            <w:vAlign w:val="bottom"/>
            <w:tcBorders>
              <w:right w:val="single" w:sz="8" w:color="auto"/>
            </w:tcBorders>
            <w:vMerge w:val="continue"/>
            <w:shd w:val="clear" w:color="auto" w:fill="DEEAF6"/>
          </w:tcPr>
          <w:p>
            <w:pPr>
              <w:spacing w:after="0"/>
              <w:rPr>
                <w:sz w:val="8"/>
                <w:szCs w:val="8"/>
                <w:color w:val="auto"/>
              </w:rPr>
            </w:pPr>
          </w:p>
        </w:tc>
        <w:tc>
          <w:tcPr>
            <w:tcW w:w="1120" w:type="dxa"/>
            <w:vAlign w:val="bottom"/>
            <w:tcBorders>
              <w:right w:val="single" w:sz="8" w:color="auto"/>
            </w:tcBorders>
            <w:vMerge w:val="continue"/>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Borders>
              <w:left w:val="single" w:sz="8" w:color="auto"/>
              <w:bottom w:val="single" w:sz="8" w:color="DEEAF6"/>
              <w:right w:val="single" w:sz="8" w:color="auto"/>
            </w:tcBorders>
            <w:shd w:val="clear" w:color="auto" w:fill="DEEAF6"/>
          </w:tcPr>
          <w:p>
            <w:pPr>
              <w:spacing w:after="0"/>
              <w:rPr>
                <w:sz w:val="7"/>
                <w:szCs w:val="7"/>
                <w:color w:val="auto"/>
              </w:rPr>
            </w:pPr>
          </w:p>
        </w:tc>
        <w:tc>
          <w:tcPr>
            <w:tcW w:w="860" w:type="dxa"/>
            <w:vAlign w:val="bottom"/>
            <w:tcBorders>
              <w:bottom w:val="single" w:sz="8" w:color="auto"/>
            </w:tcBorders>
            <w:shd w:val="clear" w:color="auto" w:fill="DEEAF6"/>
          </w:tcPr>
          <w:p>
            <w:pPr>
              <w:spacing w:after="0"/>
              <w:rPr>
                <w:sz w:val="7"/>
                <w:szCs w:val="7"/>
                <w:color w:val="auto"/>
              </w:rPr>
            </w:pPr>
          </w:p>
        </w:tc>
        <w:tc>
          <w:tcPr>
            <w:tcW w:w="2180" w:type="dxa"/>
            <w:vAlign w:val="bottom"/>
            <w:tcBorders>
              <w:bottom w:val="single" w:sz="8" w:color="auto"/>
              <w:right w:val="single" w:sz="8" w:color="auto"/>
            </w:tcBorders>
            <w:shd w:val="clear" w:color="auto" w:fill="DEEAF6"/>
          </w:tcPr>
          <w:p>
            <w:pPr>
              <w:spacing w:after="0"/>
              <w:rPr>
                <w:sz w:val="7"/>
                <w:szCs w:val="7"/>
                <w:color w:val="auto"/>
              </w:rPr>
            </w:pPr>
          </w:p>
        </w:tc>
        <w:tc>
          <w:tcPr>
            <w:tcW w:w="1580" w:type="dxa"/>
            <w:vAlign w:val="bottom"/>
            <w:tcBorders>
              <w:bottom w:val="single" w:sz="8" w:color="auto"/>
              <w:right w:val="single" w:sz="8" w:color="auto"/>
            </w:tcBorders>
            <w:shd w:val="clear" w:color="auto" w:fill="DEEAF6"/>
          </w:tcPr>
          <w:p>
            <w:pPr>
              <w:spacing w:after="0"/>
              <w:rPr>
                <w:sz w:val="7"/>
                <w:szCs w:val="7"/>
                <w:color w:val="auto"/>
              </w:rPr>
            </w:pPr>
          </w:p>
        </w:tc>
        <w:tc>
          <w:tcPr>
            <w:tcW w:w="1560" w:type="dxa"/>
            <w:vAlign w:val="bottom"/>
            <w:tcBorders>
              <w:bottom w:val="single" w:sz="8" w:color="auto"/>
              <w:right w:val="single" w:sz="8" w:color="auto"/>
            </w:tcBorders>
            <w:shd w:val="clear" w:color="auto" w:fill="DEEAF6"/>
          </w:tcPr>
          <w:p>
            <w:pPr>
              <w:spacing w:after="0"/>
              <w:rPr>
                <w:sz w:val="7"/>
                <w:szCs w:val="7"/>
                <w:color w:val="auto"/>
              </w:rPr>
            </w:pPr>
          </w:p>
        </w:tc>
        <w:tc>
          <w:tcPr>
            <w:tcW w:w="1680" w:type="dxa"/>
            <w:vAlign w:val="bottom"/>
            <w:tcBorders>
              <w:bottom w:val="single" w:sz="8" w:color="auto"/>
              <w:right w:val="single" w:sz="8" w:color="auto"/>
            </w:tcBorders>
            <w:vMerge w:val="continue"/>
            <w:shd w:val="clear" w:color="auto" w:fill="DEEAF6"/>
          </w:tcPr>
          <w:p>
            <w:pPr>
              <w:spacing w:after="0"/>
              <w:rPr>
                <w:sz w:val="7"/>
                <w:szCs w:val="7"/>
                <w:color w:val="auto"/>
              </w:rPr>
            </w:pPr>
          </w:p>
        </w:tc>
        <w:tc>
          <w:tcPr>
            <w:tcW w:w="900" w:type="dxa"/>
            <w:vAlign w:val="bottom"/>
            <w:tcBorders>
              <w:bottom w:val="single" w:sz="8" w:color="auto"/>
              <w:right w:val="single" w:sz="8" w:color="auto"/>
            </w:tcBorders>
            <w:shd w:val="clear" w:color="auto" w:fill="DEEAF6"/>
          </w:tcPr>
          <w:p>
            <w:pPr>
              <w:spacing w:after="0"/>
              <w:rPr>
                <w:sz w:val="7"/>
                <w:szCs w:val="7"/>
                <w:color w:val="auto"/>
              </w:rPr>
            </w:pPr>
          </w:p>
        </w:tc>
        <w:tc>
          <w:tcPr>
            <w:tcW w:w="1120" w:type="dxa"/>
            <w:vAlign w:val="bottom"/>
            <w:tcBorders>
              <w:bottom w:val="single" w:sz="8" w:color="auto"/>
              <w:right w:val="single" w:sz="8" w:color="auto"/>
            </w:tcBorders>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shd w:val="clear" w:color="auto" w:fill="DEEAF6"/>
          </w:tcPr>
          <w:p>
            <w:pPr>
              <w:spacing w:after="0"/>
              <w:rPr>
                <w:sz w:val="14"/>
                <w:szCs w:val="14"/>
                <w:color w:val="auto"/>
              </w:rPr>
            </w:pP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Increase financial inclusion</w:t>
            </w:r>
          </w:p>
        </w:tc>
        <w:tc>
          <w:tcPr>
            <w:tcW w:w="15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Financial inclusion</w:t>
            </w:r>
          </w:p>
        </w:tc>
        <w:tc>
          <w:tcPr>
            <w:tcW w:w="156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MIBANCO PERU</w:t>
            </w:r>
          </w:p>
        </w:tc>
        <w:tc>
          <w:tcPr>
            <w:tcW w:w="168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Number of clients that</w:t>
            </w:r>
          </w:p>
        </w:tc>
        <w:tc>
          <w:tcPr>
            <w:tcW w:w="9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w w:val="95"/>
              </w:rPr>
              <w:t>#</w:t>
            </w:r>
          </w:p>
        </w:tc>
        <w:tc>
          <w:tcPr>
            <w:tcW w:w="112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97,739</w:t>
            </w: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DEEAF6"/>
          </w:tcPr>
          <w:p>
            <w:pPr>
              <w:spacing w:after="0"/>
              <w:rPr>
                <w:sz w:val="8"/>
                <w:szCs w:val="8"/>
                <w:color w:val="auto"/>
              </w:rPr>
            </w:pPr>
          </w:p>
        </w:tc>
        <w:tc>
          <w:tcPr>
            <w:tcW w:w="3040" w:type="dxa"/>
            <w:vAlign w:val="bottom"/>
            <w:tcBorders>
              <w:right w:val="single" w:sz="8" w:color="auto"/>
            </w:tcBorders>
            <w:gridSpan w:val="2"/>
            <w:vMerge w:val="continue"/>
            <w:shd w:val="clear" w:color="auto" w:fill="DEEAF6"/>
          </w:tcPr>
          <w:p>
            <w:pPr>
              <w:spacing w:after="0"/>
              <w:rPr>
                <w:sz w:val="8"/>
                <w:szCs w:val="8"/>
                <w:color w:val="auto"/>
              </w:rPr>
            </w:pPr>
          </w:p>
        </w:tc>
        <w:tc>
          <w:tcPr>
            <w:tcW w:w="1580" w:type="dxa"/>
            <w:vAlign w:val="bottom"/>
            <w:tcBorders>
              <w:right w:val="single" w:sz="8" w:color="auto"/>
            </w:tcBorders>
            <w:vMerge w:val="continue"/>
            <w:shd w:val="clear" w:color="auto" w:fill="DEEAF6"/>
          </w:tcPr>
          <w:p>
            <w:pPr>
              <w:spacing w:after="0"/>
              <w:rPr>
                <w:sz w:val="8"/>
                <w:szCs w:val="8"/>
                <w:color w:val="auto"/>
              </w:rPr>
            </w:pPr>
          </w:p>
        </w:tc>
        <w:tc>
          <w:tcPr>
            <w:tcW w:w="1560" w:type="dxa"/>
            <w:vAlign w:val="bottom"/>
            <w:tcBorders>
              <w:right w:val="single" w:sz="8" w:color="auto"/>
            </w:tcBorders>
            <w:vMerge w:val="continue"/>
            <w:shd w:val="clear" w:color="auto" w:fill="DEEAF6"/>
          </w:tcPr>
          <w:p>
            <w:pPr>
              <w:spacing w:after="0"/>
              <w:rPr>
                <w:sz w:val="8"/>
                <w:szCs w:val="8"/>
                <w:color w:val="auto"/>
              </w:rPr>
            </w:pP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access Crediagua</w:t>
            </w:r>
          </w:p>
        </w:tc>
        <w:tc>
          <w:tcPr>
            <w:tcW w:w="900" w:type="dxa"/>
            <w:vAlign w:val="bottom"/>
            <w:tcBorders>
              <w:right w:val="single" w:sz="8" w:color="auto"/>
            </w:tcBorders>
            <w:vMerge w:val="continue"/>
            <w:shd w:val="clear" w:color="auto" w:fill="DEEAF6"/>
          </w:tcPr>
          <w:p>
            <w:pPr>
              <w:spacing w:after="0"/>
              <w:rPr>
                <w:sz w:val="8"/>
                <w:szCs w:val="8"/>
                <w:color w:val="auto"/>
              </w:rPr>
            </w:pPr>
          </w:p>
        </w:tc>
        <w:tc>
          <w:tcPr>
            <w:tcW w:w="1120" w:type="dxa"/>
            <w:vAlign w:val="bottom"/>
            <w:tcBorders>
              <w:right w:val="single" w:sz="8" w:color="auto"/>
            </w:tcBorders>
            <w:vMerge w:val="continue"/>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Borders>
              <w:left w:val="single" w:sz="8" w:color="auto"/>
              <w:bottom w:val="single" w:sz="8" w:color="DEEAF6"/>
              <w:right w:val="single" w:sz="8" w:color="auto"/>
            </w:tcBorders>
            <w:shd w:val="clear" w:color="auto" w:fill="DEEAF6"/>
          </w:tcPr>
          <w:p>
            <w:pPr>
              <w:spacing w:after="0"/>
              <w:rPr>
                <w:sz w:val="7"/>
                <w:szCs w:val="7"/>
                <w:color w:val="auto"/>
              </w:rPr>
            </w:pPr>
          </w:p>
        </w:tc>
        <w:tc>
          <w:tcPr>
            <w:tcW w:w="860" w:type="dxa"/>
            <w:vAlign w:val="bottom"/>
            <w:tcBorders>
              <w:bottom w:val="single" w:sz="8" w:color="auto"/>
            </w:tcBorders>
            <w:shd w:val="clear" w:color="auto" w:fill="DEEAF6"/>
          </w:tcPr>
          <w:p>
            <w:pPr>
              <w:spacing w:after="0"/>
              <w:rPr>
                <w:sz w:val="7"/>
                <w:szCs w:val="7"/>
                <w:color w:val="auto"/>
              </w:rPr>
            </w:pPr>
          </w:p>
        </w:tc>
        <w:tc>
          <w:tcPr>
            <w:tcW w:w="2180" w:type="dxa"/>
            <w:vAlign w:val="bottom"/>
            <w:tcBorders>
              <w:bottom w:val="single" w:sz="8" w:color="auto"/>
              <w:right w:val="single" w:sz="8" w:color="auto"/>
            </w:tcBorders>
            <w:shd w:val="clear" w:color="auto" w:fill="DEEAF6"/>
          </w:tcPr>
          <w:p>
            <w:pPr>
              <w:spacing w:after="0"/>
              <w:rPr>
                <w:sz w:val="7"/>
                <w:szCs w:val="7"/>
                <w:color w:val="auto"/>
              </w:rPr>
            </w:pPr>
          </w:p>
        </w:tc>
        <w:tc>
          <w:tcPr>
            <w:tcW w:w="1580" w:type="dxa"/>
            <w:vAlign w:val="bottom"/>
            <w:tcBorders>
              <w:bottom w:val="single" w:sz="8" w:color="auto"/>
              <w:right w:val="single" w:sz="8" w:color="auto"/>
            </w:tcBorders>
            <w:shd w:val="clear" w:color="auto" w:fill="DEEAF6"/>
          </w:tcPr>
          <w:p>
            <w:pPr>
              <w:spacing w:after="0"/>
              <w:rPr>
                <w:sz w:val="7"/>
                <w:szCs w:val="7"/>
                <w:color w:val="auto"/>
              </w:rPr>
            </w:pPr>
          </w:p>
        </w:tc>
        <w:tc>
          <w:tcPr>
            <w:tcW w:w="1560" w:type="dxa"/>
            <w:vAlign w:val="bottom"/>
            <w:tcBorders>
              <w:bottom w:val="single" w:sz="8" w:color="auto"/>
              <w:right w:val="single" w:sz="8" w:color="auto"/>
            </w:tcBorders>
            <w:shd w:val="clear" w:color="auto" w:fill="DEEAF6"/>
          </w:tcPr>
          <w:p>
            <w:pPr>
              <w:spacing w:after="0"/>
              <w:rPr>
                <w:sz w:val="7"/>
                <w:szCs w:val="7"/>
                <w:color w:val="auto"/>
              </w:rPr>
            </w:pPr>
          </w:p>
        </w:tc>
        <w:tc>
          <w:tcPr>
            <w:tcW w:w="1680" w:type="dxa"/>
            <w:vAlign w:val="bottom"/>
            <w:tcBorders>
              <w:bottom w:val="single" w:sz="8" w:color="auto"/>
              <w:right w:val="single" w:sz="8" w:color="auto"/>
            </w:tcBorders>
            <w:vMerge w:val="continue"/>
            <w:shd w:val="clear" w:color="auto" w:fill="DEEAF6"/>
          </w:tcPr>
          <w:p>
            <w:pPr>
              <w:spacing w:after="0"/>
              <w:rPr>
                <w:sz w:val="7"/>
                <w:szCs w:val="7"/>
                <w:color w:val="auto"/>
              </w:rPr>
            </w:pPr>
          </w:p>
        </w:tc>
        <w:tc>
          <w:tcPr>
            <w:tcW w:w="900" w:type="dxa"/>
            <w:vAlign w:val="bottom"/>
            <w:tcBorders>
              <w:bottom w:val="single" w:sz="8" w:color="auto"/>
              <w:right w:val="single" w:sz="8" w:color="auto"/>
            </w:tcBorders>
            <w:shd w:val="clear" w:color="auto" w:fill="DEEAF6"/>
          </w:tcPr>
          <w:p>
            <w:pPr>
              <w:spacing w:after="0"/>
              <w:rPr>
                <w:sz w:val="7"/>
                <w:szCs w:val="7"/>
                <w:color w:val="auto"/>
              </w:rPr>
            </w:pPr>
          </w:p>
        </w:tc>
        <w:tc>
          <w:tcPr>
            <w:tcW w:w="1120" w:type="dxa"/>
            <w:vAlign w:val="bottom"/>
            <w:tcBorders>
              <w:bottom w:val="single" w:sz="8" w:color="auto"/>
              <w:right w:val="single" w:sz="8" w:color="auto"/>
            </w:tcBorders>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bottom w:val="single" w:sz="8" w:color="DEEAF6"/>
              <w:right w:val="single" w:sz="8" w:color="auto"/>
            </w:tcBorders>
            <w:shd w:val="clear" w:color="auto" w:fill="DEEAF6"/>
          </w:tcPr>
          <w:p>
            <w:pPr>
              <w:spacing w:after="0"/>
              <w:rPr>
                <w:sz w:val="14"/>
                <w:szCs w:val="14"/>
                <w:color w:val="auto"/>
              </w:rPr>
            </w:pPr>
          </w:p>
        </w:tc>
        <w:tc>
          <w:tcPr>
            <w:tcW w:w="3040" w:type="dxa"/>
            <w:vAlign w:val="bottom"/>
            <w:tcBorders>
              <w:bottom w:val="single" w:sz="8" w:color="auto"/>
              <w:right w:val="single" w:sz="8" w:color="auto"/>
            </w:tcBorders>
            <w:gridSpan w:val="2"/>
            <w:shd w:val="clear" w:color="auto" w:fill="DEEAF6"/>
          </w:tcPr>
          <w:p>
            <w:pPr>
              <w:ind w:left="40"/>
              <w:spacing w:after="0" w:line="164" w:lineRule="exact"/>
              <w:rPr>
                <w:sz w:val="20"/>
                <w:szCs w:val="20"/>
                <w:color w:val="auto"/>
              </w:rPr>
            </w:pPr>
            <w:r>
              <w:rPr>
                <w:rFonts w:ascii="Arial" w:cs="Arial" w:eastAsia="Arial" w:hAnsi="Arial"/>
                <w:sz w:val="15"/>
                <w:szCs w:val="15"/>
                <w:color w:val="auto"/>
              </w:rPr>
              <w:t>Increase Financial inclusion</w:t>
            </w:r>
          </w:p>
        </w:tc>
        <w:tc>
          <w:tcPr>
            <w:tcW w:w="1580" w:type="dxa"/>
            <w:vAlign w:val="bottom"/>
            <w:tcBorders>
              <w:bottom w:val="single" w:sz="8" w:color="auto"/>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Financial inclusion</w:t>
            </w:r>
          </w:p>
        </w:tc>
        <w:tc>
          <w:tcPr>
            <w:tcW w:w="1560" w:type="dxa"/>
            <w:vAlign w:val="bottom"/>
            <w:tcBorders>
              <w:bottom w:val="single" w:sz="8" w:color="auto"/>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MIBANCO PERU</w:t>
            </w:r>
          </w:p>
        </w:tc>
        <w:tc>
          <w:tcPr>
            <w:tcW w:w="1680" w:type="dxa"/>
            <w:vAlign w:val="bottom"/>
            <w:tcBorders>
              <w:bottom w:val="single" w:sz="8" w:color="auto"/>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Banked clients (active)</w:t>
            </w:r>
          </w:p>
        </w:tc>
        <w:tc>
          <w:tcPr>
            <w:tcW w:w="900" w:type="dxa"/>
            <w:vAlign w:val="bottom"/>
            <w:tcBorders>
              <w:bottom w:val="single" w:sz="8" w:color="auto"/>
              <w:right w:val="single" w:sz="8" w:color="auto"/>
            </w:tcBorders>
            <w:shd w:val="clear" w:color="auto" w:fill="DEEAF6"/>
          </w:tcPr>
          <w:p>
            <w:pPr>
              <w:jc w:val="center"/>
              <w:spacing w:after="0" w:line="164"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right w:val="single" w:sz="8" w:color="auto"/>
            </w:tcBorders>
            <w:shd w:val="clear" w:color="auto" w:fill="DEEAF6"/>
          </w:tcPr>
          <w:p>
            <w:pPr>
              <w:jc w:val="center"/>
              <w:spacing w:after="0" w:line="164" w:lineRule="exact"/>
              <w:rPr>
                <w:sz w:val="20"/>
                <w:szCs w:val="20"/>
                <w:color w:val="auto"/>
              </w:rPr>
            </w:pPr>
            <w:r>
              <w:rPr>
                <w:rFonts w:ascii="Arial" w:cs="Arial" w:eastAsia="Arial" w:hAnsi="Arial"/>
                <w:sz w:val="15"/>
                <w:szCs w:val="15"/>
                <w:color w:val="auto"/>
              </w:rPr>
              <w:t>72,876</w:t>
            </w: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shd w:val="clear" w:color="auto" w:fill="DEEAF6"/>
          </w:tcPr>
          <w:p>
            <w:pPr>
              <w:spacing w:after="0"/>
              <w:rPr>
                <w:sz w:val="14"/>
                <w:szCs w:val="14"/>
                <w:color w:val="auto"/>
              </w:rPr>
            </w:pPr>
          </w:p>
        </w:tc>
        <w:tc>
          <w:tcPr>
            <w:tcW w:w="860" w:type="dxa"/>
            <w:vAlign w:val="bottom"/>
            <w:shd w:val="clear" w:color="auto" w:fill="DEEAF6"/>
          </w:tcPr>
          <w:p>
            <w:pPr>
              <w:spacing w:after="0"/>
              <w:rPr>
                <w:sz w:val="14"/>
                <w:szCs w:val="14"/>
                <w:color w:val="auto"/>
              </w:rPr>
            </w:pPr>
          </w:p>
        </w:tc>
        <w:tc>
          <w:tcPr>
            <w:tcW w:w="2180" w:type="dxa"/>
            <w:vAlign w:val="bottom"/>
            <w:tcBorders>
              <w:right w:val="single" w:sz="8" w:color="auto"/>
            </w:tcBorders>
            <w:shd w:val="clear" w:color="auto" w:fill="DEEAF6"/>
          </w:tcPr>
          <w:p>
            <w:pPr>
              <w:spacing w:after="0"/>
              <w:rPr>
                <w:sz w:val="14"/>
                <w:szCs w:val="14"/>
                <w:color w:val="auto"/>
              </w:rPr>
            </w:pPr>
          </w:p>
        </w:tc>
        <w:tc>
          <w:tcPr>
            <w:tcW w:w="1580" w:type="dxa"/>
            <w:vAlign w:val="bottom"/>
            <w:tcBorders>
              <w:right w:val="single" w:sz="8" w:color="auto"/>
            </w:tcBorders>
            <w:shd w:val="clear" w:color="auto" w:fill="DEEAF6"/>
          </w:tcPr>
          <w:p>
            <w:pPr>
              <w:spacing w:after="0"/>
              <w:rPr>
                <w:sz w:val="14"/>
                <w:szCs w:val="14"/>
                <w:color w:val="auto"/>
              </w:rPr>
            </w:pPr>
          </w:p>
        </w:tc>
        <w:tc>
          <w:tcPr>
            <w:tcW w:w="1560" w:type="dxa"/>
            <w:vAlign w:val="bottom"/>
            <w:tcBorders>
              <w:right w:val="single" w:sz="8" w:color="auto"/>
            </w:tcBorders>
            <w:shd w:val="clear" w:color="auto" w:fill="DEEAF6"/>
          </w:tcPr>
          <w:p>
            <w:pPr>
              <w:spacing w:after="0"/>
              <w:rPr>
                <w:sz w:val="14"/>
                <w:szCs w:val="14"/>
                <w:color w:val="auto"/>
              </w:rPr>
            </w:pPr>
          </w:p>
        </w:tc>
        <w:tc>
          <w:tcPr>
            <w:tcW w:w="168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Percentage of ESG</w:t>
            </w:r>
          </w:p>
        </w:tc>
        <w:tc>
          <w:tcPr>
            <w:tcW w:w="900" w:type="dxa"/>
            <w:vAlign w:val="bottom"/>
            <w:tcBorders>
              <w:right w:val="single" w:sz="8" w:color="auto"/>
            </w:tcBorders>
            <w:shd w:val="clear" w:color="auto" w:fill="DEEAF6"/>
          </w:tcPr>
          <w:p>
            <w:pPr>
              <w:spacing w:after="0"/>
              <w:rPr>
                <w:sz w:val="14"/>
                <w:szCs w:val="14"/>
                <w:color w:val="auto"/>
              </w:rPr>
            </w:pPr>
          </w:p>
        </w:tc>
        <w:tc>
          <w:tcPr>
            <w:tcW w:w="1120" w:type="dxa"/>
            <w:vAlign w:val="bottom"/>
            <w:tcBorders>
              <w:right w:val="single" w:sz="8" w:color="auto"/>
            </w:tcBorders>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DEEAF6"/>
          </w:tcPr>
          <w:p>
            <w:pPr>
              <w:spacing w:after="0"/>
              <w:rPr>
                <w:sz w:val="15"/>
                <w:szCs w:val="15"/>
                <w:color w:val="auto"/>
              </w:rPr>
            </w:pPr>
          </w:p>
        </w:tc>
        <w:tc>
          <w:tcPr>
            <w:tcW w:w="860" w:type="dxa"/>
            <w:vAlign w:val="bottom"/>
            <w:shd w:val="clear" w:color="auto" w:fill="DEEAF6"/>
          </w:tcPr>
          <w:p>
            <w:pPr>
              <w:spacing w:after="0"/>
              <w:rPr>
                <w:sz w:val="15"/>
                <w:szCs w:val="15"/>
                <w:color w:val="auto"/>
              </w:rPr>
            </w:pPr>
          </w:p>
        </w:tc>
        <w:tc>
          <w:tcPr>
            <w:tcW w:w="2180" w:type="dxa"/>
            <w:vAlign w:val="bottom"/>
            <w:tcBorders>
              <w:right w:val="single" w:sz="8" w:color="auto"/>
            </w:tcBorders>
            <w:shd w:val="clear" w:color="auto" w:fill="DEEAF6"/>
          </w:tcPr>
          <w:p>
            <w:pPr>
              <w:spacing w:after="0"/>
              <w:rPr>
                <w:sz w:val="15"/>
                <w:szCs w:val="15"/>
                <w:color w:val="auto"/>
              </w:rPr>
            </w:pPr>
          </w:p>
        </w:tc>
        <w:tc>
          <w:tcPr>
            <w:tcW w:w="1580" w:type="dxa"/>
            <w:vAlign w:val="bottom"/>
            <w:tcBorders>
              <w:right w:val="single" w:sz="8" w:color="auto"/>
            </w:tcBorders>
            <w:shd w:val="clear" w:color="auto" w:fill="DEEAF6"/>
          </w:tcPr>
          <w:p>
            <w:pPr>
              <w:spacing w:after="0"/>
              <w:rPr>
                <w:sz w:val="15"/>
                <w:szCs w:val="15"/>
                <w:color w:val="auto"/>
              </w:rPr>
            </w:pPr>
          </w:p>
        </w:tc>
        <w:tc>
          <w:tcPr>
            <w:tcW w:w="1560" w:type="dxa"/>
            <w:vAlign w:val="bottom"/>
            <w:tcBorders>
              <w:right w:val="single" w:sz="8" w:color="auto"/>
            </w:tcBorders>
            <w:shd w:val="clear" w:color="auto" w:fill="DEEAF6"/>
          </w:tcPr>
          <w:p>
            <w:pPr>
              <w:spacing w:after="0"/>
              <w:rPr>
                <w:sz w:val="15"/>
                <w:szCs w:val="15"/>
                <w:color w:val="auto"/>
              </w:rPr>
            </w:pP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integration (with</w:t>
            </w:r>
          </w:p>
        </w:tc>
        <w:tc>
          <w:tcPr>
            <w:tcW w:w="900" w:type="dxa"/>
            <w:vAlign w:val="bottom"/>
            <w:tcBorders>
              <w:right w:val="single" w:sz="8" w:color="auto"/>
            </w:tcBorders>
            <w:shd w:val="clear" w:color="auto" w:fill="DEEAF6"/>
          </w:tcPr>
          <w:p>
            <w:pPr>
              <w:spacing w:after="0"/>
              <w:rPr>
                <w:sz w:val="15"/>
                <w:szCs w:val="15"/>
                <w:color w:val="auto"/>
              </w:rPr>
            </w:pPr>
          </w:p>
        </w:tc>
        <w:tc>
          <w:tcPr>
            <w:tcW w:w="1120" w:type="dxa"/>
            <w:vAlign w:val="bottom"/>
            <w:tcBorders>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DEEAF6"/>
          </w:tcPr>
          <w:p>
            <w:pPr>
              <w:spacing w:after="0"/>
              <w:rPr>
                <w:sz w:val="15"/>
                <w:szCs w:val="15"/>
                <w:color w:val="auto"/>
              </w:rPr>
            </w:pP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Support the transition to an</w:t>
            </w:r>
          </w:p>
        </w:tc>
        <w:tc>
          <w:tcPr>
            <w:tcW w:w="1580" w:type="dxa"/>
            <w:vAlign w:val="bottom"/>
            <w:tcBorders>
              <w:right w:val="single" w:sz="8" w:color="auto"/>
            </w:tcBorders>
            <w:shd w:val="clear" w:color="auto" w:fill="DEEAF6"/>
          </w:tcPr>
          <w:p>
            <w:pPr>
              <w:spacing w:after="0"/>
              <w:rPr>
                <w:sz w:val="15"/>
                <w:szCs w:val="15"/>
                <w:color w:val="auto"/>
              </w:rPr>
            </w:pPr>
          </w:p>
        </w:tc>
        <w:tc>
          <w:tcPr>
            <w:tcW w:w="1560" w:type="dxa"/>
            <w:vAlign w:val="bottom"/>
            <w:tcBorders>
              <w:right w:val="single" w:sz="8" w:color="auto"/>
            </w:tcBorders>
            <w:shd w:val="clear" w:color="auto" w:fill="DEEAF6"/>
          </w:tcPr>
          <w:p>
            <w:pPr>
              <w:spacing w:after="0"/>
              <w:rPr>
                <w:sz w:val="15"/>
                <w:szCs w:val="15"/>
                <w:color w:val="auto"/>
              </w:rPr>
            </w:pP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materiality</w:t>
            </w:r>
          </w:p>
        </w:tc>
        <w:tc>
          <w:tcPr>
            <w:tcW w:w="900" w:type="dxa"/>
            <w:vAlign w:val="bottom"/>
            <w:tcBorders>
              <w:right w:val="single" w:sz="8" w:color="auto"/>
            </w:tcBorders>
            <w:shd w:val="clear" w:color="auto" w:fill="DEEAF6"/>
          </w:tcPr>
          <w:p>
            <w:pPr>
              <w:spacing w:after="0"/>
              <w:rPr>
                <w:sz w:val="15"/>
                <w:szCs w:val="15"/>
                <w:color w:val="auto"/>
              </w:rPr>
            </w:pPr>
          </w:p>
        </w:tc>
        <w:tc>
          <w:tcPr>
            <w:tcW w:w="1120" w:type="dxa"/>
            <w:vAlign w:val="bottom"/>
            <w:tcBorders>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80" w:type="dxa"/>
            <w:vAlign w:val="bottom"/>
            <w:tcBorders>
              <w:left w:val="single" w:sz="8" w:color="auto"/>
              <w:right w:val="single" w:sz="8" w:color="auto"/>
            </w:tcBorders>
            <w:shd w:val="clear" w:color="auto" w:fill="DEEAF6"/>
          </w:tcPr>
          <w:p>
            <w:pPr>
              <w:spacing w:after="0"/>
              <w:rPr>
                <w:sz w:val="7"/>
                <w:szCs w:val="7"/>
                <w:color w:val="auto"/>
              </w:rPr>
            </w:pPr>
          </w:p>
        </w:tc>
        <w:tc>
          <w:tcPr>
            <w:tcW w:w="3040" w:type="dxa"/>
            <w:vAlign w:val="bottom"/>
            <w:tcBorders>
              <w:right w:val="single" w:sz="8" w:color="auto"/>
            </w:tcBorders>
            <w:gridSpan w:val="2"/>
            <w:vMerge w:val="continue"/>
            <w:shd w:val="clear" w:color="auto" w:fill="DEEAF6"/>
          </w:tcPr>
          <w:p>
            <w:pPr>
              <w:spacing w:after="0"/>
              <w:rPr>
                <w:sz w:val="7"/>
                <w:szCs w:val="7"/>
                <w:color w:val="auto"/>
              </w:rPr>
            </w:pPr>
          </w:p>
        </w:tc>
        <w:tc>
          <w:tcPr>
            <w:tcW w:w="1580" w:type="dxa"/>
            <w:vAlign w:val="bottom"/>
            <w:tcBorders>
              <w:right w:val="single" w:sz="8" w:color="auto"/>
            </w:tcBorders>
            <w:shd w:val="clear" w:color="auto" w:fill="DEEAF6"/>
          </w:tcPr>
          <w:p>
            <w:pPr>
              <w:spacing w:after="0"/>
              <w:rPr>
                <w:sz w:val="7"/>
                <w:szCs w:val="7"/>
                <w:color w:val="auto"/>
              </w:rPr>
            </w:pPr>
          </w:p>
        </w:tc>
        <w:tc>
          <w:tcPr>
            <w:tcW w:w="156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PACIFICO</w:t>
            </w: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questionnaires</w:t>
            </w:r>
          </w:p>
        </w:tc>
        <w:tc>
          <w:tcPr>
            <w:tcW w:w="900" w:type="dxa"/>
            <w:vAlign w:val="bottom"/>
            <w:tcBorders>
              <w:right w:val="single" w:sz="8" w:color="auto"/>
            </w:tcBorders>
            <w:shd w:val="clear" w:color="auto" w:fill="DEEAF6"/>
          </w:tcPr>
          <w:p>
            <w:pPr>
              <w:spacing w:after="0"/>
              <w:rPr>
                <w:sz w:val="7"/>
                <w:szCs w:val="7"/>
                <w:color w:val="auto"/>
              </w:rPr>
            </w:pPr>
          </w:p>
        </w:tc>
        <w:tc>
          <w:tcPr>
            <w:tcW w:w="1120" w:type="dxa"/>
            <w:vAlign w:val="bottom"/>
            <w:tcBorders>
              <w:right w:val="single" w:sz="8" w:color="auto"/>
            </w:tcBorders>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right w:val="single" w:sz="8" w:color="auto"/>
            </w:tcBorders>
            <w:shd w:val="clear" w:color="auto" w:fill="DEEAF6"/>
          </w:tcPr>
          <w:p>
            <w:pPr>
              <w:spacing w:after="0"/>
              <w:rPr>
                <w:sz w:val="8"/>
                <w:szCs w:val="8"/>
                <w:color w:val="auto"/>
              </w:rPr>
            </w:pP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environmentally sustainable economy,</w:t>
            </w:r>
          </w:p>
        </w:tc>
        <w:tc>
          <w:tcPr>
            <w:tcW w:w="15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Sustainable AUMs</w:t>
            </w:r>
          </w:p>
        </w:tc>
        <w:tc>
          <w:tcPr>
            <w:tcW w:w="1560" w:type="dxa"/>
            <w:vAlign w:val="bottom"/>
            <w:tcBorders>
              <w:right w:val="single" w:sz="8" w:color="auto"/>
            </w:tcBorders>
            <w:vMerge w:val="continue"/>
            <w:shd w:val="clear" w:color="auto" w:fill="DEEAF6"/>
          </w:tcPr>
          <w:p>
            <w:pPr>
              <w:spacing w:after="0"/>
              <w:rPr>
                <w:sz w:val="8"/>
                <w:szCs w:val="8"/>
                <w:color w:val="auto"/>
              </w:rPr>
            </w:pPr>
          </w:p>
        </w:tc>
        <w:tc>
          <w:tcPr>
            <w:tcW w:w="1680" w:type="dxa"/>
            <w:vAlign w:val="bottom"/>
            <w:tcBorders>
              <w:right w:val="single" w:sz="8" w:color="auto"/>
            </w:tcBorders>
            <w:vMerge w:val="continue"/>
            <w:shd w:val="clear" w:color="auto" w:fill="DEEAF6"/>
          </w:tcPr>
          <w:p>
            <w:pPr>
              <w:spacing w:after="0"/>
              <w:rPr>
                <w:sz w:val="8"/>
                <w:szCs w:val="8"/>
                <w:color w:val="auto"/>
              </w:rPr>
            </w:pPr>
          </w:p>
        </w:tc>
        <w:tc>
          <w:tcPr>
            <w:tcW w:w="9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right w:val="single" w:sz="8" w:color="auto"/>
            </w:tcBorders>
            <w:shd w:val="clear" w:color="auto" w:fill="DEEAF6"/>
          </w:tcPr>
          <w:p>
            <w:pPr>
              <w:spacing w:after="0"/>
              <w:rPr>
                <w:sz w:val="7"/>
                <w:szCs w:val="7"/>
                <w:color w:val="auto"/>
              </w:rPr>
            </w:pPr>
          </w:p>
        </w:tc>
        <w:tc>
          <w:tcPr>
            <w:tcW w:w="3040" w:type="dxa"/>
            <w:vAlign w:val="bottom"/>
            <w:tcBorders>
              <w:right w:val="single" w:sz="8" w:color="auto"/>
            </w:tcBorders>
            <w:gridSpan w:val="2"/>
            <w:vMerge w:val="continue"/>
            <w:shd w:val="clear" w:color="auto" w:fill="DEEAF6"/>
          </w:tcPr>
          <w:p>
            <w:pPr>
              <w:spacing w:after="0"/>
              <w:rPr>
                <w:sz w:val="7"/>
                <w:szCs w:val="7"/>
                <w:color w:val="auto"/>
              </w:rPr>
            </w:pPr>
          </w:p>
        </w:tc>
        <w:tc>
          <w:tcPr>
            <w:tcW w:w="1580" w:type="dxa"/>
            <w:vAlign w:val="bottom"/>
            <w:tcBorders>
              <w:right w:val="single" w:sz="8" w:color="auto"/>
            </w:tcBorders>
            <w:vMerge w:val="continue"/>
            <w:shd w:val="clear" w:color="auto" w:fill="DEEAF6"/>
          </w:tcPr>
          <w:p>
            <w:pPr>
              <w:spacing w:after="0"/>
              <w:rPr>
                <w:sz w:val="7"/>
                <w:szCs w:val="7"/>
                <w:color w:val="auto"/>
              </w:rPr>
            </w:pPr>
          </w:p>
        </w:tc>
        <w:tc>
          <w:tcPr>
            <w:tcW w:w="156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SEGUROS</w:t>
            </w: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according to SASB</w:t>
            </w:r>
          </w:p>
        </w:tc>
        <w:tc>
          <w:tcPr>
            <w:tcW w:w="900" w:type="dxa"/>
            <w:vAlign w:val="bottom"/>
            <w:tcBorders>
              <w:right w:val="single" w:sz="8" w:color="auto"/>
            </w:tcBorders>
            <w:vMerge w:val="continue"/>
            <w:shd w:val="clear" w:color="auto" w:fill="DEEAF6"/>
          </w:tcPr>
          <w:p>
            <w:pPr>
              <w:spacing w:after="0"/>
              <w:rPr>
                <w:sz w:val="7"/>
                <w:szCs w:val="7"/>
                <w:color w:val="auto"/>
              </w:rPr>
            </w:pPr>
          </w:p>
        </w:tc>
        <w:tc>
          <w:tcPr>
            <w:tcW w:w="1120" w:type="dxa"/>
            <w:vAlign w:val="bottom"/>
            <w:tcBorders>
              <w:right w:val="single" w:sz="8" w:color="auto"/>
            </w:tcBorders>
            <w:vMerge w:val="continue"/>
            <w:shd w:val="clear" w:color="auto" w:fill="DEEAF6"/>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right w:val="single" w:sz="8" w:color="auto"/>
            </w:tcBorders>
            <w:shd w:val="clear" w:color="auto" w:fill="DEEAF6"/>
          </w:tcPr>
          <w:p>
            <w:pPr>
              <w:spacing w:after="0"/>
              <w:rPr>
                <w:sz w:val="8"/>
                <w:szCs w:val="8"/>
                <w:color w:val="auto"/>
              </w:rPr>
            </w:pPr>
          </w:p>
        </w:tc>
        <w:tc>
          <w:tcPr>
            <w:tcW w:w="3040" w:type="dxa"/>
            <w:vAlign w:val="bottom"/>
            <w:tcBorders>
              <w:right w:val="single" w:sz="8" w:color="auto"/>
            </w:tcBorders>
            <w:gridSpan w:val="2"/>
            <w:vMerge w:val="restart"/>
            <w:shd w:val="clear" w:color="auto" w:fill="DEEAF6"/>
          </w:tcPr>
          <w:p>
            <w:pPr>
              <w:ind w:left="40"/>
              <w:spacing w:after="0"/>
              <w:rPr>
                <w:sz w:val="20"/>
                <w:szCs w:val="20"/>
                <w:color w:val="auto"/>
              </w:rPr>
            </w:pPr>
            <w:r>
              <w:rPr>
                <w:rFonts w:ascii="Arial" w:cs="Arial" w:eastAsia="Arial" w:hAnsi="Arial"/>
                <w:sz w:val="15"/>
                <w:szCs w:val="15"/>
                <w:color w:val="auto"/>
              </w:rPr>
              <w:t>including the effects of climate change</w:t>
            </w:r>
          </w:p>
        </w:tc>
        <w:tc>
          <w:tcPr>
            <w:tcW w:w="1580" w:type="dxa"/>
            <w:vAlign w:val="bottom"/>
            <w:tcBorders>
              <w:right w:val="single" w:sz="8" w:color="auto"/>
            </w:tcBorders>
            <w:shd w:val="clear" w:color="auto" w:fill="DEEAF6"/>
          </w:tcPr>
          <w:p>
            <w:pPr>
              <w:spacing w:after="0"/>
              <w:rPr>
                <w:sz w:val="8"/>
                <w:szCs w:val="8"/>
                <w:color w:val="auto"/>
              </w:rPr>
            </w:pPr>
          </w:p>
        </w:tc>
        <w:tc>
          <w:tcPr>
            <w:tcW w:w="1560" w:type="dxa"/>
            <w:vAlign w:val="bottom"/>
            <w:tcBorders>
              <w:right w:val="single" w:sz="8" w:color="auto"/>
            </w:tcBorders>
            <w:vMerge w:val="continue"/>
            <w:shd w:val="clear" w:color="auto" w:fill="DEEAF6"/>
          </w:tcPr>
          <w:p>
            <w:pPr>
              <w:spacing w:after="0"/>
              <w:rPr>
                <w:sz w:val="8"/>
                <w:szCs w:val="8"/>
                <w:color w:val="auto"/>
              </w:rPr>
            </w:pPr>
          </w:p>
        </w:tc>
        <w:tc>
          <w:tcPr>
            <w:tcW w:w="1680" w:type="dxa"/>
            <w:vAlign w:val="bottom"/>
            <w:tcBorders>
              <w:right w:val="single" w:sz="8" w:color="auto"/>
            </w:tcBorders>
            <w:vMerge w:val="continue"/>
            <w:shd w:val="clear" w:color="auto" w:fill="DEEAF6"/>
          </w:tcPr>
          <w:p>
            <w:pPr>
              <w:spacing w:after="0"/>
              <w:rPr>
                <w:sz w:val="8"/>
                <w:szCs w:val="8"/>
                <w:color w:val="auto"/>
              </w:rPr>
            </w:pPr>
          </w:p>
        </w:tc>
        <w:tc>
          <w:tcPr>
            <w:tcW w:w="900" w:type="dxa"/>
            <w:vAlign w:val="bottom"/>
            <w:tcBorders>
              <w:right w:val="single" w:sz="8" w:color="auto"/>
            </w:tcBorders>
            <w:shd w:val="clear" w:color="auto" w:fill="DEEAF6"/>
          </w:tcPr>
          <w:p>
            <w:pPr>
              <w:spacing w:after="0"/>
              <w:rPr>
                <w:sz w:val="8"/>
                <w:szCs w:val="8"/>
                <w:color w:val="auto"/>
              </w:rPr>
            </w:pPr>
          </w:p>
        </w:tc>
        <w:tc>
          <w:tcPr>
            <w:tcW w:w="1120" w:type="dxa"/>
            <w:vAlign w:val="bottom"/>
            <w:tcBorders>
              <w:right w:val="single" w:sz="8" w:color="auto"/>
            </w:tcBorders>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DEEAF6"/>
          </w:tcPr>
          <w:p>
            <w:pPr>
              <w:spacing w:after="0"/>
              <w:rPr>
                <w:sz w:val="8"/>
                <w:szCs w:val="8"/>
                <w:color w:val="auto"/>
              </w:rPr>
            </w:pPr>
          </w:p>
        </w:tc>
        <w:tc>
          <w:tcPr>
            <w:tcW w:w="3040" w:type="dxa"/>
            <w:vAlign w:val="bottom"/>
            <w:tcBorders>
              <w:right w:val="single" w:sz="8" w:color="auto"/>
            </w:tcBorders>
            <w:gridSpan w:val="2"/>
            <w:vMerge w:val="continue"/>
            <w:shd w:val="clear" w:color="auto" w:fill="DEEAF6"/>
          </w:tcPr>
          <w:p>
            <w:pPr>
              <w:spacing w:after="0"/>
              <w:rPr>
                <w:sz w:val="8"/>
                <w:szCs w:val="8"/>
                <w:color w:val="auto"/>
              </w:rPr>
            </w:pPr>
          </w:p>
        </w:tc>
        <w:tc>
          <w:tcPr>
            <w:tcW w:w="1580" w:type="dxa"/>
            <w:vAlign w:val="bottom"/>
            <w:tcBorders>
              <w:right w:val="single" w:sz="8" w:color="auto"/>
            </w:tcBorders>
            <w:shd w:val="clear" w:color="auto" w:fill="DEEAF6"/>
          </w:tcPr>
          <w:p>
            <w:pPr>
              <w:spacing w:after="0"/>
              <w:rPr>
                <w:sz w:val="8"/>
                <w:szCs w:val="8"/>
                <w:color w:val="auto"/>
              </w:rPr>
            </w:pPr>
          </w:p>
        </w:tc>
        <w:tc>
          <w:tcPr>
            <w:tcW w:w="1560" w:type="dxa"/>
            <w:vAlign w:val="bottom"/>
            <w:tcBorders>
              <w:right w:val="single" w:sz="8" w:color="auto"/>
            </w:tcBorders>
            <w:shd w:val="clear" w:color="auto" w:fill="DEEAF6"/>
          </w:tcPr>
          <w:p>
            <w:pPr>
              <w:spacing w:after="0"/>
              <w:rPr>
                <w:sz w:val="8"/>
                <w:szCs w:val="8"/>
                <w:color w:val="auto"/>
              </w:rPr>
            </w:pPr>
          </w:p>
        </w:tc>
        <w:tc>
          <w:tcPr>
            <w:tcW w:w="168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standards) within the</w:t>
            </w:r>
          </w:p>
        </w:tc>
        <w:tc>
          <w:tcPr>
            <w:tcW w:w="900" w:type="dxa"/>
            <w:vAlign w:val="bottom"/>
            <w:tcBorders>
              <w:right w:val="single" w:sz="8" w:color="auto"/>
            </w:tcBorders>
            <w:shd w:val="clear" w:color="auto" w:fill="DEEAF6"/>
          </w:tcPr>
          <w:p>
            <w:pPr>
              <w:spacing w:after="0"/>
              <w:rPr>
                <w:sz w:val="8"/>
                <w:szCs w:val="8"/>
                <w:color w:val="auto"/>
              </w:rPr>
            </w:pPr>
          </w:p>
        </w:tc>
        <w:tc>
          <w:tcPr>
            <w:tcW w:w="1120" w:type="dxa"/>
            <w:vAlign w:val="bottom"/>
            <w:tcBorders>
              <w:right w:val="single" w:sz="8" w:color="auto"/>
            </w:tcBorders>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380" w:type="dxa"/>
            <w:vAlign w:val="bottom"/>
            <w:tcBorders>
              <w:left w:val="single" w:sz="8" w:color="auto"/>
              <w:right w:val="single" w:sz="8" w:color="auto"/>
            </w:tcBorders>
            <w:shd w:val="clear" w:color="auto" w:fill="DEEAF6"/>
          </w:tcPr>
          <w:p>
            <w:pPr>
              <w:spacing w:after="0"/>
              <w:rPr>
                <w:sz w:val="6"/>
                <w:szCs w:val="6"/>
                <w:color w:val="auto"/>
              </w:rPr>
            </w:pPr>
          </w:p>
        </w:tc>
        <w:tc>
          <w:tcPr>
            <w:tcW w:w="860" w:type="dxa"/>
            <w:vAlign w:val="bottom"/>
            <w:shd w:val="clear" w:color="auto" w:fill="DEEAF6"/>
          </w:tcPr>
          <w:p>
            <w:pPr>
              <w:spacing w:after="0"/>
              <w:rPr>
                <w:sz w:val="6"/>
                <w:szCs w:val="6"/>
                <w:color w:val="auto"/>
              </w:rPr>
            </w:pPr>
          </w:p>
        </w:tc>
        <w:tc>
          <w:tcPr>
            <w:tcW w:w="2180" w:type="dxa"/>
            <w:vAlign w:val="bottom"/>
            <w:tcBorders>
              <w:right w:val="single" w:sz="8" w:color="auto"/>
            </w:tcBorders>
            <w:shd w:val="clear" w:color="auto" w:fill="DEEAF6"/>
          </w:tcPr>
          <w:p>
            <w:pPr>
              <w:spacing w:after="0"/>
              <w:rPr>
                <w:sz w:val="6"/>
                <w:szCs w:val="6"/>
                <w:color w:val="auto"/>
              </w:rPr>
            </w:pPr>
          </w:p>
        </w:tc>
        <w:tc>
          <w:tcPr>
            <w:tcW w:w="1580" w:type="dxa"/>
            <w:vAlign w:val="bottom"/>
            <w:tcBorders>
              <w:right w:val="single" w:sz="8" w:color="auto"/>
            </w:tcBorders>
            <w:shd w:val="clear" w:color="auto" w:fill="DEEAF6"/>
          </w:tcPr>
          <w:p>
            <w:pPr>
              <w:spacing w:after="0"/>
              <w:rPr>
                <w:sz w:val="6"/>
                <w:szCs w:val="6"/>
                <w:color w:val="auto"/>
              </w:rPr>
            </w:pPr>
          </w:p>
        </w:tc>
        <w:tc>
          <w:tcPr>
            <w:tcW w:w="1560" w:type="dxa"/>
            <w:vAlign w:val="bottom"/>
            <w:tcBorders>
              <w:right w:val="single" w:sz="8" w:color="auto"/>
            </w:tcBorders>
            <w:shd w:val="clear" w:color="auto" w:fill="DEEAF6"/>
          </w:tcPr>
          <w:p>
            <w:pPr>
              <w:spacing w:after="0"/>
              <w:rPr>
                <w:sz w:val="6"/>
                <w:szCs w:val="6"/>
                <w:color w:val="auto"/>
              </w:rPr>
            </w:pPr>
          </w:p>
        </w:tc>
        <w:tc>
          <w:tcPr>
            <w:tcW w:w="1680" w:type="dxa"/>
            <w:vAlign w:val="bottom"/>
            <w:tcBorders>
              <w:right w:val="single" w:sz="8" w:color="auto"/>
            </w:tcBorders>
            <w:vMerge w:val="continue"/>
            <w:shd w:val="clear" w:color="auto" w:fill="DEEAF6"/>
          </w:tcPr>
          <w:p>
            <w:pPr>
              <w:spacing w:after="0"/>
              <w:rPr>
                <w:sz w:val="6"/>
                <w:szCs w:val="6"/>
                <w:color w:val="auto"/>
              </w:rPr>
            </w:pPr>
          </w:p>
        </w:tc>
        <w:tc>
          <w:tcPr>
            <w:tcW w:w="900" w:type="dxa"/>
            <w:vAlign w:val="bottom"/>
            <w:tcBorders>
              <w:right w:val="single" w:sz="8" w:color="auto"/>
            </w:tcBorders>
            <w:shd w:val="clear" w:color="auto" w:fill="DEEAF6"/>
          </w:tcPr>
          <w:p>
            <w:pPr>
              <w:spacing w:after="0"/>
              <w:rPr>
                <w:sz w:val="6"/>
                <w:szCs w:val="6"/>
                <w:color w:val="auto"/>
              </w:rPr>
            </w:pPr>
          </w:p>
        </w:tc>
        <w:tc>
          <w:tcPr>
            <w:tcW w:w="1120" w:type="dxa"/>
            <w:vAlign w:val="bottom"/>
            <w:tcBorders>
              <w:right w:val="single" w:sz="8" w:color="auto"/>
            </w:tcBorders>
            <w:shd w:val="clear" w:color="auto" w:fill="DEEAF6"/>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DEEAF6"/>
          </w:tcPr>
          <w:p>
            <w:pPr>
              <w:spacing w:after="0"/>
              <w:rPr>
                <w:sz w:val="15"/>
                <w:szCs w:val="15"/>
                <w:color w:val="auto"/>
              </w:rPr>
            </w:pPr>
          </w:p>
        </w:tc>
        <w:tc>
          <w:tcPr>
            <w:tcW w:w="860" w:type="dxa"/>
            <w:vAlign w:val="bottom"/>
            <w:shd w:val="clear" w:color="auto" w:fill="DEEAF6"/>
          </w:tcPr>
          <w:p>
            <w:pPr>
              <w:spacing w:after="0"/>
              <w:rPr>
                <w:sz w:val="15"/>
                <w:szCs w:val="15"/>
                <w:color w:val="auto"/>
              </w:rPr>
            </w:pPr>
          </w:p>
        </w:tc>
        <w:tc>
          <w:tcPr>
            <w:tcW w:w="2180" w:type="dxa"/>
            <w:vAlign w:val="bottom"/>
            <w:tcBorders>
              <w:right w:val="single" w:sz="8" w:color="auto"/>
            </w:tcBorders>
            <w:shd w:val="clear" w:color="auto" w:fill="DEEAF6"/>
          </w:tcPr>
          <w:p>
            <w:pPr>
              <w:spacing w:after="0"/>
              <w:rPr>
                <w:sz w:val="15"/>
                <w:szCs w:val="15"/>
                <w:color w:val="auto"/>
              </w:rPr>
            </w:pPr>
          </w:p>
        </w:tc>
        <w:tc>
          <w:tcPr>
            <w:tcW w:w="1580" w:type="dxa"/>
            <w:vAlign w:val="bottom"/>
            <w:tcBorders>
              <w:right w:val="single" w:sz="8" w:color="auto"/>
            </w:tcBorders>
            <w:shd w:val="clear" w:color="auto" w:fill="DEEAF6"/>
          </w:tcPr>
          <w:p>
            <w:pPr>
              <w:spacing w:after="0"/>
              <w:rPr>
                <w:sz w:val="15"/>
                <w:szCs w:val="15"/>
                <w:color w:val="auto"/>
              </w:rPr>
            </w:pPr>
          </w:p>
        </w:tc>
        <w:tc>
          <w:tcPr>
            <w:tcW w:w="1560" w:type="dxa"/>
            <w:vAlign w:val="bottom"/>
            <w:tcBorders>
              <w:right w:val="single" w:sz="8" w:color="auto"/>
            </w:tcBorders>
            <w:shd w:val="clear" w:color="auto" w:fill="DEEAF6"/>
          </w:tcPr>
          <w:p>
            <w:pPr>
              <w:spacing w:after="0"/>
              <w:rPr>
                <w:sz w:val="15"/>
                <w:szCs w:val="15"/>
                <w:color w:val="auto"/>
              </w:rPr>
            </w:pPr>
          </w:p>
        </w:tc>
        <w:tc>
          <w:tcPr>
            <w:tcW w:w="168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portfolio of issuers in</w:t>
            </w:r>
          </w:p>
        </w:tc>
        <w:tc>
          <w:tcPr>
            <w:tcW w:w="900" w:type="dxa"/>
            <w:vAlign w:val="bottom"/>
            <w:tcBorders>
              <w:right w:val="single" w:sz="8" w:color="auto"/>
            </w:tcBorders>
            <w:shd w:val="clear" w:color="auto" w:fill="DEEAF6"/>
          </w:tcPr>
          <w:p>
            <w:pPr>
              <w:spacing w:after="0"/>
              <w:rPr>
                <w:sz w:val="15"/>
                <w:szCs w:val="15"/>
                <w:color w:val="auto"/>
              </w:rPr>
            </w:pPr>
          </w:p>
        </w:tc>
        <w:tc>
          <w:tcPr>
            <w:tcW w:w="1120" w:type="dxa"/>
            <w:vAlign w:val="bottom"/>
            <w:tcBorders>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380" w:type="dxa"/>
            <w:vAlign w:val="bottom"/>
            <w:tcBorders>
              <w:left w:val="single" w:sz="8" w:color="auto"/>
              <w:bottom w:val="single" w:sz="8" w:color="auto"/>
              <w:right w:val="single" w:sz="8" w:color="auto"/>
            </w:tcBorders>
            <w:shd w:val="clear" w:color="auto" w:fill="DEEAF6"/>
          </w:tcPr>
          <w:p>
            <w:pPr>
              <w:spacing w:after="0"/>
              <w:rPr>
                <w:sz w:val="15"/>
                <w:szCs w:val="15"/>
                <w:color w:val="auto"/>
              </w:rPr>
            </w:pPr>
          </w:p>
        </w:tc>
        <w:tc>
          <w:tcPr>
            <w:tcW w:w="860" w:type="dxa"/>
            <w:vAlign w:val="bottom"/>
            <w:tcBorders>
              <w:bottom w:val="single" w:sz="8" w:color="auto"/>
            </w:tcBorders>
            <w:shd w:val="clear" w:color="auto" w:fill="DEEAF6"/>
          </w:tcPr>
          <w:p>
            <w:pPr>
              <w:spacing w:after="0"/>
              <w:rPr>
                <w:sz w:val="15"/>
                <w:szCs w:val="15"/>
                <w:color w:val="auto"/>
              </w:rPr>
            </w:pPr>
          </w:p>
        </w:tc>
        <w:tc>
          <w:tcPr>
            <w:tcW w:w="2180" w:type="dxa"/>
            <w:vAlign w:val="bottom"/>
            <w:tcBorders>
              <w:bottom w:val="single" w:sz="8" w:color="auto"/>
              <w:right w:val="single" w:sz="8" w:color="auto"/>
            </w:tcBorders>
            <w:shd w:val="clear" w:color="auto" w:fill="DEEAF6"/>
          </w:tcPr>
          <w:p>
            <w:pPr>
              <w:spacing w:after="0"/>
              <w:rPr>
                <w:sz w:val="15"/>
                <w:szCs w:val="15"/>
                <w:color w:val="auto"/>
              </w:rPr>
            </w:pPr>
          </w:p>
        </w:tc>
        <w:tc>
          <w:tcPr>
            <w:tcW w:w="1580" w:type="dxa"/>
            <w:vAlign w:val="bottom"/>
            <w:tcBorders>
              <w:bottom w:val="single" w:sz="8" w:color="auto"/>
              <w:right w:val="single" w:sz="8" w:color="auto"/>
            </w:tcBorders>
            <w:shd w:val="clear" w:color="auto" w:fill="DEEAF6"/>
          </w:tcPr>
          <w:p>
            <w:pPr>
              <w:spacing w:after="0"/>
              <w:rPr>
                <w:sz w:val="15"/>
                <w:szCs w:val="15"/>
                <w:color w:val="auto"/>
              </w:rPr>
            </w:pPr>
          </w:p>
        </w:tc>
        <w:tc>
          <w:tcPr>
            <w:tcW w:w="1560" w:type="dxa"/>
            <w:vAlign w:val="bottom"/>
            <w:tcBorders>
              <w:bottom w:val="single" w:sz="8" w:color="auto"/>
              <w:right w:val="single" w:sz="8" w:color="auto"/>
            </w:tcBorders>
            <w:shd w:val="clear" w:color="auto" w:fill="DEEAF6"/>
          </w:tcPr>
          <w:p>
            <w:pPr>
              <w:spacing w:after="0"/>
              <w:rPr>
                <w:sz w:val="15"/>
                <w:szCs w:val="15"/>
                <w:color w:val="auto"/>
              </w:rPr>
            </w:pPr>
          </w:p>
        </w:tc>
        <w:tc>
          <w:tcPr>
            <w:tcW w:w="1680" w:type="dxa"/>
            <w:vAlign w:val="bottom"/>
            <w:tcBorders>
              <w:bottom w:val="single" w:sz="8" w:color="auto"/>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prioritized sectors</w:t>
            </w:r>
          </w:p>
        </w:tc>
        <w:tc>
          <w:tcPr>
            <w:tcW w:w="900" w:type="dxa"/>
            <w:vAlign w:val="bottom"/>
            <w:tcBorders>
              <w:bottom w:val="single" w:sz="8" w:color="auto"/>
              <w:right w:val="single" w:sz="8" w:color="auto"/>
            </w:tcBorders>
            <w:shd w:val="clear" w:color="auto" w:fill="DEEAF6"/>
          </w:tcPr>
          <w:p>
            <w:pPr>
              <w:spacing w:after="0"/>
              <w:rPr>
                <w:sz w:val="15"/>
                <w:szCs w:val="15"/>
                <w:color w:val="auto"/>
              </w:rPr>
            </w:pPr>
          </w:p>
        </w:tc>
        <w:tc>
          <w:tcPr>
            <w:tcW w:w="1120" w:type="dxa"/>
            <w:vAlign w:val="bottom"/>
            <w:tcBorders>
              <w:bottom w:val="single" w:sz="8" w:color="auto"/>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1380" w:type="dxa"/>
            <w:vAlign w:val="bottom"/>
          </w:tcPr>
          <w:p>
            <w:pPr>
              <w:ind w:left="100"/>
              <w:spacing w:after="0"/>
              <w:rPr>
                <w:sz w:val="20"/>
                <w:szCs w:val="20"/>
                <w:color w:val="auto"/>
              </w:rPr>
            </w:pPr>
            <w:r>
              <w:rPr>
                <w:rFonts w:ascii="Arial" w:cs="Arial" w:eastAsia="Arial" w:hAnsi="Arial"/>
                <w:sz w:val="25"/>
                <w:szCs w:val="25"/>
                <w:color w:val="auto"/>
                <w:vertAlign w:val="superscript"/>
              </w:rPr>
              <w:t>58</w:t>
            </w:r>
            <w:r>
              <w:rPr>
                <w:rFonts w:ascii="Arial" w:cs="Arial" w:eastAsia="Arial" w:hAnsi="Arial"/>
                <w:sz w:val="15"/>
                <w:szCs w:val="15"/>
                <w:color w:val="auto"/>
              </w:rPr>
              <w:t xml:space="preserve"> Not exhaustive</w:t>
            </w: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38"/>
        </w:trPr>
        <w:tc>
          <w:tcPr>
            <w:tcW w:w="1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63" w:right="319" w:bottom="1440" w:gutter="0" w:footer="0" w:header="0"/>
        </w:sectPr>
      </w:pPr>
    </w:p>
    <w:bookmarkStart w:id="162" w:name="page163"/>
    <w:bookmarkEnd w:id="162"/>
    <w:p>
      <w:pPr>
        <w:spacing w:after="0" w:line="1" w:lineRule="exact"/>
        <w:rPr>
          <w:sz w:val="20"/>
          <w:szCs w:val="20"/>
          <w:color w:val="auto"/>
        </w:rPr>
      </w:pPr>
    </w:p>
    <w:tbl>
      <w:tblPr>
        <w:tblLayout w:type="fixed"/>
        <w:tblInd w:w="18" w:type="dxa"/>
        <w:tblCellMar>
          <w:top w:w="0" w:type="dxa"/>
          <w:left w:w="0" w:type="dxa"/>
          <w:bottom w:w="0" w:type="dxa"/>
          <w:right w:w="0" w:type="dxa"/>
        </w:tblCellMar>
      </w:tblPr>
      <w:tr>
        <w:trPr>
          <w:trHeight w:val="231"/>
        </w:trPr>
        <w:tc>
          <w:tcPr>
            <w:tcW w:w="1360" w:type="dxa"/>
            <w:vAlign w:val="bottom"/>
            <w:tcBorders>
              <w:top w:val="single" w:sz="8" w:color="auto"/>
              <w:left w:val="single" w:sz="8" w:color="auto"/>
              <w:right w:val="single" w:sz="8" w:color="auto"/>
            </w:tcBorders>
            <w:shd w:val="clear" w:color="auto" w:fill="DEEAF6"/>
          </w:tcPr>
          <w:p>
            <w:pPr>
              <w:spacing w:after="0"/>
              <w:rPr>
                <w:sz w:val="20"/>
                <w:szCs w:val="20"/>
                <w:color w:val="auto"/>
              </w:rPr>
            </w:pPr>
          </w:p>
        </w:tc>
        <w:tc>
          <w:tcPr>
            <w:tcW w:w="3040" w:type="dxa"/>
            <w:vAlign w:val="bottom"/>
            <w:tcBorders>
              <w:top w:val="single" w:sz="8" w:color="auto"/>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Increase Financial inclusion</w:t>
            </w:r>
          </w:p>
        </w:tc>
        <w:tc>
          <w:tcPr>
            <w:tcW w:w="1400" w:type="dxa"/>
            <w:vAlign w:val="bottom"/>
            <w:tcBorders>
              <w:top w:val="single" w:sz="8" w:color="auto"/>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Financial inclusion</w:t>
            </w:r>
          </w:p>
        </w:tc>
        <w:tc>
          <w:tcPr>
            <w:tcW w:w="1040" w:type="dxa"/>
            <w:vAlign w:val="bottom"/>
            <w:tcBorders>
              <w:top w:val="single" w:sz="8" w:color="auto"/>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PACIFICO</w:t>
            </w:r>
          </w:p>
        </w:tc>
        <w:tc>
          <w:tcPr>
            <w:tcW w:w="3020" w:type="dxa"/>
            <w:vAlign w:val="bottom"/>
            <w:tcBorders>
              <w:top w:val="single" w:sz="8" w:color="auto"/>
              <w:right w:val="single" w:sz="8" w:color="auto"/>
            </w:tcBorders>
            <w:shd w:val="clear" w:color="auto" w:fill="DEEAF6"/>
          </w:tcPr>
          <w:p>
            <w:pPr>
              <w:ind w:left="60"/>
              <w:spacing w:after="0"/>
              <w:rPr>
                <w:sz w:val="20"/>
                <w:szCs w:val="20"/>
                <w:color w:val="auto"/>
              </w:rPr>
            </w:pPr>
            <w:r>
              <w:rPr>
                <w:rFonts w:ascii="Arial" w:cs="Arial" w:eastAsia="Arial" w:hAnsi="Arial"/>
                <w:sz w:val="15"/>
                <w:szCs w:val="15"/>
                <w:color w:val="auto"/>
              </w:rPr>
              <w:t>Current stock of inclusive insurance</w:t>
            </w:r>
          </w:p>
        </w:tc>
        <w:tc>
          <w:tcPr>
            <w:tcW w:w="600" w:type="dxa"/>
            <w:vAlign w:val="bottom"/>
            <w:tcBorders>
              <w:top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2,615,690</w:t>
            </w: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bottom w:val="single" w:sz="8" w:color="DEEAF6"/>
              <w:right w:val="single" w:sz="8" w:color="auto"/>
            </w:tcBorders>
            <w:shd w:val="clear" w:color="auto" w:fill="DEEAF6"/>
          </w:tcPr>
          <w:p>
            <w:pPr>
              <w:spacing w:after="0"/>
              <w:rPr>
                <w:sz w:val="11"/>
                <w:szCs w:val="11"/>
                <w:color w:val="auto"/>
              </w:rPr>
            </w:pPr>
          </w:p>
        </w:tc>
        <w:tc>
          <w:tcPr>
            <w:tcW w:w="3040" w:type="dxa"/>
            <w:vAlign w:val="bottom"/>
            <w:tcBorders>
              <w:bottom w:val="single" w:sz="8" w:color="auto"/>
              <w:right w:val="single" w:sz="8" w:color="auto"/>
            </w:tcBorders>
            <w:shd w:val="clear" w:color="auto" w:fill="DEEAF6"/>
          </w:tcPr>
          <w:p>
            <w:pPr>
              <w:spacing w:after="0"/>
              <w:rPr>
                <w:sz w:val="11"/>
                <w:szCs w:val="11"/>
                <w:color w:val="auto"/>
              </w:rPr>
            </w:pPr>
          </w:p>
        </w:tc>
        <w:tc>
          <w:tcPr>
            <w:tcW w:w="1400" w:type="dxa"/>
            <w:vAlign w:val="bottom"/>
            <w:tcBorders>
              <w:bottom w:val="single" w:sz="8" w:color="auto"/>
              <w:right w:val="single" w:sz="8" w:color="auto"/>
            </w:tcBorders>
            <w:shd w:val="clear" w:color="auto" w:fill="DEEAF6"/>
          </w:tcPr>
          <w:p>
            <w:pPr>
              <w:spacing w:after="0"/>
              <w:rPr>
                <w:sz w:val="11"/>
                <w:szCs w:val="11"/>
                <w:color w:val="auto"/>
              </w:rPr>
            </w:pPr>
          </w:p>
        </w:tc>
        <w:tc>
          <w:tcPr>
            <w:tcW w:w="1040" w:type="dxa"/>
            <w:vAlign w:val="bottom"/>
            <w:tcBorders>
              <w:bottom w:val="single" w:sz="8" w:color="auto"/>
              <w:right w:val="single" w:sz="8" w:color="auto"/>
            </w:tcBorders>
            <w:shd w:val="clear" w:color="auto" w:fill="DEEAF6"/>
          </w:tcPr>
          <w:p>
            <w:pPr>
              <w:ind w:left="40"/>
              <w:spacing w:after="0" w:line="127" w:lineRule="exact"/>
              <w:rPr>
                <w:sz w:val="20"/>
                <w:szCs w:val="20"/>
                <w:color w:val="auto"/>
              </w:rPr>
            </w:pPr>
            <w:r>
              <w:rPr>
                <w:rFonts w:ascii="Arial" w:cs="Arial" w:eastAsia="Arial" w:hAnsi="Arial"/>
                <w:sz w:val="14"/>
                <w:szCs w:val="14"/>
                <w:color w:val="auto"/>
              </w:rPr>
              <w:t>SEGUROS</w:t>
            </w:r>
          </w:p>
        </w:tc>
        <w:tc>
          <w:tcPr>
            <w:tcW w:w="3020" w:type="dxa"/>
            <w:vAlign w:val="bottom"/>
            <w:tcBorders>
              <w:bottom w:val="single" w:sz="8" w:color="auto"/>
              <w:right w:val="single" w:sz="8" w:color="auto"/>
            </w:tcBorders>
            <w:shd w:val="clear" w:color="auto" w:fill="DEEAF6"/>
          </w:tcPr>
          <w:p>
            <w:pPr>
              <w:ind w:left="60"/>
              <w:spacing w:after="0" w:line="127" w:lineRule="exact"/>
              <w:rPr>
                <w:sz w:val="20"/>
                <w:szCs w:val="20"/>
                <w:color w:val="auto"/>
              </w:rPr>
            </w:pPr>
            <w:r>
              <w:rPr>
                <w:rFonts w:ascii="Arial" w:cs="Arial" w:eastAsia="Arial" w:hAnsi="Arial"/>
                <w:sz w:val="14"/>
                <w:szCs w:val="14"/>
                <w:color w:val="auto"/>
              </w:rPr>
              <w:t>policies</w:t>
            </w:r>
          </w:p>
        </w:tc>
        <w:tc>
          <w:tcPr>
            <w:tcW w:w="600" w:type="dxa"/>
            <w:vAlign w:val="bottom"/>
            <w:tcBorders>
              <w:bottom w:val="single" w:sz="8" w:color="auto"/>
              <w:right w:val="single" w:sz="8" w:color="auto"/>
            </w:tcBorders>
            <w:shd w:val="clear" w:color="auto" w:fill="DEEAF6"/>
          </w:tcPr>
          <w:p>
            <w:pPr>
              <w:spacing w:after="0"/>
              <w:rPr>
                <w:sz w:val="11"/>
                <w:szCs w:val="11"/>
                <w:color w:val="auto"/>
              </w:rPr>
            </w:pPr>
          </w:p>
        </w:tc>
        <w:tc>
          <w:tcPr>
            <w:tcW w:w="800" w:type="dxa"/>
            <w:vAlign w:val="bottom"/>
            <w:tcBorders>
              <w:bottom w:val="single" w:sz="8" w:color="auto"/>
              <w:right w:val="single" w:sz="8" w:color="auto"/>
            </w:tcBorders>
            <w:shd w:val="clear" w:color="auto" w:fill="DEEAF6"/>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DEEAF6"/>
          </w:tcPr>
          <w:p>
            <w:pPr>
              <w:spacing w:after="0"/>
              <w:rPr>
                <w:sz w:val="14"/>
                <w:szCs w:val="14"/>
                <w:color w:val="auto"/>
              </w:rPr>
            </w:pPr>
          </w:p>
        </w:tc>
        <w:tc>
          <w:tcPr>
            <w:tcW w:w="304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Support the transition to a sustainable</w:t>
            </w:r>
          </w:p>
        </w:tc>
        <w:tc>
          <w:tcPr>
            <w:tcW w:w="1400" w:type="dxa"/>
            <w:vAlign w:val="bottom"/>
            <w:tcBorders>
              <w:right w:val="single" w:sz="8" w:color="auto"/>
            </w:tcBorders>
            <w:shd w:val="clear" w:color="auto" w:fill="DEEAF6"/>
          </w:tcPr>
          <w:p>
            <w:pPr>
              <w:spacing w:after="0"/>
              <w:rPr>
                <w:sz w:val="14"/>
                <w:szCs w:val="14"/>
                <w:color w:val="auto"/>
              </w:rPr>
            </w:pPr>
          </w:p>
        </w:tc>
        <w:tc>
          <w:tcPr>
            <w:tcW w:w="1040" w:type="dxa"/>
            <w:vAlign w:val="bottom"/>
            <w:tcBorders>
              <w:right w:val="single" w:sz="8" w:color="auto"/>
            </w:tcBorders>
            <w:shd w:val="clear" w:color="auto" w:fill="DEEAF6"/>
          </w:tcPr>
          <w:p>
            <w:pPr>
              <w:spacing w:after="0"/>
              <w:rPr>
                <w:sz w:val="14"/>
                <w:szCs w:val="14"/>
                <w:color w:val="auto"/>
              </w:rPr>
            </w:pPr>
          </w:p>
        </w:tc>
        <w:tc>
          <w:tcPr>
            <w:tcW w:w="3020" w:type="dxa"/>
            <w:vAlign w:val="bottom"/>
            <w:tcBorders>
              <w:right w:val="single" w:sz="8" w:color="auto"/>
            </w:tcBorders>
            <w:shd w:val="clear" w:color="auto" w:fill="DEEAF6"/>
          </w:tcPr>
          <w:p>
            <w:pPr>
              <w:spacing w:after="0"/>
              <w:rPr>
                <w:sz w:val="14"/>
                <w:szCs w:val="14"/>
                <w:color w:val="auto"/>
              </w:rPr>
            </w:pPr>
          </w:p>
        </w:tc>
        <w:tc>
          <w:tcPr>
            <w:tcW w:w="600" w:type="dxa"/>
            <w:vAlign w:val="bottom"/>
            <w:tcBorders>
              <w:right w:val="single" w:sz="8" w:color="auto"/>
            </w:tcBorders>
            <w:shd w:val="clear" w:color="auto" w:fill="DEEAF6"/>
          </w:tcPr>
          <w:p>
            <w:pPr>
              <w:spacing w:after="0"/>
              <w:rPr>
                <w:sz w:val="14"/>
                <w:szCs w:val="14"/>
                <w:color w:val="auto"/>
              </w:rPr>
            </w:pPr>
          </w:p>
        </w:tc>
        <w:tc>
          <w:tcPr>
            <w:tcW w:w="800" w:type="dxa"/>
            <w:vAlign w:val="bottom"/>
            <w:tcBorders>
              <w:right w:val="single" w:sz="8" w:color="auto"/>
            </w:tcBorders>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60" w:type="dxa"/>
            <w:vAlign w:val="bottom"/>
            <w:tcBorders>
              <w:left w:val="single" w:sz="8" w:color="auto"/>
              <w:right w:val="single" w:sz="8" w:color="auto"/>
            </w:tcBorders>
            <w:shd w:val="clear" w:color="auto" w:fill="DEEAF6"/>
          </w:tcPr>
          <w:p>
            <w:pPr>
              <w:spacing w:after="0"/>
              <w:rPr>
                <w:sz w:val="15"/>
                <w:szCs w:val="15"/>
                <w:color w:val="auto"/>
              </w:rPr>
            </w:pPr>
          </w:p>
        </w:tc>
        <w:tc>
          <w:tcPr>
            <w:tcW w:w="304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economy, including the effects of climate</w:t>
            </w:r>
          </w:p>
        </w:tc>
        <w:tc>
          <w:tcPr>
            <w:tcW w:w="140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Sustainable AuMs</w:t>
            </w:r>
          </w:p>
        </w:tc>
        <w:tc>
          <w:tcPr>
            <w:tcW w:w="104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PRIMA AFP</w:t>
            </w:r>
          </w:p>
        </w:tc>
        <w:tc>
          <w:tcPr>
            <w:tcW w:w="3020" w:type="dxa"/>
            <w:vAlign w:val="bottom"/>
            <w:tcBorders>
              <w:right w:val="single" w:sz="8" w:color="auto"/>
            </w:tcBorders>
            <w:shd w:val="clear" w:color="auto" w:fill="DEEAF6"/>
          </w:tcPr>
          <w:p>
            <w:pPr>
              <w:ind w:left="60"/>
              <w:spacing w:after="0"/>
              <w:rPr>
                <w:sz w:val="20"/>
                <w:szCs w:val="20"/>
                <w:color w:val="auto"/>
              </w:rPr>
            </w:pPr>
            <w:r>
              <w:rPr>
                <w:rFonts w:ascii="Arial" w:cs="Arial" w:eastAsia="Arial" w:hAnsi="Arial"/>
                <w:sz w:val="15"/>
                <w:szCs w:val="15"/>
                <w:color w:val="auto"/>
              </w:rPr>
              <w:t>ESG integration in portfolios</w:t>
            </w:r>
          </w:p>
        </w:tc>
        <w:tc>
          <w:tcPr>
            <w:tcW w:w="6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74"/>
        </w:trPr>
        <w:tc>
          <w:tcPr>
            <w:tcW w:w="1360" w:type="dxa"/>
            <w:vAlign w:val="bottom"/>
            <w:tcBorders>
              <w:left w:val="single" w:sz="8" w:color="auto"/>
              <w:bottom w:val="single" w:sz="8" w:color="DEEAF6"/>
              <w:right w:val="single" w:sz="8" w:color="auto"/>
            </w:tcBorders>
            <w:shd w:val="clear" w:color="auto" w:fill="DEEAF6"/>
          </w:tcPr>
          <w:p>
            <w:pPr>
              <w:spacing w:after="0"/>
              <w:rPr>
                <w:sz w:val="15"/>
                <w:szCs w:val="15"/>
                <w:color w:val="auto"/>
              </w:rPr>
            </w:pPr>
          </w:p>
        </w:tc>
        <w:tc>
          <w:tcPr>
            <w:tcW w:w="3040" w:type="dxa"/>
            <w:vAlign w:val="bottom"/>
            <w:tcBorders>
              <w:bottom w:val="single" w:sz="8" w:color="auto"/>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change</w:t>
            </w:r>
          </w:p>
        </w:tc>
        <w:tc>
          <w:tcPr>
            <w:tcW w:w="1400" w:type="dxa"/>
            <w:vAlign w:val="bottom"/>
            <w:tcBorders>
              <w:bottom w:val="single" w:sz="8" w:color="auto"/>
              <w:right w:val="single" w:sz="8" w:color="auto"/>
            </w:tcBorders>
            <w:shd w:val="clear" w:color="auto" w:fill="DEEAF6"/>
          </w:tcPr>
          <w:p>
            <w:pPr>
              <w:spacing w:after="0"/>
              <w:rPr>
                <w:sz w:val="15"/>
                <w:szCs w:val="15"/>
                <w:color w:val="auto"/>
              </w:rPr>
            </w:pPr>
          </w:p>
        </w:tc>
        <w:tc>
          <w:tcPr>
            <w:tcW w:w="1040" w:type="dxa"/>
            <w:vAlign w:val="bottom"/>
            <w:tcBorders>
              <w:bottom w:val="single" w:sz="8" w:color="auto"/>
              <w:right w:val="single" w:sz="8" w:color="auto"/>
            </w:tcBorders>
            <w:shd w:val="clear" w:color="auto" w:fill="DEEAF6"/>
          </w:tcPr>
          <w:p>
            <w:pPr>
              <w:spacing w:after="0"/>
              <w:rPr>
                <w:sz w:val="15"/>
                <w:szCs w:val="15"/>
                <w:color w:val="auto"/>
              </w:rPr>
            </w:pPr>
          </w:p>
        </w:tc>
        <w:tc>
          <w:tcPr>
            <w:tcW w:w="3020" w:type="dxa"/>
            <w:vAlign w:val="bottom"/>
            <w:tcBorders>
              <w:bottom w:val="single" w:sz="8" w:color="auto"/>
              <w:right w:val="single" w:sz="8" w:color="auto"/>
            </w:tcBorders>
            <w:shd w:val="clear" w:color="auto" w:fill="DEEAF6"/>
          </w:tcPr>
          <w:p>
            <w:pPr>
              <w:spacing w:after="0"/>
              <w:rPr>
                <w:sz w:val="15"/>
                <w:szCs w:val="15"/>
                <w:color w:val="auto"/>
              </w:rPr>
            </w:pPr>
          </w:p>
        </w:tc>
        <w:tc>
          <w:tcPr>
            <w:tcW w:w="600" w:type="dxa"/>
            <w:vAlign w:val="bottom"/>
            <w:tcBorders>
              <w:bottom w:val="single" w:sz="8" w:color="auto"/>
              <w:right w:val="single" w:sz="8" w:color="auto"/>
            </w:tcBorders>
            <w:shd w:val="clear" w:color="auto" w:fill="DEEAF6"/>
          </w:tcPr>
          <w:p>
            <w:pPr>
              <w:spacing w:after="0"/>
              <w:rPr>
                <w:sz w:val="15"/>
                <w:szCs w:val="15"/>
                <w:color w:val="auto"/>
              </w:rPr>
            </w:pPr>
          </w:p>
        </w:tc>
        <w:tc>
          <w:tcPr>
            <w:tcW w:w="800" w:type="dxa"/>
            <w:vAlign w:val="bottom"/>
            <w:tcBorders>
              <w:bottom w:val="single" w:sz="8" w:color="auto"/>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DEEAF6"/>
          </w:tcPr>
          <w:p>
            <w:pPr>
              <w:spacing w:after="0"/>
              <w:rPr>
                <w:sz w:val="14"/>
                <w:szCs w:val="14"/>
                <w:color w:val="auto"/>
              </w:rPr>
            </w:pPr>
          </w:p>
        </w:tc>
        <w:tc>
          <w:tcPr>
            <w:tcW w:w="3040" w:type="dxa"/>
            <w:vAlign w:val="bottom"/>
            <w:tcBorders>
              <w:right w:val="single" w:sz="8" w:color="auto"/>
            </w:tcBorders>
            <w:shd w:val="clear" w:color="auto" w:fill="DEEAF6"/>
          </w:tcPr>
          <w:p>
            <w:pPr>
              <w:spacing w:after="0"/>
              <w:rPr>
                <w:sz w:val="14"/>
                <w:szCs w:val="14"/>
                <w:color w:val="auto"/>
              </w:rPr>
            </w:pPr>
          </w:p>
        </w:tc>
        <w:tc>
          <w:tcPr>
            <w:tcW w:w="1400" w:type="dxa"/>
            <w:vAlign w:val="bottom"/>
            <w:tcBorders>
              <w:right w:val="single" w:sz="8" w:color="auto"/>
            </w:tcBorders>
            <w:shd w:val="clear" w:color="auto" w:fill="DEEAF6"/>
          </w:tcPr>
          <w:p>
            <w:pPr>
              <w:spacing w:after="0"/>
              <w:rPr>
                <w:sz w:val="14"/>
                <w:szCs w:val="14"/>
                <w:color w:val="auto"/>
              </w:rPr>
            </w:pPr>
          </w:p>
        </w:tc>
        <w:tc>
          <w:tcPr>
            <w:tcW w:w="1040" w:type="dxa"/>
            <w:vAlign w:val="bottom"/>
            <w:tcBorders>
              <w:right w:val="single" w:sz="8" w:color="auto"/>
            </w:tcBorders>
            <w:shd w:val="clear" w:color="auto" w:fill="DEEAF6"/>
          </w:tcPr>
          <w:p>
            <w:pPr>
              <w:spacing w:after="0"/>
              <w:rPr>
                <w:sz w:val="14"/>
                <w:szCs w:val="14"/>
                <w:color w:val="auto"/>
              </w:rPr>
            </w:pPr>
          </w:p>
        </w:tc>
        <w:tc>
          <w:tcPr>
            <w:tcW w:w="3020" w:type="dxa"/>
            <w:vAlign w:val="bottom"/>
            <w:tcBorders>
              <w:right w:val="single" w:sz="8" w:color="auto"/>
            </w:tcBorders>
            <w:shd w:val="clear" w:color="auto" w:fill="DEEAF6"/>
          </w:tcPr>
          <w:p>
            <w:pPr>
              <w:ind w:left="60"/>
              <w:spacing w:after="0" w:line="164" w:lineRule="exact"/>
              <w:rPr>
                <w:sz w:val="20"/>
                <w:szCs w:val="20"/>
                <w:color w:val="auto"/>
              </w:rPr>
            </w:pPr>
            <w:r>
              <w:rPr>
                <w:rFonts w:ascii="Arial" w:cs="Arial" w:eastAsia="Arial" w:hAnsi="Arial"/>
                <w:sz w:val="15"/>
                <w:szCs w:val="15"/>
                <w:color w:val="auto"/>
              </w:rPr>
              <w:t>Total APV accounts with a balance</w:t>
            </w:r>
          </w:p>
        </w:tc>
        <w:tc>
          <w:tcPr>
            <w:tcW w:w="600" w:type="dxa"/>
            <w:vAlign w:val="bottom"/>
            <w:tcBorders>
              <w:right w:val="single" w:sz="8" w:color="auto"/>
            </w:tcBorders>
            <w:shd w:val="clear" w:color="auto" w:fill="DEEAF6"/>
          </w:tcPr>
          <w:p>
            <w:pPr>
              <w:spacing w:after="0"/>
              <w:rPr>
                <w:sz w:val="14"/>
                <w:szCs w:val="14"/>
                <w:color w:val="auto"/>
              </w:rPr>
            </w:pPr>
          </w:p>
        </w:tc>
        <w:tc>
          <w:tcPr>
            <w:tcW w:w="800" w:type="dxa"/>
            <w:vAlign w:val="bottom"/>
            <w:tcBorders>
              <w:right w:val="single" w:sz="8" w:color="auto"/>
            </w:tcBorders>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60" w:type="dxa"/>
            <w:vAlign w:val="bottom"/>
            <w:tcBorders>
              <w:left w:val="single" w:sz="8" w:color="auto"/>
              <w:right w:val="single" w:sz="8" w:color="auto"/>
            </w:tcBorders>
            <w:shd w:val="clear" w:color="auto" w:fill="DEEAF6"/>
          </w:tcPr>
          <w:p>
            <w:pPr>
              <w:spacing w:after="0"/>
              <w:rPr>
                <w:sz w:val="15"/>
                <w:szCs w:val="15"/>
                <w:color w:val="auto"/>
              </w:rPr>
            </w:pPr>
          </w:p>
        </w:tc>
        <w:tc>
          <w:tcPr>
            <w:tcW w:w="304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Increase Financial inclusion</w:t>
            </w:r>
          </w:p>
        </w:tc>
        <w:tc>
          <w:tcPr>
            <w:tcW w:w="140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Financial inclusion</w:t>
            </w:r>
          </w:p>
        </w:tc>
        <w:tc>
          <w:tcPr>
            <w:tcW w:w="1040" w:type="dxa"/>
            <w:vAlign w:val="bottom"/>
            <w:tcBorders>
              <w:right w:val="single" w:sz="8" w:color="auto"/>
            </w:tcBorders>
            <w:shd w:val="clear" w:color="auto" w:fill="DEEAF6"/>
          </w:tcPr>
          <w:p>
            <w:pPr>
              <w:ind w:left="40"/>
              <w:spacing w:after="0"/>
              <w:rPr>
                <w:sz w:val="20"/>
                <w:szCs w:val="20"/>
                <w:color w:val="auto"/>
              </w:rPr>
            </w:pPr>
            <w:r>
              <w:rPr>
                <w:rFonts w:ascii="Arial" w:cs="Arial" w:eastAsia="Arial" w:hAnsi="Arial"/>
                <w:sz w:val="15"/>
                <w:szCs w:val="15"/>
                <w:color w:val="auto"/>
              </w:rPr>
              <w:t>PRIMA AFP</w:t>
            </w:r>
          </w:p>
        </w:tc>
        <w:tc>
          <w:tcPr>
            <w:tcW w:w="3020" w:type="dxa"/>
            <w:vAlign w:val="bottom"/>
            <w:tcBorders>
              <w:right w:val="single" w:sz="8" w:color="auto"/>
            </w:tcBorders>
            <w:shd w:val="clear" w:color="auto" w:fill="DEEAF6"/>
          </w:tcPr>
          <w:p>
            <w:pPr>
              <w:ind w:left="60"/>
              <w:spacing w:after="0"/>
              <w:rPr>
                <w:sz w:val="20"/>
                <w:szCs w:val="20"/>
                <w:color w:val="auto"/>
              </w:rPr>
            </w:pPr>
            <w:r>
              <w:rPr>
                <w:rFonts w:ascii="Arial" w:cs="Arial" w:eastAsia="Arial" w:hAnsi="Arial"/>
                <w:sz w:val="15"/>
                <w:szCs w:val="15"/>
                <w:color w:val="auto"/>
              </w:rPr>
              <w:t>(pension savings), accumulated since</w:t>
            </w:r>
          </w:p>
        </w:tc>
        <w:tc>
          <w:tcPr>
            <w:tcW w:w="6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5"/>
                <w:szCs w:val="15"/>
                <w:color w:val="auto"/>
              </w:rPr>
              <w:t>97,739</w:t>
            </w:r>
          </w:p>
        </w:tc>
        <w:tc>
          <w:tcPr>
            <w:tcW w:w="0" w:type="dxa"/>
            <w:vAlign w:val="bottom"/>
          </w:tcPr>
          <w:p>
            <w:pPr>
              <w:spacing w:after="0"/>
              <w:rPr>
                <w:sz w:val="1"/>
                <w:szCs w:val="1"/>
                <w:color w:val="auto"/>
              </w:rPr>
            </w:pPr>
          </w:p>
        </w:tc>
      </w:tr>
      <w:tr>
        <w:trPr>
          <w:trHeight w:val="174"/>
        </w:trPr>
        <w:tc>
          <w:tcPr>
            <w:tcW w:w="1360" w:type="dxa"/>
            <w:vAlign w:val="bottom"/>
            <w:tcBorders>
              <w:left w:val="single" w:sz="8" w:color="auto"/>
              <w:bottom w:val="single" w:sz="8" w:color="DEEAF6"/>
              <w:right w:val="single" w:sz="8" w:color="auto"/>
            </w:tcBorders>
            <w:shd w:val="clear" w:color="auto" w:fill="DEEAF6"/>
          </w:tcPr>
          <w:p>
            <w:pPr>
              <w:spacing w:after="0"/>
              <w:rPr>
                <w:sz w:val="15"/>
                <w:szCs w:val="15"/>
                <w:color w:val="auto"/>
              </w:rPr>
            </w:pPr>
          </w:p>
        </w:tc>
        <w:tc>
          <w:tcPr>
            <w:tcW w:w="3040" w:type="dxa"/>
            <w:vAlign w:val="bottom"/>
            <w:tcBorders>
              <w:bottom w:val="single" w:sz="8" w:color="auto"/>
              <w:right w:val="single" w:sz="8" w:color="auto"/>
            </w:tcBorders>
            <w:shd w:val="clear" w:color="auto" w:fill="DEEAF6"/>
          </w:tcPr>
          <w:p>
            <w:pPr>
              <w:spacing w:after="0"/>
              <w:rPr>
                <w:sz w:val="15"/>
                <w:szCs w:val="15"/>
                <w:color w:val="auto"/>
              </w:rPr>
            </w:pPr>
          </w:p>
        </w:tc>
        <w:tc>
          <w:tcPr>
            <w:tcW w:w="1400" w:type="dxa"/>
            <w:vAlign w:val="bottom"/>
            <w:tcBorders>
              <w:bottom w:val="single" w:sz="8" w:color="auto"/>
              <w:right w:val="single" w:sz="8" w:color="auto"/>
            </w:tcBorders>
            <w:shd w:val="clear" w:color="auto" w:fill="DEEAF6"/>
          </w:tcPr>
          <w:p>
            <w:pPr>
              <w:spacing w:after="0"/>
              <w:rPr>
                <w:sz w:val="15"/>
                <w:szCs w:val="15"/>
                <w:color w:val="auto"/>
              </w:rPr>
            </w:pPr>
          </w:p>
        </w:tc>
        <w:tc>
          <w:tcPr>
            <w:tcW w:w="1040" w:type="dxa"/>
            <w:vAlign w:val="bottom"/>
            <w:tcBorders>
              <w:bottom w:val="single" w:sz="8" w:color="auto"/>
              <w:right w:val="single" w:sz="8" w:color="auto"/>
            </w:tcBorders>
            <w:shd w:val="clear" w:color="auto" w:fill="DEEAF6"/>
          </w:tcPr>
          <w:p>
            <w:pPr>
              <w:spacing w:after="0"/>
              <w:rPr>
                <w:sz w:val="15"/>
                <w:szCs w:val="15"/>
                <w:color w:val="auto"/>
              </w:rPr>
            </w:pPr>
          </w:p>
        </w:tc>
        <w:tc>
          <w:tcPr>
            <w:tcW w:w="3020" w:type="dxa"/>
            <w:vAlign w:val="bottom"/>
            <w:tcBorders>
              <w:bottom w:val="single" w:sz="8" w:color="auto"/>
              <w:right w:val="single" w:sz="8" w:color="auto"/>
            </w:tcBorders>
            <w:shd w:val="clear" w:color="auto" w:fill="DEEAF6"/>
          </w:tcPr>
          <w:p>
            <w:pPr>
              <w:ind w:left="60"/>
              <w:spacing w:after="0"/>
              <w:rPr>
                <w:sz w:val="20"/>
                <w:szCs w:val="20"/>
                <w:color w:val="auto"/>
              </w:rPr>
            </w:pPr>
            <w:r>
              <w:rPr>
                <w:rFonts w:ascii="Arial" w:cs="Arial" w:eastAsia="Arial" w:hAnsi="Arial"/>
                <w:sz w:val="15"/>
                <w:szCs w:val="15"/>
                <w:color w:val="auto"/>
              </w:rPr>
              <w:t>2020</w:t>
            </w:r>
          </w:p>
        </w:tc>
        <w:tc>
          <w:tcPr>
            <w:tcW w:w="600" w:type="dxa"/>
            <w:vAlign w:val="bottom"/>
            <w:tcBorders>
              <w:bottom w:val="single" w:sz="8" w:color="auto"/>
              <w:right w:val="single" w:sz="8" w:color="auto"/>
            </w:tcBorders>
            <w:shd w:val="clear" w:color="auto" w:fill="DEEAF6"/>
          </w:tcPr>
          <w:p>
            <w:pPr>
              <w:spacing w:after="0"/>
              <w:rPr>
                <w:sz w:val="15"/>
                <w:szCs w:val="15"/>
                <w:color w:val="auto"/>
              </w:rPr>
            </w:pPr>
          </w:p>
        </w:tc>
        <w:tc>
          <w:tcPr>
            <w:tcW w:w="800" w:type="dxa"/>
            <w:vAlign w:val="bottom"/>
            <w:tcBorders>
              <w:bottom w:val="single" w:sz="8" w:color="auto"/>
              <w:right w:val="single" w:sz="8" w:color="auto"/>
            </w:tcBorders>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DEEAF6"/>
          </w:tcPr>
          <w:p>
            <w:pPr>
              <w:spacing w:after="0"/>
              <w:rPr>
                <w:sz w:val="14"/>
                <w:szCs w:val="14"/>
                <w:color w:val="auto"/>
              </w:rPr>
            </w:pPr>
          </w:p>
        </w:tc>
        <w:tc>
          <w:tcPr>
            <w:tcW w:w="3040" w:type="dxa"/>
            <w:vAlign w:val="bottom"/>
            <w:tcBorders>
              <w:right w:val="single" w:sz="8" w:color="auto"/>
            </w:tcBorders>
            <w:shd w:val="clear" w:color="auto" w:fill="DEEAF6"/>
          </w:tcPr>
          <w:p>
            <w:pPr>
              <w:ind w:left="40"/>
              <w:spacing w:after="0" w:line="164" w:lineRule="exact"/>
              <w:rPr>
                <w:sz w:val="20"/>
                <w:szCs w:val="20"/>
                <w:color w:val="auto"/>
              </w:rPr>
            </w:pPr>
            <w:r>
              <w:rPr>
                <w:rFonts w:ascii="Arial" w:cs="Arial" w:eastAsia="Arial" w:hAnsi="Arial"/>
                <w:sz w:val="15"/>
                <w:szCs w:val="15"/>
                <w:color w:val="auto"/>
              </w:rPr>
              <w:t>Support the transition to a sustainable</w:t>
            </w:r>
          </w:p>
        </w:tc>
        <w:tc>
          <w:tcPr>
            <w:tcW w:w="1400" w:type="dxa"/>
            <w:vAlign w:val="bottom"/>
            <w:tcBorders>
              <w:right w:val="single" w:sz="8" w:color="auto"/>
            </w:tcBorders>
            <w:shd w:val="clear" w:color="auto" w:fill="DEEAF6"/>
          </w:tcPr>
          <w:p>
            <w:pPr>
              <w:spacing w:after="0"/>
              <w:rPr>
                <w:sz w:val="14"/>
                <w:szCs w:val="14"/>
                <w:color w:val="auto"/>
              </w:rPr>
            </w:pPr>
          </w:p>
        </w:tc>
        <w:tc>
          <w:tcPr>
            <w:tcW w:w="104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CREDICORP</w:t>
            </w:r>
          </w:p>
        </w:tc>
        <w:tc>
          <w:tcPr>
            <w:tcW w:w="3020" w:type="dxa"/>
            <w:vAlign w:val="bottom"/>
            <w:tcBorders>
              <w:right w:val="single" w:sz="8" w:color="auto"/>
            </w:tcBorders>
            <w:shd w:val="clear" w:color="auto" w:fill="DEEAF6"/>
          </w:tcPr>
          <w:p>
            <w:pPr>
              <w:spacing w:after="0"/>
              <w:rPr>
                <w:sz w:val="14"/>
                <w:szCs w:val="14"/>
                <w:color w:val="auto"/>
              </w:rPr>
            </w:pPr>
          </w:p>
        </w:tc>
        <w:tc>
          <w:tcPr>
            <w:tcW w:w="600" w:type="dxa"/>
            <w:vAlign w:val="bottom"/>
            <w:tcBorders>
              <w:right w:val="single" w:sz="8" w:color="auto"/>
            </w:tcBorders>
            <w:shd w:val="clear" w:color="auto" w:fill="DEEAF6"/>
          </w:tcPr>
          <w:p>
            <w:pPr>
              <w:spacing w:after="0"/>
              <w:rPr>
                <w:sz w:val="14"/>
                <w:szCs w:val="14"/>
                <w:color w:val="auto"/>
              </w:rPr>
            </w:pPr>
          </w:p>
        </w:tc>
        <w:tc>
          <w:tcPr>
            <w:tcW w:w="800" w:type="dxa"/>
            <w:vAlign w:val="bottom"/>
            <w:tcBorders>
              <w:right w:val="single" w:sz="8" w:color="auto"/>
            </w:tcBorders>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DEEAF6"/>
          </w:tcPr>
          <w:p>
            <w:pPr>
              <w:spacing w:after="0"/>
              <w:rPr>
                <w:sz w:val="7"/>
                <w:szCs w:val="7"/>
                <w:color w:val="auto"/>
              </w:rPr>
            </w:pPr>
          </w:p>
        </w:tc>
        <w:tc>
          <w:tcPr>
            <w:tcW w:w="304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economy, including the effects of climate</w:t>
            </w:r>
          </w:p>
        </w:tc>
        <w:tc>
          <w:tcPr>
            <w:tcW w:w="1400" w:type="dxa"/>
            <w:vAlign w:val="bottom"/>
            <w:tcBorders>
              <w:right w:val="single" w:sz="8" w:color="auto"/>
            </w:tcBorders>
            <w:vMerge w:val="restart"/>
            <w:shd w:val="clear" w:color="auto" w:fill="DEEAF6"/>
          </w:tcPr>
          <w:p>
            <w:pPr>
              <w:ind w:left="40"/>
              <w:spacing w:after="0"/>
              <w:rPr>
                <w:sz w:val="20"/>
                <w:szCs w:val="20"/>
                <w:color w:val="auto"/>
              </w:rPr>
            </w:pPr>
            <w:r>
              <w:rPr>
                <w:rFonts w:ascii="Arial" w:cs="Arial" w:eastAsia="Arial" w:hAnsi="Arial"/>
                <w:sz w:val="15"/>
                <w:szCs w:val="15"/>
                <w:color w:val="auto"/>
              </w:rPr>
              <w:t>Sustainable AUMs</w:t>
            </w:r>
          </w:p>
        </w:tc>
        <w:tc>
          <w:tcPr>
            <w:tcW w:w="1040" w:type="dxa"/>
            <w:vAlign w:val="bottom"/>
            <w:tcBorders>
              <w:right w:val="single" w:sz="8" w:color="auto"/>
            </w:tcBorders>
            <w:vMerge w:val="continue"/>
            <w:shd w:val="clear" w:color="auto" w:fill="DEEAF6"/>
          </w:tcPr>
          <w:p>
            <w:pPr>
              <w:spacing w:after="0"/>
              <w:rPr>
                <w:sz w:val="7"/>
                <w:szCs w:val="7"/>
                <w:color w:val="auto"/>
              </w:rPr>
            </w:pPr>
          </w:p>
        </w:tc>
        <w:tc>
          <w:tcPr>
            <w:tcW w:w="3020" w:type="dxa"/>
            <w:vAlign w:val="bottom"/>
            <w:tcBorders>
              <w:right w:val="single" w:sz="8" w:color="auto"/>
            </w:tcBorders>
            <w:vMerge w:val="restart"/>
            <w:shd w:val="clear" w:color="auto" w:fill="DEEAF6"/>
          </w:tcPr>
          <w:p>
            <w:pPr>
              <w:ind w:left="60"/>
              <w:spacing w:after="0"/>
              <w:rPr>
                <w:sz w:val="20"/>
                <w:szCs w:val="20"/>
                <w:color w:val="auto"/>
              </w:rPr>
            </w:pPr>
            <w:r>
              <w:rPr>
                <w:rFonts w:ascii="Arial" w:cs="Arial" w:eastAsia="Arial" w:hAnsi="Arial"/>
                <w:sz w:val="15"/>
                <w:szCs w:val="15"/>
                <w:color w:val="auto"/>
              </w:rPr>
              <w:t>PRI score at Credicorp Capital59</w:t>
            </w:r>
          </w:p>
        </w:tc>
        <w:tc>
          <w:tcPr>
            <w:tcW w:w="6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rPr>
              <w:t>Pts.</w:t>
            </w:r>
          </w:p>
        </w:tc>
        <w:tc>
          <w:tcPr>
            <w:tcW w:w="8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139"/>
        </w:trPr>
        <w:tc>
          <w:tcPr>
            <w:tcW w:w="1360" w:type="dxa"/>
            <w:vAlign w:val="bottom"/>
            <w:tcBorders>
              <w:left w:val="single" w:sz="8" w:color="auto"/>
              <w:right w:val="single" w:sz="8" w:color="auto"/>
            </w:tcBorders>
            <w:shd w:val="clear" w:color="auto" w:fill="DEEAF6"/>
          </w:tcPr>
          <w:p>
            <w:pPr>
              <w:spacing w:after="0"/>
              <w:rPr>
                <w:sz w:val="12"/>
                <w:szCs w:val="12"/>
                <w:color w:val="auto"/>
              </w:rPr>
            </w:pPr>
          </w:p>
        </w:tc>
        <w:tc>
          <w:tcPr>
            <w:tcW w:w="3040" w:type="dxa"/>
            <w:vAlign w:val="bottom"/>
            <w:tcBorders>
              <w:right w:val="single" w:sz="8" w:color="auto"/>
            </w:tcBorders>
            <w:vMerge w:val="continue"/>
            <w:shd w:val="clear" w:color="auto" w:fill="DEEAF6"/>
          </w:tcPr>
          <w:p>
            <w:pPr>
              <w:spacing w:after="0"/>
              <w:rPr>
                <w:sz w:val="12"/>
                <w:szCs w:val="12"/>
                <w:color w:val="auto"/>
              </w:rPr>
            </w:pPr>
          </w:p>
        </w:tc>
        <w:tc>
          <w:tcPr>
            <w:tcW w:w="1400" w:type="dxa"/>
            <w:vAlign w:val="bottom"/>
            <w:tcBorders>
              <w:right w:val="single" w:sz="8" w:color="auto"/>
            </w:tcBorders>
            <w:vMerge w:val="continue"/>
            <w:shd w:val="clear" w:color="auto" w:fill="DEEAF6"/>
          </w:tcPr>
          <w:p>
            <w:pPr>
              <w:spacing w:after="0"/>
              <w:rPr>
                <w:sz w:val="12"/>
                <w:szCs w:val="12"/>
                <w:color w:val="auto"/>
              </w:rPr>
            </w:pPr>
          </w:p>
        </w:tc>
        <w:tc>
          <w:tcPr>
            <w:tcW w:w="1040" w:type="dxa"/>
            <w:vAlign w:val="bottom"/>
            <w:tcBorders>
              <w:right w:val="single" w:sz="8" w:color="auto"/>
            </w:tcBorders>
            <w:shd w:val="clear" w:color="auto" w:fill="DEEAF6"/>
          </w:tcPr>
          <w:p>
            <w:pPr>
              <w:ind w:left="40"/>
              <w:spacing w:after="0" w:line="139" w:lineRule="exact"/>
              <w:rPr>
                <w:sz w:val="20"/>
                <w:szCs w:val="20"/>
                <w:color w:val="auto"/>
              </w:rPr>
            </w:pPr>
            <w:r>
              <w:rPr>
                <w:rFonts w:ascii="Arial" w:cs="Arial" w:eastAsia="Arial" w:hAnsi="Arial"/>
                <w:sz w:val="15"/>
                <w:szCs w:val="15"/>
                <w:color w:val="auto"/>
              </w:rPr>
              <w:t>CAPITAL</w:t>
            </w:r>
          </w:p>
        </w:tc>
        <w:tc>
          <w:tcPr>
            <w:tcW w:w="3020" w:type="dxa"/>
            <w:vAlign w:val="bottom"/>
            <w:tcBorders>
              <w:right w:val="single" w:sz="8" w:color="auto"/>
            </w:tcBorders>
            <w:vMerge w:val="continue"/>
            <w:shd w:val="clear" w:color="auto" w:fill="DEEAF6"/>
          </w:tcPr>
          <w:p>
            <w:pPr>
              <w:spacing w:after="0"/>
              <w:rPr>
                <w:sz w:val="12"/>
                <w:szCs w:val="12"/>
                <w:color w:val="auto"/>
              </w:rPr>
            </w:pPr>
          </w:p>
        </w:tc>
        <w:tc>
          <w:tcPr>
            <w:tcW w:w="600" w:type="dxa"/>
            <w:vAlign w:val="bottom"/>
            <w:tcBorders>
              <w:right w:val="single" w:sz="8" w:color="auto"/>
            </w:tcBorders>
            <w:vMerge w:val="continue"/>
            <w:shd w:val="clear" w:color="auto" w:fill="DEEAF6"/>
          </w:tcPr>
          <w:p>
            <w:pPr>
              <w:spacing w:after="0"/>
              <w:rPr>
                <w:sz w:val="12"/>
                <w:szCs w:val="12"/>
                <w:color w:val="auto"/>
              </w:rPr>
            </w:pPr>
          </w:p>
        </w:tc>
        <w:tc>
          <w:tcPr>
            <w:tcW w:w="800" w:type="dxa"/>
            <w:vAlign w:val="bottom"/>
            <w:tcBorders>
              <w:right w:val="single" w:sz="8" w:color="auto"/>
            </w:tcBorders>
            <w:vMerge w:val="continue"/>
            <w:shd w:val="clear" w:color="auto" w:fill="DEEAF6"/>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bottom w:val="single" w:sz="8" w:color="auto"/>
              <w:right w:val="single" w:sz="8" w:color="auto"/>
            </w:tcBorders>
            <w:shd w:val="clear" w:color="auto" w:fill="DEEAF6"/>
          </w:tcPr>
          <w:p>
            <w:pPr>
              <w:spacing w:after="0"/>
              <w:rPr>
                <w:sz w:val="11"/>
                <w:szCs w:val="11"/>
                <w:color w:val="auto"/>
              </w:rPr>
            </w:pPr>
          </w:p>
        </w:tc>
        <w:tc>
          <w:tcPr>
            <w:tcW w:w="3040" w:type="dxa"/>
            <w:vAlign w:val="bottom"/>
            <w:tcBorders>
              <w:bottom w:val="single" w:sz="8" w:color="auto"/>
              <w:right w:val="single" w:sz="8" w:color="auto"/>
            </w:tcBorders>
            <w:shd w:val="clear" w:color="auto" w:fill="DEEAF6"/>
          </w:tcPr>
          <w:p>
            <w:pPr>
              <w:ind w:left="40"/>
              <w:spacing w:after="0" w:line="127" w:lineRule="exact"/>
              <w:rPr>
                <w:sz w:val="20"/>
                <w:szCs w:val="20"/>
                <w:color w:val="auto"/>
              </w:rPr>
            </w:pPr>
            <w:r>
              <w:rPr>
                <w:rFonts w:ascii="Arial" w:cs="Arial" w:eastAsia="Arial" w:hAnsi="Arial"/>
                <w:sz w:val="14"/>
                <w:szCs w:val="14"/>
                <w:color w:val="auto"/>
              </w:rPr>
              <w:t>change</w:t>
            </w:r>
          </w:p>
        </w:tc>
        <w:tc>
          <w:tcPr>
            <w:tcW w:w="1400" w:type="dxa"/>
            <w:vAlign w:val="bottom"/>
            <w:tcBorders>
              <w:bottom w:val="single" w:sz="8" w:color="auto"/>
              <w:right w:val="single" w:sz="8" w:color="auto"/>
            </w:tcBorders>
            <w:shd w:val="clear" w:color="auto" w:fill="DEEAF6"/>
          </w:tcPr>
          <w:p>
            <w:pPr>
              <w:spacing w:after="0"/>
              <w:rPr>
                <w:sz w:val="11"/>
                <w:szCs w:val="11"/>
                <w:color w:val="auto"/>
              </w:rPr>
            </w:pPr>
          </w:p>
        </w:tc>
        <w:tc>
          <w:tcPr>
            <w:tcW w:w="1040" w:type="dxa"/>
            <w:vAlign w:val="bottom"/>
            <w:tcBorders>
              <w:bottom w:val="single" w:sz="8" w:color="auto"/>
              <w:right w:val="single" w:sz="8" w:color="auto"/>
            </w:tcBorders>
            <w:shd w:val="clear" w:color="auto" w:fill="DEEAF6"/>
          </w:tcPr>
          <w:p>
            <w:pPr>
              <w:spacing w:after="0"/>
              <w:rPr>
                <w:sz w:val="11"/>
                <w:szCs w:val="11"/>
                <w:color w:val="auto"/>
              </w:rPr>
            </w:pPr>
          </w:p>
        </w:tc>
        <w:tc>
          <w:tcPr>
            <w:tcW w:w="3020" w:type="dxa"/>
            <w:vAlign w:val="bottom"/>
            <w:tcBorders>
              <w:bottom w:val="single" w:sz="8" w:color="auto"/>
              <w:right w:val="single" w:sz="8" w:color="auto"/>
            </w:tcBorders>
            <w:shd w:val="clear" w:color="auto" w:fill="DEEAF6"/>
          </w:tcPr>
          <w:p>
            <w:pPr>
              <w:spacing w:after="0"/>
              <w:rPr>
                <w:sz w:val="11"/>
                <w:szCs w:val="11"/>
                <w:color w:val="auto"/>
              </w:rPr>
            </w:pPr>
          </w:p>
        </w:tc>
        <w:tc>
          <w:tcPr>
            <w:tcW w:w="600" w:type="dxa"/>
            <w:vAlign w:val="bottom"/>
            <w:tcBorders>
              <w:bottom w:val="single" w:sz="8" w:color="auto"/>
              <w:right w:val="single" w:sz="8" w:color="auto"/>
            </w:tcBorders>
            <w:shd w:val="clear" w:color="auto" w:fill="DEEAF6"/>
          </w:tcPr>
          <w:p>
            <w:pPr>
              <w:spacing w:after="0"/>
              <w:rPr>
                <w:sz w:val="11"/>
                <w:szCs w:val="11"/>
                <w:color w:val="auto"/>
              </w:rPr>
            </w:pPr>
          </w:p>
        </w:tc>
        <w:tc>
          <w:tcPr>
            <w:tcW w:w="800" w:type="dxa"/>
            <w:vAlign w:val="bottom"/>
            <w:tcBorders>
              <w:bottom w:val="single" w:sz="8" w:color="auto"/>
              <w:right w:val="single" w:sz="8" w:color="auto"/>
            </w:tcBorders>
            <w:shd w:val="clear" w:color="auto" w:fill="DEEAF6"/>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spacing w:after="0"/>
              <w:rPr>
                <w:sz w:val="14"/>
                <w:szCs w:val="14"/>
                <w:color w:val="auto"/>
              </w:rPr>
            </w:pP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shd w:val="clear" w:color="auto" w:fill="E2EFD9"/>
          </w:tcPr>
          <w:p>
            <w:pPr>
              <w:spacing w:after="0"/>
              <w:rPr>
                <w:sz w:val="14"/>
                <w:szCs w:val="14"/>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Entrepreneurs benefitted by Contigo</w:t>
            </w:r>
          </w:p>
        </w:tc>
        <w:tc>
          <w:tcPr>
            <w:tcW w:w="600" w:type="dxa"/>
            <w:vAlign w:val="bottom"/>
            <w:tcBorders>
              <w:right w:val="single" w:sz="8" w:color="auto"/>
            </w:tcBorders>
            <w:shd w:val="clear" w:color="auto" w:fill="E2EFD9"/>
          </w:tcPr>
          <w:p>
            <w:pPr>
              <w:spacing w:after="0"/>
              <w:rPr>
                <w:sz w:val="14"/>
                <w:szCs w:val="14"/>
                <w:color w:val="auto"/>
              </w:rPr>
            </w:pP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E2EFD9"/>
          </w:tcPr>
          <w:p>
            <w:pPr>
              <w:spacing w:after="0"/>
              <w:rPr>
                <w:sz w:val="7"/>
                <w:szCs w:val="7"/>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BCP</w:t>
            </w:r>
          </w:p>
        </w:tc>
        <w:tc>
          <w:tcPr>
            <w:tcW w:w="3020" w:type="dxa"/>
            <w:vAlign w:val="bottom"/>
            <w:tcBorders>
              <w:right w:val="single" w:sz="8" w:color="auto"/>
            </w:tcBorders>
            <w:vMerge w:val="continue"/>
            <w:shd w:val="clear" w:color="auto" w:fill="E2EFD9"/>
          </w:tcPr>
          <w:p>
            <w:pPr>
              <w:spacing w:after="0"/>
              <w:rPr>
                <w:sz w:val="7"/>
                <w:szCs w:val="7"/>
                <w:color w:val="auto"/>
              </w:rPr>
            </w:pP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110,690</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Emprendedor</w:t>
            </w: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shd w:val="clear" w:color="auto" w:fill="E2EFD9"/>
          </w:tcPr>
          <w:p>
            <w:pPr>
              <w:spacing w:after="0"/>
              <w:rPr>
                <w:sz w:val="8"/>
                <w:szCs w:val="8"/>
                <w:color w:val="auto"/>
              </w:rPr>
            </w:pP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E2EFD9"/>
              <w:right w:val="single" w:sz="8" w:color="auto"/>
            </w:tcBorders>
            <w:shd w:val="clear" w:color="auto" w:fill="E2EFD9"/>
          </w:tcPr>
          <w:p>
            <w:pPr>
              <w:spacing w:after="0"/>
              <w:rPr>
                <w:sz w:val="7"/>
                <w:szCs w:val="7"/>
                <w:color w:val="auto"/>
              </w:rPr>
            </w:pPr>
          </w:p>
        </w:tc>
        <w:tc>
          <w:tcPr>
            <w:tcW w:w="304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1400" w:type="dxa"/>
            <w:vAlign w:val="bottom"/>
            <w:tcBorders>
              <w:bottom w:val="single" w:sz="8" w:color="auto"/>
              <w:right w:val="single" w:sz="8" w:color="auto"/>
            </w:tcBorders>
            <w:shd w:val="clear" w:color="auto" w:fill="E2EFD9"/>
          </w:tcPr>
          <w:p>
            <w:pPr>
              <w:spacing w:after="0"/>
              <w:rPr>
                <w:sz w:val="7"/>
                <w:szCs w:val="7"/>
                <w:color w:val="auto"/>
              </w:rPr>
            </w:pPr>
          </w:p>
        </w:tc>
        <w:tc>
          <w:tcPr>
            <w:tcW w:w="1040" w:type="dxa"/>
            <w:vAlign w:val="bottom"/>
            <w:tcBorders>
              <w:bottom w:val="single" w:sz="8" w:color="auto"/>
              <w:right w:val="single" w:sz="8" w:color="auto"/>
            </w:tcBorders>
            <w:shd w:val="clear" w:color="auto" w:fill="E2EFD9"/>
          </w:tcPr>
          <w:p>
            <w:pPr>
              <w:spacing w:after="0"/>
              <w:rPr>
                <w:sz w:val="7"/>
                <w:szCs w:val="7"/>
                <w:color w:val="auto"/>
              </w:rPr>
            </w:pPr>
          </w:p>
        </w:tc>
        <w:tc>
          <w:tcPr>
            <w:tcW w:w="3020" w:type="dxa"/>
            <w:vAlign w:val="bottom"/>
            <w:tcBorders>
              <w:bottom w:val="single" w:sz="8" w:color="auto"/>
              <w:right w:val="single" w:sz="8" w:color="auto"/>
            </w:tcBorders>
            <w:shd w:val="clear" w:color="auto" w:fill="E2EFD9"/>
          </w:tcPr>
          <w:p>
            <w:pPr>
              <w:spacing w:after="0"/>
              <w:rPr>
                <w:sz w:val="7"/>
                <w:szCs w:val="7"/>
                <w:color w:val="auto"/>
              </w:rPr>
            </w:pPr>
          </w:p>
        </w:tc>
        <w:tc>
          <w:tcPr>
            <w:tcW w:w="600" w:type="dxa"/>
            <w:vAlign w:val="bottom"/>
            <w:tcBorders>
              <w:bottom w:val="single" w:sz="8" w:color="auto"/>
              <w:right w:val="single" w:sz="8" w:color="auto"/>
            </w:tcBorders>
            <w:shd w:val="clear" w:color="auto" w:fill="E2EFD9"/>
          </w:tcPr>
          <w:p>
            <w:pPr>
              <w:spacing w:after="0"/>
              <w:rPr>
                <w:sz w:val="7"/>
                <w:szCs w:val="7"/>
                <w:color w:val="auto"/>
              </w:rPr>
            </w:pPr>
          </w:p>
        </w:tc>
        <w:tc>
          <w:tcPr>
            <w:tcW w:w="800" w:type="dxa"/>
            <w:vAlign w:val="bottom"/>
            <w:tcBorders>
              <w:bottom w:val="single" w:sz="8" w:color="auto"/>
              <w:right w:val="single" w:sz="8" w:color="auto"/>
            </w:tcBorders>
            <w:shd w:val="clear" w:color="auto" w:fill="E2EF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spacing w:after="0"/>
              <w:rPr>
                <w:sz w:val="14"/>
                <w:szCs w:val="14"/>
                <w:color w:val="auto"/>
              </w:rPr>
            </w:pP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shd w:val="clear" w:color="auto" w:fill="E2EFD9"/>
          </w:tcPr>
          <w:p>
            <w:pPr>
              <w:spacing w:after="0"/>
              <w:rPr>
                <w:sz w:val="14"/>
                <w:szCs w:val="14"/>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Scope of training within the program ABC</w:t>
            </w: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E2EFD9"/>
          </w:tcPr>
          <w:p>
            <w:pPr>
              <w:spacing w:after="0"/>
              <w:rPr>
                <w:sz w:val="7"/>
                <w:szCs w:val="7"/>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BCP</w:t>
            </w:r>
          </w:p>
        </w:tc>
        <w:tc>
          <w:tcPr>
            <w:tcW w:w="3020" w:type="dxa"/>
            <w:vAlign w:val="bottom"/>
            <w:tcBorders>
              <w:right w:val="single" w:sz="8" w:color="auto"/>
            </w:tcBorders>
            <w:vMerge w:val="continue"/>
            <w:shd w:val="clear" w:color="auto" w:fill="E2EFD9"/>
          </w:tcPr>
          <w:p>
            <w:pPr>
              <w:spacing w:after="0"/>
              <w:rPr>
                <w:sz w:val="7"/>
                <w:szCs w:val="7"/>
                <w:color w:val="auto"/>
              </w:rPr>
            </w:pPr>
          </w:p>
        </w:tc>
        <w:tc>
          <w:tcPr>
            <w:tcW w:w="600" w:type="dxa"/>
            <w:vAlign w:val="bottom"/>
            <w:tcBorders>
              <w:right w:val="single" w:sz="8" w:color="auto"/>
            </w:tcBorders>
            <w:vMerge w:val="continue"/>
            <w:shd w:val="clear" w:color="auto" w:fill="E2EFD9"/>
          </w:tcPr>
          <w:p>
            <w:pPr>
              <w:spacing w:after="0"/>
              <w:rPr>
                <w:sz w:val="7"/>
                <w:szCs w:val="7"/>
                <w:color w:val="auto"/>
              </w:rPr>
            </w:pP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310,311</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of BCP</w:t>
            </w: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people</w:t>
            </w: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shd w:val="clear" w:color="auto" w:fill="E2EFD9"/>
          </w:tcPr>
          <w:p>
            <w:pPr>
              <w:spacing w:after="0"/>
              <w:rPr>
                <w:sz w:val="8"/>
                <w:szCs w:val="8"/>
                <w:color w:val="auto"/>
              </w:rPr>
            </w:pP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E2EFD9"/>
              <w:right w:val="single" w:sz="8" w:color="auto"/>
            </w:tcBorders>
            <w:shd w:val="clear" w:color="auto" w:fill="E2EFD9"/>
          </w:tcPr>
          <w:p>
            <w:pPr>
              <w:spacing w:after="0"/>
              <w:rPr>
                <w:sz w:val="7"/>
                <w:szCs w:val="7"/>
                <w:color w:val="auto"/>
              </w:rPr>
            </w:pPr>
          </w:p>
        </w:tc>
        <w:tc>
          <w:tcPr>
            <w:tcW w:w="304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1400" w:type="dxa"/>
            <w:vAlign w:val="bottom"/>
            <w:tcBorders>
              <w:bottom w:val="single" w:sz="8" w:color="auto"/>
              <w:right w:val="single" w:sz="8" w:color="auto"/>
            </w:tcBorders>
            <w:shd w:val="clear" w:color="auto" w:fill="E2EFD9"/>
          </w:tcPr>
          <w:p>
            <w:pPr>
              <w:spacing w:after="0"/>
              <w:rPr>
                <w:sz w:val="7"/>
                <w:szCs w:val="7"/>
                <w:color w:val="auto"/>
              </w:rPr>
            </w:pPr>
          </w:p>
        </w:tc>
        <w:tc>
          <w:tcPr>
            <w:tcW w:w="1040" w:type="dxa"/>
            <w:vAlign w:val="bottom"/>
            <w:tcBorders>
              <w:bottom w:val="single" w:sz="8" w:color="auto"/>
              <w:right w:val="single" w:sz="8" w:color="auto"/>
            </w:tcBorders>
            <w:shd w:val="clear" w:color="auto" w:fill="E2EFD9"/>
          </w:tcPr>
          <w:p>
            <w:pPr>
              <w:spacing w:after="0"/>
              <w:rPr>
                <w:sz w:val="7"/>
                <w:szCs w:val="7"/>
                <w:color w:val="auto"/>
              </w:rPr>
            </w:pPr>
          </w:p>
        </w:tc>
        <w:tc>
          <w:tcPr>
            <w:tcW w:w="3020" w:type="dxa"/>
            <w:vAlign w:val="bottom"/>
            <w:tcBorders>
              <w:bottom w:val="single" w:sz="8" w:color="auto"/>
              <w:right w:val="single" w:sz="8" w:color="auto"/>
            </w:tcBorders>
            <w:shd w:val="clear" w:color="auto" w:fill="E2EFD9"/>
          </w:tcPr>
          <w:p>
            <w:pPr>
              <w:spacing w:after="0"/>
              <w:rPr>
                <w:sz w:val="7"/>
                <w:szCs w:val="7"/>
                <w:color w:val="auto"/>
              </w:rPr>
            </w:pPr>
          </w:p>
        </w:tc>
        <w:tc>
          <w:tcPr>
            <w:tcW w:w="600" w:type="dxa"/>
            <w:vAlign w:val="bottom"/>
            <w:tcBorders>
              <w:bottom w:val="single" w:sz="8" w:color="auto"/>
              <w:right w:val="single" w:sz="8" w:color="auto"/>
            </w:tcBorders>
            <w:shd w:val="clear" w:color="auto" w:fill="E2EFD9"/>
          </w:tcPr>
          <w:p>
            <w:pPr>
              <w:spacing w:after="0"/>
              <w:rPr>
                <w:sz w:val="7"/>
                <w:szCs w:val="7"/>
                <w:color w:val="auto"/>
              </w:rPr>
            </w:pPr>
          </w:p>
        </w:tc>
        <w:tc>
          <w:tcPr>
            <w:tcW w:w="800" w:type="dxa"/>
            <w:vAlign w:val="bottom"/>
            <w:tcBorders>
              <w:bottom w:val="single" w:sz="8" w:color="auto"/>
              <w:right w:val="single" w:sz="8" w:color="auto"/>
            </w:tcBorders>
            <w:shd w:val="clear" w:color="auto" w:fill="E2EF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spacing w:after="0"/>
              <w:rPr>
                <w:sz w:val="14"/>
                <w:szCs w:val="14"/>
                <w:color w:val="auto"/>
              </w:rPr>
            </w:pP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BCP</w:t>
            </w:r>
          </w:p>
        </w:tc>
        <w:tc>
          <w:tcPr>
            <w:tcW w:w="3020" w:type="dxa"/>
            <w:vAlign w:val="bottom"/>
            <w:tcBorders>
              <w:right w:val="single" w:sz="8" w:color="auto"/>
            </w:tcBorders>
            <w:shd w:val="clear" w:color="auto" w:fill="E2EFD9"/>
          </w:tcPr>
          <w:p>
            <w:pPr>
              <w:spacing w:after="0"/>
              <w:rPr>
                <w:sz w:val="14"/>
                <w:szCs w:val="14"/>
                <w:color w:val="auto"/>
              </w:rPr>
            </w:pPr>
          </w:p>
        </w:tc>
        <w:tc>
          <w:tcPr>
            <w:tcW w:w="600" w:type="dxa"/>
            <w:vAlign w:val="bottom"/>
            <w:tcBorders>
              <w:right w:val="single" w:sz="8" w:color="auto"/>
            </w:tcBorders>
            <w:shd w:val="clear" w:color="auto" w:fill="E2EFD9"/>
          </w:tcPr>
          <w:p>
            <w:pPr>
              <w:spacing w:after="0"/>
              <w:rPr>
                <w:sz w:val="14"/>
                <w:szCs w:val="14"/>
                <w:color w:val="auto"/>
              </w:rPr>
            </w:pP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E2EFD9"/>
          </w:tcPr>
          <w:p>
            <w:pPr>
              <w:spacing w:after="0"/>
              <w:rPr>
                <w:sz w:val="7"/>
                <w:szCs w:val="7"/>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continue"/>
            <w:shd w:val="clear" w:color="auto" w:fill="E2EFD9"/>
          </w:tcPr>
          <w:p>
            <w:pPr>
              <w:spacing w:after="0"/>
              <w:rPr>
                <w:sz w:val="7"/>
                <w:szCs w:val="7"/>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Clients training</w:t>
            </w: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51,261</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BOLIVIA</w:t>
            </w: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shd w:val="clear" w:color="auto" w:fill="E2EFD9"/>
          </w:tcPr>
          <w:p>
            <w:pPr>
              <w:spacing w:after="0"/>
              <w:rPr>
                <w:sz w:val="8"/>
                <w:szCs w:val="8"/>
                <w:color w:val="auto"/>
              </w:rPr>
            </w:pPr>
          </w:p>
        </w:tc>
        <w:tc>
          <w:tcPr>
            <w:tcW w:w="600" w:type="dxa"/>
            <w:vAlign w:val="bottom"/>
            <w:tcBorders>
              <w:right w:val="single" w:sz="8" w:color="auto"/>
            </w:tcBorders>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E2EFD9"/>
              <w:right w:val="single" w:sz="8" w:color="auto"/>
            </w:tcBorders>
            <w:shd w:val="clear" w:color="auto" w:fill="E2EFD9"/>
          </w:tcPr>
          <w:p>
            <w:pPr>
              <w:spacing w:after="0"/>
              <w:rPr>
                <w:sz w:val="7"/>
                <w:szCs w:val="7"/>
                <w:color w:val="auto"/>
              </w:rPr>
            </w:pPr>
          </w:p>
        </w:tc>
        <w:tc>
          <w:tcPr>
            <w:tcW w:w="304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1400" w:type="dxa"/>
            <w:vAlign w:val="bottom"/>
            <w:tcBorders>
              <w:bottom w:val="single" w:sz="8" w:color="auto"/>
              <w:right w:val="single" w:sz="8" w:color="auto"/>
            </w:tcBorders>
            <w:shd w:val="clear" w:color="auto" w:fill="E2EFD9"/>
          </w:tcPr>
          <w:p>
            <w:pPr>
              <w:spacing w:after="0"/>
              <w:rPr>
                <w:sz w:val="7"/>
                <w:szCs w:val="7"/>
                <w:color w:val="auto"/>
              </w:rPr>
            </w:pPr>
          </w:p>
        </w:tc>
        <w:tc>
          <w:tcPr>
            <w:tcW w:w="1040" w:type="dxa"/>
            <w:vAlign w:val="bottom"/>
            <w:tcBorders>
              <w:bottom w:val="single" w:sz="8" w:color="auto"/>
              <w:right w:val="single" w:sz="8" w:color="auto"/>
            </w:tcBorders>
            <w:shd w:val="clear" w:color="auto" w:fill="E2EFD9"/>
          </w:tcPr>
          <w:p>
            <w:pPr>
              <w:spacing w:after="0"/>
              <w:rPr>
                <w:sz w:val="7"/>
                <w:szCs w:val="7"/>
                <w:color w:val="auto"/>
              </w:rPr>
            </w:pPr>
          </w:p>
        </w:tc>
        <w:tc>
          <w:tcPr>
            <w:tcW w:w="3020" w:type="dxa"/>
            <w:vAlign w:val="bottom"/>
            <w:tcBorders>
              <w:bottom w:val="single" w:sz="8" w:color="auto"/>
              <w:right w:val="single" w:sz="8" w:color="auto"/>
            </w:tcBorders>
            <w:shd w:val="clear" w:color="auto" w:fill="E2EFD9"/>
          </w:tcPr>
          <w:p>
            <w:pPr>
              <w:spacing w:after="0"/>
              <w:rPr>
                <w:sz w:val="7"/>
                <w:szCs w:val="7"/>
                <w:color w:val="auto"/>
              </w:rPr>
            </w:pPr>
          </w:p>
        </w:tc>
        <w:tc>
          <w:tcPr>
            <w:tcW w:w="600" w:type="dxa"/>
            <w:vAlign w:val="bottom"/>
            <w:tcBorders>
              <w:bottom w:val="single" w:sz="8" w:color="auto"/>
              <w:right w:val="single" w:sz="8" w:color="auto"/>
            </w:tcBorders>
            <w:shd w:val="clear" w:color="auto" w:fill="E2EFD9"/>
          </w:tcPr>
          <w:p>
            <w:pPr>
              <w:spacing w:after="0"/>
              <w:rPr>
                <w:sz w:val="7"/>
                <w:szCs w:val="7"/>
                <w:color w:val="auto"/>
              </w:rPr>
            </w:pPr>
          </w:p>
        </w:tc>
        <w:tc>
          <w:tcPr>
            <w:tcW w:w="800" w:type="dxa"/>
            <w:vAlign w:val="bottom"/>
            <w:tcBorders>
              <w:bottom w:val="single" w:sz="8" w:color="auto"/>
              <w:right w:val="single" w:sz="8" w:color="auto"/>
            </w:tcBorders>
            <w:shd w:val="clear" w:color="auto" w:fill="E2EF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spacing w:after="0"/>
              <w:rPr>
                <w:sz w:val="14"/>
                <w:szCs w:val="14"/>
                <w:color w:val="auto"/>
              </w:rPr>
            </w:pP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MIBANCO</w:t>
            </w: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Scope of the financial education program -</w:t>
            </w: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Improve the</w:t>
            </w: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continue"/>
            <w:shd w:val="clear" w:color="auto" w:fill="E2EFD9"/>
          </w:tcPr>
          <w:p>
            <w:pPr>
              <w:spacing w:after="0"/>
              <w:rPr>
                <w:sz w:val="7"/>
                <w:szCs w:val="7"/>
                <w:color w:val="auto"/>
              </w:rPr>
            </w:pPr>
          </w:p>
        </w:tc>
        <w:tc>
          <w:tcPr>
            <w:tcW w:w="3020" w:type="dxa"/>
            <w:vAlign w:val="bottom"/>
            <w:tcBorders>
              <w:right w:val="single" w:sz="8" w:color="auto"/>
            </w:tcBorders>
            <w:vMerge w:val="continue"/>
            <w:shd w:val="clear" w:color="auto" w:fill="E2EFD9"/>
          </w:tcPr>
          <w:p>
            <w:pPr>
              <w:spacing w:after="0"/>
              <w:rPr>
                <w:sz w:val="7"/>
                <w:szCs w:val="7"/>
                <w:color w:val="auto"/>
              </w:rPr>
            </w:pPr>
          </w:p>
        </w:tc>
        <w:tc>
          <w:tcPr>
            <w:tcW w:w="600" w:type="dxa"/>
            <w:vAlign w:val="bottom"/>
            <w:tcBorders>
              <w:right w:val="single" w:sz="8" w:color="auto"/>
            </w:tcBorders>
            <w:vMerge w:val="continue"/>
            <w:shd w:val="clear" w:color="auto" w:fill="E2EFD9"/>
          </w:tcPr>
          <w:p>
            <w:pPr>
              <w:spacing w:after="0"/>
              <w:rPr>
                <w:sz w:val="7"/>
                <w:szCs w:val="7"/>
                <w:color w:val="auto"/>
              </w:rPr>
            </w:pP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10,840</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vMerge w:val="continue"/>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COLOMBIA</w:t>
            </w: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Mi academia del progreso</w:t>
            </w: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people</w:t>
            </w: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financial health of</w:t>
            </w: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360" w:type="dxa"/>
            <w:vAlign w:val="bottom"/>
            <w:tcBorders>
              <w:left w:val="single" w:sz="8" w:color="auto"/>
              <w:bottom w:val="single" w:sz="8" w:color="E2EFD9"/>
              <w:right w:val="single" w:sz="8" w:color="auto"/>
            </w:tcBorders>
            <w:vMerge w:val="continue"/>
            <w:shd w:val="clear" w:color="auto" w:fill="E2EFD9"/>
          </w:tcPr>
          <w:p>
            <w:pPr>
              <w:spacing w:after="0"/>
              <w:rPr>
                <w:sz w:val="6"/>
                <w:szCs w:val="6"/>
                <w:color w:val="auto"/>
              </w:rPr>
            </w:pPr>
          </w:p>
        </w:tc>
        <w:tc>
          <w:tcPr>
            <w:tcW w:w="3040" w:type="dxa"/>
            <w:vAlign w:val="bottom"/>
            <w:tcBorders>
              <w:bottom w:val="single" w:sz="8" w:color="auto"/>
              <w:right w:val="single" w:sz="8" w:color="auto"/>
            </w:tcBorders>
            <w:vMerge w:val="continue"/>
            <w:shd w:val="clear" w:color="auto" w:fill="E2EFD9"/>
          </w:tcPr>
          <w:p>
            <w:pPr>
              <w:spacing w:after="0"/>
              <w:rPr>
                <w:sz w:val="6"/>
                <w:szCs w:val="6"/>
                <w:color w:val="auto"/>
              </w:rPr>
            </w:pPr>
          </w:p>
        </w:tc>
        <w:tc>
          <w:tcPr>
            <w:tcW w:w="1400" w:type="dxa"/>
            <w:vAlign w:val="bottom"/>
            <w:tcBorders>
              <w:bottom w:val="single" w:sz="8" w:color="auto"/>
              <w:right w:val="single" w:sz="8" w:color="auto"/>
            </w:tcBorders>
            <w:shd w:val="clear" w:color="auto" w:fill="E2EFD9"/>
          </w:tcPr>
          <w:p>
            <w:pPr>
              <w:spacing w:after="0"/>
              <w:rPr>
                <w:sz w:val="6"/>
                <w:szCs w:val="6"/>
                <w:color w:val="auto"/>
              </w:rPr>
            </w:pPr>
          </w:p>
        </w:tc>
        <w:tc>
          <w:tcPr>
            <w:tcW w:w="1040" w:type="dxa"/>
            <w:vAlign w:val="bottom"/>
            <w:tcBorders>
              <w:bottom w:val="single" w:sz="8" w:color="auto"/>
              <w:right w:val="single" w:sz="8" w:color="auto"/>
            </w:tcBorders>
            <w:shd w:val="clear" w:color="auto" w:fill="E2EFD9"/>
          </w:tcPr>
          <w:p>
            <w:pPr>
              <w:spacing w:after="0"/>
              <w:rPr>
                <w:sz w:val="6"/>
                <w:szCs w:val="6"/>
                <w:color w:val="auto"/>
              </w:rPr>
            </w:pPr>
          </w:p>
        </w:tc>
        <w:tc>
          <w:tcPr>
            <w:tcW w:w="3020" w:type="dxa"/>
            <w:vAlign w:val="bottom"/>
            <w:tcBorders>
              <w:bottom w:val="single" w:sz="8" w:color="auto"/>
              <w:right w:val="single" w:sz="8" w:color="auto"/>
            </w:tcBorders>
            <w:shd w:val="clear" w:color="auto" w:fill="E2EFD9"/>
          </w:tcPr>
          <w:p>
            <w:pPr>
              <w:spacing w:after="0"/>
              <w:rPr>
                <w:sz w:val="6"/>
                <w:szCs w:val="6"/>
                <w:color w:val="auto"/>
              </w:rPr>
            </w:pPr>
          </w:p>
        </w:tc>
        <w:tc>
          <w:tcPr>
            <w:tcW w:w="600" w:type="dxa"/>
            <w:vAlign w:val="bottom"/>
            <w:tcBorders>
              <w:bottom w:val="single" w:sz="8" w:color="auto"/>
              <w:right w:val="single" w:sz="8" w:color="auto"/>
            </w:tcBorders>
            <w:shd w:val="clear" w:color="auto" w:fill="E2EFD9"/>
          </w:tcPr>
          <w:p>
            <w:pPr>
              <w:spacing w:after="0"/>
              <w:rPr>
                <w:sz w:val="6"/>
                <w:szCs w:val="6"/>
                <w:color w:val="auto"/>
              </w:rPr>
            </w:pPr>
          </w:p>
        </w:tc>
        <w:tc>
          <w:tcPr>
            <w:tcW w:w="800" w:type="dxa"/>
            <w:vAlign w:val="bottom"/>
            <w:tcBorders>
              <w:bottom w:val="single" w:sz="8" w:color="auto"/>
              <w:right w:val="single" w:sz="8" w:color="auto"/>
            </w:tcBorders>
            <w:shd w:val="clear" w:color="auto" w:fill="E2EFD9"/>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ind w:left="60"/>
              <w:spacing w:after="0" w:line="164" w:lineRule="exact"/>
              <w:rPr>
                <w:sz w:val="20"/>
                <w:szCs w:val="20"/>
                <w:color w:val="auto"/>
              </w:rPr>
            </w:pPr>
            <w:r>
              <w:rPr>
                <w:rFonts w:ascii="Arial" w:cs="Arial" w:eastAsia="Arial" w:hAnsi="Arial"/>
                <w:sz w:val="15"/>
                <w:szCs w:val="15"/>
                <w:color w:val="auto"/>
              </w:rPr>
              <w:t>citizens</w:t>
            </w: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MIBANCO</w:t>
            </w:r>
          </w:p>
        </w:tc>
        <w:tc>
          <w:tcPr>
            <w:tcW w:w="3020" w:type="dxa"/>
            <w:vAlign w:val="bottom"/>
            <w:tcBorders>
              <w:right w:val="single" w:sz="8" w:color="auto"/>
            </w:tcBorders>
            <w:shd w:val="clear" w:color="auto" w:fill="E2EFD9"/>
          </w:tcPr>
          <w:p>
            <w:pPr>
              <w:spacing w:after="0"/>
              <w:rPr>
                <w:sz w:val="14"/>
                <w:szCs w:val="14"/>
                <w:color w:val="auto"/>
              </w:rPr>
            </w:pP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E2EFD9"/>
          </w:tcPr>
          <w:p>
            <w:pPr>
              <w:spacing w:after="0"/>
              <w:rPr>
                <w:sz w:val="7"/>
                <w:szCs w:val="7"/>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continue"/>
            <w:shd w:val="clear" w:color="auto" w:fill="E2EFD9"/>
          </w:tcPr>
          <w:p>
            <w:pPr>
              <w:spacing w:after="0"/>
              <w:rPr>
                <w:sz w:val="7"/>
                <w:szCs w:val="7"/>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Scope of financial education programs</w:t>
            </w:r>
          </w:p>
        </w:tc>
        <w:tc>
          <w:tcPr>
            <w:tcW w:w="600" w:type="dxa"/>
            <w:vAlign w:val="bottom"/>
            <w:tcBorders>
              <w:right w:val="single" w:sz="8" w:color="auto"/>
            </w:tcBorders>
            <w:vMerge w:val="continue"/>
            <w:shd w:val="clear" w:color="auto" w:fill="E2EFD9"/>
          </w:tcPr>
          <w:p>
            <w:pPr>
              <w:spacing w:after="0"/>
              <w:rPr>
                <w:sz w:val="7"/>
                <w:szCs w:val="7"/>
                <w:color w:val="auto"/>
              </w:rPr>
            </w:pP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251,153</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PERU</w:t>
            </w: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people</w:t>
            </w: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shd w:val="clear" w:color="auto" w:fill="E2EFD9"/>
          </w:tcPr>
          <w:p>
            <w:pPr>
              <w:spacing w:after="0"/>
              <w:rPr>
                <w:sz w:val="8"/>
                <w:szCs w:val="8"/>
                <w:color w:val="auto"/>
              </w:rPr>
            </w:pP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E2EFD9"/>
              <w:right w:val="single" w:sz="8" w:color="auto"/>
            </w:tcBorders>
            <w:shd w:val="clear" w:color="auto" w:fill="E2EFD9"/>
          </w:tcPr>
          <w:p>
            <w:pPr>
              <w:spacing w:after="0"/>
              <w:rPr>
                <w:sz w:val="7"/>
                <w:szCs w:val="7"/>
                <w:color w:val="auto"/>
              </w:rPr>
            </w:pPr>
          </w:p>
        </w:tc>
        <w:tc>
          <w:tcPr>
            <w:tcW w:w="304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1400" w:type="dxa"/>
            <w:vAlign w:val="bottom"/>
            <w:tcBorders>
              <w:bottom w:val="single" w:sz="8" w:color="auto"/>
              <w:right w:val="single" w:sz="8" w:color="auto"/>
            </w:tcBorders>
            <w:shd w:val="clear" w:color="auto" w:fill="E2EFD9"/>
          </w:tcPr>
          <w:p>
            <w:pPr>
              <w:spacing w:after="0"/>
              <w:rPr>
                <w:sz w:val="7"/>
                <w:szCs w:val="7"/>
                <w:color w:val="auto"/>
              </w:rPr>
            </w:pPr>
          </w:p>
        </w:tc>
        <w:tc>
          <w:tcPr>
            <w:tcW w:w="1040" w:type="dxa"/>
            <w:vAlign w:val="bottom"/>
            <w:tcBorders>
              <w:bottom w:val="single" w:sz="8" w:color="auto"/>
              <w:right w:val="single" w:sz="8" w:color="auto"/>
            </w:tcBorders>
            <w:shd w:val="clear" w:color="auto" w:fill="E2EFD9"/>
          </w:tcPr>
          <w:p>
            <w:pPr>
              <w:spacing w:after="0"/>
              <w:rPr>
                <w:sz w:val="7"/>
                <w:szCs w:val="7"/>
                <w:color w:val="auto"/>
              </w:rPr>
            </w:pPr>
          </w:p>
        </w:tc>
        <w:tc>
          <w:tcPr>
            <w:tcW w:w="3020" w:type="dxa"/>
            <w:vAlign w:val="bottom"/>
            <w:tcBorders>
              <w:bottom w:val="single" w:sz="8" w:color="auto"/>
              <w:right w:val="single" w:sz="8" w:color="auto"/>
            </w:tcBorders>
            <w:shd w:val="clear" w:color="auto" w:fill="E2EFD9"/>
          </w:tcPr>
          <w:p>
            <w:pPr>
              <w:spacing w:after="0"/>
              <w:rPr>
                <w:sz w:val="7"/>
                <w:szCs w:val="7"/>
                <w:color w:val="auto"/>
              </w:rPr>
            </w:pPr>
          </w:p>
        </w:tc>
        <w:tc>
          <w:tcPr>
            <w:tcW w:w="600" w:type="dxa"/>
            <w:vAlign w:val="bottom"/>
            <w:tcBorders>
              <w:bottom w:val="single" w:sz="8" w:color="auto"/>
              <w:right w:val="single" w:sz="8" w:color="auto"/>
            </w:tcBorders>
            <w:shd w:val="clear" w:color="auto" w:fill="E2EFD9"/>
          </w:tcPr>
          <w:p>
            <w:pPr>
              <w:spacing w:after="0"/>
              <w:rPr>
                <w:sz w:val="7"/>
                <w:szCs w:val="7"/>
                <w:color w:val="auto"/>
              </w:rPr>
            </w:pPr>
          </w:p>
        </w:tc>
        <w:tc>
          <w:tcPr>
            <w:tcW w:w="800" w:type="dxa"/>
            <w:vAlign w:val="bottom"/>
            <w:tcBorders>
              <w:bottom w:val="single" w:sz="8" w:color="auto"/>
              <w:right w:val="single" w:sz="8" w:color="auto"/>
            </w:tcBorders>
            <w:shd w:val="clear" w:color="auto" w:fill="E2EF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spacing w:after="0"/>
              <w:rPr>
                <w:sz w:val="14"/>
                <w:szCs w:val="14"/>
                <w:color w:val="auto"/>
              </w:rPr>
            </w:pP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PACIFICO</w:t>
            </w:r>
          </w:p>
        </w:tc>
        <w:tc>
          <w:tcPr>
            <w:tcW w:w="3020" w:type="dxa"/>
            <w:vAlign w:val="bottom"/>
            <w:tcBorders>
              <w:right w:val="single" w:sz="8" w:color="auto"/>
            </w:tcBorders>
            <w:shd w:val="clear" w:color="auto" w:fill="E2EFD9"/>
          </w:tcPr>
          <w:p>
            <w:pPr>
              <w:ind w:left="60"/>
              <w:spacing w:after="0" w:line="164" w:lineRule="exact"/>
              <w:rPr>
                <w:sz w:val="20"/>
                <w:szCs w:val="20"/>
                <w:color w:val="auto"/>
              </w:rPr>
            </w:pPr>
            <w:r>
              <w:rPr>
                <w:rFonts w:ascii="Arial" w:cs="Arial" w:eastAsia="Arial" w:hAnsi="Arial"/>
                <w:sz w:val="15"/>
                <w:szCs w:val="15"/>
                <w:color w:val="auto"/>
              </w:rPr>
              <w:t>Scope of the financial education program</w:t>
            </w:r>
          </w:p>
        </w:tc>
        <w:tc>
          <w:tcPr>
            <w:tcW w:w="600" w:type="dxa"/>
            <w:vAlign w:val="bottom"/>
            <w:tcBorders>
              <w:right w:val="single" w:sz="8" w:color="auto"/>
            </w:tcBorders>
            <w:shd w:val="clear" w:color="auto" w:fill="E2EFD9"/>
          </w:tcPr>
          <w:p>
            <w:pPr>
              <w:spacing w:after="0"/>
              <w:rPr>
                <w:sz w:val="14"/>
                <w:szCs w:val="14"/>
                <w:color w:val="auto"/>
              </w:rPr>
            </w:pP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E2EFD9"/>
          </w:tcPr>
          <w:p>
            <w:pPr>
              <w:spacing w:after="0"/>
              <w:rPr>
                <w:sz w:val="7"/>
                <w:szCs w:val="7"/>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continue"/>
            <w:shd w:val="clear" w:color="auto" w:fill="E2EFD9"/>
          </w:tcPr>
          <w:p>
            <w:pPr>
              <w:spacing w:after="0"/>
              <w:rPr>
                <w:sz w:val="7"/>
                <w:szCs w:val="7"/>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ABC of Insurance: People that read the</w:t>
            </w: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602,638</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SEGUROS</w:t>
            </w: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ABC blog</w:t>
            </w:r>
          </w:p>
        </w:tc>
        <w:tc>
          <w:tcPr>
            <w:tcW w:w="600" w:type="dxa"/>
            <w:vAlign w:val="bottom"/>
            <w:tcBorders>
              <w:right w:val="single" w:sz="8" w:color="auto"/>
            </w:tcBorders>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E2EFD9"/>
              <w:right w:val="single" w:sz="8" w:color="auto"/>
            </w:tcBorders>
            <w:shd w:val="clear" w:color="auto" w:fill="E2EFD9"/>
          </w:tcPr>
          <w:p>
            <w:pPr>
              <w:spacing w:after="0"/>
              <w:rPr>
                <w:sz w:val="7"/>
                <w:szCs w:val="7"/>
                <w:color w:val="auto"/>
              </w:rPr>
            </w:pPr>
          </w:p>
        </w:tc>
        <w:tc>
          <w:tcPr>
            <w:tcW w:w="304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1400" w:type="dxa"/>
            <w:vAlign w:val="bottom"/>
            <w:tcBorders>
              <w:bottom w:val="single" w:sz="8" w:color="auto"/>
              <w:right w:val="single" w:sz="8" w:color="auto"/>
            </w:tcBorders>
            <w:shd w:val="clear" w:color="auto" w:fill="E2EFD9"/>
          </w:tcPr>
          <w:p>
            <w:pPr>
              <w:spacing w:after="0"/>
              <w:rPr>
                <w:sz w:val="7"/>
                <w:szCs w:val="7"/>
                <w:color w:val="auto"/>
              </w:rPr>
            </w:pPr>
          </w:p>
        </w:tc>
        <w:tc>
          <w:tcPr>
            <w:tcW w:w="1040" w:type="dxa"/>
            <w:vAlign w:val="bottom"/>
            <w:tcBorders>
              <w:bottom w:val="single" w:sz="8" w:color="auto"/>
              <w:right w:val="single" w:sz="8" w:color="auto"/>
            </w:tcBorders>
            <w:shd w:val="clear" w:color="auto" w:fill="E2EFD9"/>
          </w:tcPr>
          <w:p>
            <w:pPr>
              <w:spacing w:after="0"/>
              <w:rPr>
                <w:sz w:val="7"/>
                <w:szCs w:val="7"/>
                <w:color w:val="auto"/>
              </w:rPr>
            </w:pPr>
          </w:p>
        </w:tc>
        <w:tc>
          <w:tcPr>
            <w:tcW w:w="302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600" w:type="dxa"/>
            <w:vAlign w:val="bottom"/>
            <w:tcBorders>
              <w:bottom w:val="single" w:sz="8" w:color="auto"/>
              <w:right w:val="single" w:sz="8" w:color="auto"/>
            </w:tcBorders>
            <w:shd w:val="clear" w:color="auto" w:fill="E2EFD9"/>
          </w:tcPr>
          <w:p>
            <w:pPr>
              <w:spacing w:after="0"/>
              <w:rPr>
                <w:sz w:val="7"/>
                <w:szCs w:val="7"/>
                <w:color w:val="auto"/>
              </w:rPr>
            </w:pPr>
          </w:p>
        </w:tc>
        <w:tc>
          <w:tcPr>
            <w:tcW w:w="800" w:type="dxa"/>
            <w:vAlign w:val="bottom"/>
            <w:tcBorders>
              <w:bottom w:val="single" w:sz="8" w:color="auto"/>
              <w:right w:val="single" w:sz="8" w:color="auto"/>
            </w:tcBorders>
            <w:shd w:val="clear" w:color="auto" w:fill="E2EF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spacing w:after="0"/>
              <w:rPr>
                <w:sz w:val="14"/>
                <w:szCs w:val="14"/>
                <w:color w:val="auto"/>
              </w:rPr>
            </w:pP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PACIFICO</w:t>
            </w: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People educated about risk prevention</w:t>
            </w:r>
          </w:p>
        </w:tc>
        <w:tc>
          <w:tcPr>
            <w:tcW w:w="600" w:type="dxa"/>
            <w:vAlign w:val="bottom"/>
            <w:tcBorders>
              <w:right w:val="single" w:sz="8" w:color="auto"/>
            </w:tcBorders>
            <w:shd w:val="clear" w:color="auto" w:fill="E2EFD9"/>
          </w:tcPr>
          <w:p>
            <w:pPr>
              <w:spacing w:after="0"/>
              <w:rPr>
                <w:sz w:val="14"/>
                <w:szCs w:val="14"/>
                <w:color w:val="auto"/>
              </w:rPr>
            </w:pP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E2EFD9"/>
          </w:tcPr>
          <w:p>
            <w:pPr>
              <w:spacing w:after="0"/>
              <w:rPr>
                <w:sz w:val="7"/>
                <w:szCs w:val="7"/>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continue"/>
            <w:shd w:val="clear" w:color="auto" w:fill="E2EFD9"/>
          </w:tcPr>
          <w:p>
            <w:pPr>
              <w:spacing w:after="0"/>
              <w:rPr>
                <w:sz w:val="7"/>
                <w:szCs w:val="7"/>
                <w:color w:val="auto"/>
              </w:rPr>
            </w:pPr>
          </w:p>
        </w:tc>
        <w:tc>
          <w:tcPr>
            <w:tcW w:w="3020" w:type="dxa"/>
            <w:vAlign w:val="bottom"/>
            <w:tcBorders>
              <w:right w:val="single" w:sz="8" w:color="auto"/>
            </w:tcBorders>
            <w:vMerge w:val="continue"/>
            <w:shd w:val="clear" w:color="auto" w:fill="E2EFD9"/>
          </w:tcPr>
          <w:p>
            <w:pPr>
              <w:spacing w:after="0"/>
              <w:rPr>
                <w:sz w:val="7"/>
                <w:szCs w:val="7"/>
                <w:color w:val="auto"/>
              </w:rPr>
            </w:pP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11,117</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SEGUROS</w:t>
            </w: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(Comunidad Segura)</w:t>
            </w: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E2EFD9"/>
              <w:right w:val="single" w:sz="8" w:color="auto"/>
            </w:tcBorders>
            <w:shd w:val="clear" w:color="auto" w:fill="E2EFD9"/>
          </w:tcPr>
          <w:p>
            <w:pPr>
              <w:spacing w:after="0"/>
              <w:rPr>
                <w:sz w:val="7"/>
                <w:szCs w:val="7"/>
                <w:color w:val="auto"/>
              </w:rPr>
            </w:pPr>
          </w:p>
        </w:tc>
        <w:tc>
          <w:tcPr>
            <w:tcW w:w="304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1400" w:type="dxa"/>
            <w:vAlign w:val="bottom"/>
            <w:tcBorders>
              <w:bottom w:val="single" w:sz="8" w:color="auto"/>
              <w:right w:val="single" w:sz="8" w:color="auto"/>
            </w:tcBorders>
            <w:shd w:val="clear" w:color="auto" w:fill="E2EFD9"/>
          </w:tcPr>
          <w:p>
            <w:pPr>
              <w:spacing w:after="0"/>
              <w:rPr>
                <w:sz w:val="7"/>
                <w:szCs w:val="7"/>
                <w:color w:val="auto"/>
              </w:rPr>
            </w:pPr>
          </w:p>
        </w:tc>
        <w:tc>
          <w:tcPr>
            <w:tcW w:w="1040" w:type="dxa"/>
            <w:vAlign w:val="bottom"/>
            <w:tcBorders>
              <w:bottom w:val="single" w:sz="8" w:color="auto"/>
              <w:right w:val="single" w:sz="8" w:color="auto"/>
            </w:tcBorders>
            <w:shd w:val="clear" w:color="auto" w:fill="E2EFD9"/>
          </w:tcPr>
          <w:p>
            <w:pPr>
              <w:spacing w:after="0"/>
              <w:rPr>
                <w:sz w:val="7"/>
                <w:szCs w:val="7"/>
                <w:color w:val="auto"/>
              </w:rPr>
            </w:pPr>
          </w:p>
        </w:tc>
        <w:tc>
          <w:tcPr>
            <w:tcW w:w="3020" w:type="dxa"/>
            <w:vAlign w:val="bottom"/>
            <w:tcBorders>
              <w:bottom w:val="single" w:sz="8" w:color="auto"/>
              <w:right w:val="single" w:sz="8" w:color="auto"/>
            </w:tcBorders>
            <w:shd w:val="clear" w:color="auto" w:fill="E2EFD9"/>
          </w:tcPr>
          <w:p>
            <w:pPr>
              <w:spacing w:after="0"/>
              <w:rPr>
                <w:sz w:val="7"/>
                <w:szCs w:val="7"/>
                <w:color w:val="auto"/>
              </w:rPr>
            </w:pPr>
          </w:p>
        </w:tc>
        <w:tc>
          <w:tcPr>
            <w:tcW w:w="600" w:type="dxa"/>
            <w:vAlign w:val="bottom"/>
            <w:tcBorders>
              <w:bottom w:val="single" w:sz="8" w:color="auto"/>
              <w:right w:val="single" w:sz="8" w:color="auto"/>
            </w:tcBorders>
            <w:shd w:val="clear" w:color="auto" w:fill="E2EFD9"/>
          </w:tcPr>
          <w:p>
            <w:pPr>
              <w:spacing w:after="0"/>
              <w:rPr>
                <w:sz w:val="7"/>
                <w:szCs w:val="7"/>
                <w:color w:val="auto"/>
              </w:rPr>
            </w:pPr>
          </w:p>
        </w:tc>
        <w:tc>
          <w:tcPr>
            <w:tcW w:w="800" w:type="dxa"/>
            <w:vAlign w:val="bottom"/>
            <w:tcBorders>
              <w:bottom w:val="single" w:sz="8" w:color="auto"/>
              <w:right w:val="single" w:sz="8" w:color="auto"/>
            </w:tcBorders>
            <w:shd w:val="clear" w:color="auto" w:fill="E2EF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shd w:val="clear" w:color="auto" w:fill="E2EFD9"/>
          </w:tcPr>
          <w:p>
            <w:pPr>
              <w:spacing w:after="0"/>
              <w:rPr>
                <w:sz w:val="14"/>
                <w:szCs w:val="14"/>
                <w:color w:val="auto"/>
              </w:rPr>
            </w:pPr>
          </w:p>
        </w:tc>
        <w:tc>
          <w:tcPr>
            <w:tcW w:w="3040" w:type="dxa"/>
            <w:vAlign w:val="bottom"/>
            <w:tcBorders>
              <w:right w:val="single" w:sz="8" w:color="auto"/>
            </w:tcBorders>
            <w:shd w:val="clear" w:color="auto" w:fill="E2EFD9"/>
          </w:tcPr>
          <w:p>
            <w:pPr>
              <w:ind w:left="40"/>
              <w:spacing w:after="0" w:line="164" w:lineRule="exact"/>
              <w:rPr>
                <w:sz w:val="20"/>
                <w:szCs w:val="20"/>
                <w:color w:val="auto"/>
              </w:rPr>
            </w:pPr>
            <w:r>
              <w:rPr>
                <w:rFonts w:ascii="Arial" w:cs="Arial" w:eastAsia="Arial" w:hAnsi="Arial"/>
                <w:sz w:val="15"/>
                <w:szCs w:val="15"/>
                <w:color w:val="auto"/>
              </w:rPr>
              <w:t>Help people improve their financial skills</w:t>
            </w: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Financial</w:t>
            </w:r>
          </w:p>
        </w:tc>
        <w:tc>
          <w:tcPr>
            <w:tcW w:w="1040" w:type="dxa"/>
            <w:vAlign w:val="bottom"/>
            <w:tcBorders>
              <w:right w:val="single" w:sz="8" w:color="auto"/>
            </w:tcBorders>
            <w:shd w:val="clear" w:color="auto" w:fill="E2EFD9"/>
          </w:tcPr>
          <w:p>
            <w:pPr>
              <w:spacing w:after="0"/>
              <w:rPr>
                <w:sz w:val="14"/>
                <w:szCs w:val="14"/>
                <w:color w:val="auto"/>
              </w:rPr>
            </w:pPr>
          </w:p>
        </w:tc>
        <w:tc>
          <w:tcPr>
            <w:tcW w:w="3020" w:type="dxa"/>
            <w:vAlign w:val="bottom"/>
            <w:tcBorders>
              <w:right w:val="single" w:sz="8" w:color="auto"/>
            </w:tcBorders>
            <w:shd w:val="clear" w:color="auto" w:fill="E2EFD9"/>
          </w:tcPr>
          <w:p>
            <w:pPr>
              <w:ind w:left="60"/>
              <w:spacing w:after="0" w:line="164" w:lineRule="exact"/>
              <w:rPr>
                <w:sz w:val="20"/>
                <w:szCs w:val="20"/>
                <w:color w:val="auto"/>
              </w:rPr>
            </w:pPr>
            <w:r>
              <w:rPr>
                <w:rFonts w:ascii="Arial" w:cs="Arial" w:eastAsia="Arial" w:hAnsi="Arial"/>
                <w:sz w:val="15"/>
                <w:szCs w:val="15"/>
                <w:color w:val="auto"/>
              </w:rPr>
              <w:t>Scope of the ABC program for the</w:t>
            </w: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shd w:val="clear" w:color="auto" w:fill="E2EF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shd w:val="clear" w:color="auto" w:fill="E2EFD9"/>
          </w:tcPr>
          <w:p>
            <w:pPr>
              <w:spacing w:after="0"/>
              <w:rPr>
                <w:sz w:val="7"/>
                <w:szCs w:val="7"/>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and knowledge so they can make better</w:t>
            </w:r>
          </w:p>
        </w:tc>
        <w:tc>
          <w:tcPr>
            <w:tcW w:w="1400" w:type="dxa"/>
            <w:vAlign w:val="bottom"/>
            <w:tcBorders>
              <w:right w:val="single" w:sz="8" w:color="auto"/>
            </w:tcBorders>
            <w:vMerge w:val="continue"/>
            <w:shd w:val="clear" w:color="auto" w:fill="E2EFD9"/>
          </w:tcPr>
          <w:p>
            <w:pPr>
              <w:spacing w:after="0"/>
              <w:rPr>
                <w:sz w:val="7"/>
                <w:szCs w:val="7"/>
                <w:color w:val="auto"/>
              </w:rPr>
            </w:pPr>
          </w:p>
        </w:tc>
        <w:tc>
          <w:tcPr>
            <w:tcW w:w="1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PRIMA AFP</w:t>
            </w: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Pensions Savings Culture (ABC de la</w:t>
            </w:r>
          </w:p>
        </w:tc>
        <w:tc>
          <w:tcPr>
            <w:tcW w:w="600" w:type="dxa"/>
            <w:vAlign w:val="bottom"/>
            <w:tcBorders>
              <w:right w:val="single" w:sz="8" w:color="auto"/>
            </w:tcBorders>
            <w:vMerge w:val="continue"/>
            <w:shd w:val="clear" w:color="auto" w:fill="E2EFD9"/>
          </w:tcPr>
          <w:p>
            <w:pPr>
              <w:spacing w:after="0"/>
              <w:rPr>
                <w:sz w:val="7"/>
                <w:szCs w:val="7"/>
                <w:color w:val="auto"/>
              </w:rPr>
            </w:pPr>
          </w:p>
        </w:tc>
        <w:tc>
          <w:tcPr>
            <w:tcW w:w="8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61,026</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continue"/>
            <w:shd w:val="clear" w:color="auto" w:fill="E2EFD9"/>
          </w:tcPr>
          <w:p>
            <w:pPr>
              <w:spacing w:after="0"/>
              <w:rPr>
                <w:sz w:val="8"/>
                <w:szCs w:val="8"/>
                <w:color w:val="auto"/>
              </w:rPr>
            </w:pPr>
          </w:p>
        </w:tc>
        <w:tc>
          <w:tcPr>
            <w:tcW w:w="140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education</w:t>
            </w:r>
          </w:p>
        </w:tc>
        <w:tc>
          <w:tcPr>
            <w:tcW w:w="1040" w:type="dxa"/>
            <w:vAlign w:val="bottom"/>
            <w:tcBorders>
              <w:right w:val="single" w:sz="8" w:color="auto"/>
            </w:tcBorders>
            <w:vMerge w:val="continue"/>
            <w:shd w:val="clear" w:color="auto" w:fill="E2EFD9"/>
          </w:tcPr>
          <w:p>
            <w:pPr>
              <w:spacing w:after="0"/>
              <w:rPr>
                <w:sz w:val="8"/>
                <w:szCs w:val="8"/>
                <w:color w:val="auto"/>
              </w:rPr>
            </w:pPr>
          </w:p>
        </w:tc>
        <w:tc>
          <w:tcPr>
            <w:tcW w:w="3020" w:type="dxa"/>
            <w:vAlign w:val="bottom"/>
            <w:tcBorders>
              <w:right w:val="single" w:sz="8" w:color="auto"/>
            </w:tcBorders>
            <w:vMerge w:val="continue"/>
            <w:shd w:val="clear" w:color="auto" w:fill="E2EFD9"/>
          </w:tcPr>
          <w:p>
            <w:pPr>
              <w:spacing w:after="0"/>
              <w:rPr>
                <w:sz w:val="8"/>
                <w:szCs w:val="8"/>
                <w:color w:val="auto"/>
              </w:rPr>
            </w:pPr>
          </w:p>
        </w:tc>
        <w:tc>
          <w:tcPr>
            <w:tcW w:w="600" w:type="dxa"/>
            <w:vAlign w:val="bottom"/>
            <w:tcBorders>
              <w:right w:val="single" w:sz="8" w:color="auto"/>
            </w:tcBorders>
            <w:vMerge w:val="restart"/>
            <w:shd w:val="clear" w:color="auto" w:fill="E2EFD9"/>
          </w:tcPr>
          <w:p>
            <w:pPr>
              <w:jc w:val="center"/>
              <w:spacing w:after="0"/>
              <w:rPr>
                <w:sz w:val="20"/>
                <w:szCs w:val="20"/>
                <w:color w:val="auto"/>
              </w:rPr>
            </w:pPr>
            <w:r>
              <w:rPr>
                <w:rFonts w:ascii="Arial" w:cs="Arial" w:eastAsia="Arial" w:hAnsi="Arial"/>
                <w:sz w:val="15"/>
                <w:szCs w:val="15"/>
                <w:color w:val="auto"/>
              </w:rPr>
              <w:t>people</w:t>
            </w:r>
          </w:p>
        </w:tc>
        <w:tc>
          <w:tcPr>
            <w:tcW w:w="800" w:type="dxa"/>
            <w:vAlign w:val="bottom"/>
            <w:tcBorders>
              <w:right w:val="single" w:sz="8" w:color="auto"/>
            </w:tcBorders>
            <w:vMerge w:val="continue"/>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shd w:val="clear" w:color="auto" w:fill="E2EFD9"/>
          </w:tcPr>
          <w:p>
            <w:pPr>
              <w:spacing w:after="0"/>
              <w:rPr>
                <w:sz w:val="8"/>
                <w:szCs w:val="8"/>
                <w:color w:val="auto"/>
              </w:rPr>
            </w:pPr>
          </w:p>
        </w:tc>
        <w:tc>
          <w:tcPr>
            <w:tcW w:w="3040" w:type="dxa"/>
            <w:vAlign w:val="bottom"/>
            <w:tcBorders>
              <w:right w:val="single" w:sz="8" w:color="auto"/>
            </w:tcBorders>
            <w:vMerge w:val="restart"/>
            <w:shd w:val="clear" w:color="auto" w:fill="E2EFD9"/>
          </w:tcPr>
          <w:p>
            <w:pPr>
              <w:ind w:left="40"/>
              <w:spacing w:after="0"/>
              <w:rPr>
                <w:sz w:val="20"/>
                <w:szCs w:val="20"/>
                <w:color w:val="auto"/>
              </w:rPr>
            </w:pPr>
            <w:r>
              <w:rPr>
                <w:rFonts w:ascii="Arial" w:cs="Arial" w:eastAsia="Arial" w:hAnsi="Arial"/>
                <w:sz w:val="15"/>
                <w:szCs w:val="15"/>
                <w:color w:val="auto"/>
              </w:rPr>
              <w:t>decisions</w:t>
            </w:r>
          </w:p>
        </w:tc>
        <w:tc>
          <w:tcPr>
            <w:tcW w:w="1400" w:type="dxa"/>
            <w:vAlign w:val="bottom"/>
            <w:tcBorders>
              <w:right w:val="single" w:sz="8" w:color="auto"/>
            </w:tcBorders>
            <w:vMerge w:val="continue"/>
            <w:shd w:val="clear" w:color="auto" w:fill="E2EFD9"/>
          </w:tcPr>
          <w:p>
            <w:pPr>
              <w:spacing w:after="0"/>
              <w:rPr>
                <w:sz w:val="8"/>
                <w:szCs w:val="8"/>
                <w:color w:val="auto"/>
              </w:rPr>
            </w:pPr>
          </w:p>
        </w:tc>
        <w:tc>
          <w:tcPr>
            <w:tcW w:w="1040" w:type="dxa"/>
            <w:vAlign w:val="bottom"/>
            <w:tcBorders>
              <w:right w:val="single" w:sz="8" w:color="auto"/>
            </w:tcBorders>
            <w:shd w:val="clear" w:color="auto" w:fill="E2EFD9"/>
          </w:tcPr>
          <w:p>
            <w:pPr>
              <w:spacing w:after="0"/>
              <w:rPr>
                <w:sz w:val="8"/>
                <w:szCs w:val="8"/>
                <w:color w:val="auto"/>
              </w:rPr>
            </w:pPr>
          </w:p>
        </w:tc>
        <w:tc>
          <w:tcPr>
            <w:tcW w:w="3020" w:type="dxa"/>
            <w:vAlign w:val="bottom"/>
            <w:tcBorders>
              <w:right w:val="single" w:sz="8" w:color="auto"/>
            </w:tcBorders>
            <w:vMerge w:val="restart"/>
            <w:shd w:val="clear" w:color="auto" w:fill="E2EFD9"/>
          </w:tcPr>
          <w:p>
            <w:pPr>
              <w:ind w:left="60"/>
              <w:spacing w:after="0"/>
              <w:rPr>
                <w:sz w:val="20"/>
                <w:szCs w:val="20"/>
                <w:color w:val="auto"/>
              </w:rPr>
            </w:pPr>
            <w:r>
              <w:rPr>
                <w:rFonts w:ascii="Arial" w:cs="Arial" w:eastAsia="Arial" w:hAnsi="Arial"/>
                <w:sz w:val="15"/>
                <w:szCs w:val="15"/>
                <w:color w:val="auto"/>
              </w:rPr>
              <w:t>Cultura previsional)</w:t>
            </w:r>
          </w:p>
        </w:tc>
        <w:tc>
          <w:tcPr>
            <w:tcW w:w="600" w:type="dxa"/>
            <w:vAlign w:val="bottom"/>
            <w:tcBorders>
              <w:right w:val="single" w:sz="8" w:color="auto"/>
            </w:tcBorders>
            <w:vMerge w:val="continue"/>
            <w:shd w:val="clear" w:color="auto" w:fill="E2EFD9"/>
          </w:tcPr>
          <w:p>
            <w:pPr>
              <w:spacing w:after="0"/>
              <w:rPr>
                <w:sz w:val="8"/>
                <w:szCs w:val="8"/>
                <w:color w:val="auto"/>
              </w:rPr>
            </w:pPr>
          </w:p>
        </w:tc>
        <w:tc>
          <w:tcPr>
            <w:tcW w:w="800" w:type="dxa"/>
            <w:vAlign w:val="bottom"/>
            <w:tcBorders>
              <w:right w:val="single" w:sz="8" w:color="auto"/>
            </w:tcBorders>
            <w:shd w:val="clear" w:color="auto" w:fill="E2EF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auto"/>
              <w:right w:val="single" w:sz="8" w:color="auto"/>
            </w:tcBorders>
            <w:shd w:val="clear" w:color="auto" w:fill="E2EFD9"/>
          </w:tcPr>
          <w:p>
            <w:pPr>
              <w:spacing w:after="0"/>
              <w:rPr>
                <w:sz w:val="7"/>
                <w:szCs w:val="7"/>
                <w:color w:val="auto"/>
              </w:rPr>
            </w:pPr>
          </w:p>
        </w:tc>
        <w:tc>
          <w:tcPr>
            <w:tcW w:w="304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1400" w:type="dxa"/>
            <w:vAlign w:val="bottom"/>
            <w:tcBorders>
              <w:bottom w:val="single" w:sz="8" w:color="auto"/>
              <w:right w:val="single" w:sz="8" w:color="auto"/>
            </w:tcBorders>
            <w:shd w:val="clear" w:color="auto" w:fill="E2EFD9"/>
          </w:tcPr>
          <w:p>
            <w:pPr>
              <w:spacing w:after="0"/>
              <w:rPr>
                <w:sz w:val="7"/>
                <w:szCs w:val="7"/>
                <w:color w:val="auto"/>
              </w:rPr>
            </w:pPr>
          </w:p>
        </w:tc>
        <w:tc>
          <w:tcPr>
            <w:tcW w:w="1040" w:type="dxa"/>
            <w:vAlign w:val="bottom"/>
            <w:tcBorders>
              <w:bottom w:val="single" w:sz="8" w:color="auto"/>
              <w:right w:val="single" w:sz="8" w:color="auto"/>
            </w:tcBorders>
            <w:shd w:val="clear" w:color="auto" w:fill="E2EFD9"/>
          </w:tcPr>
          <w:p>
            <w:pPr>
              <w:spacing w:after="0"/>
              <w:rPr>
                <w:sz w:val="7"/>
                <w:szCs w:val="7"/>
                <w:color w:val="auto"/>
              </w:rPr>
            </w:pPr>
          </w:p>
        </w:tc>
        <w:tc>
          <w:tcPr>
            <w:tcW w:w="3020" w:type="dxa"/>
            <w:vAlign w:val="bottom"/>
            <w:tcBorders>
              <w:bottom w:val="single" w:sz="8" w:color="auto"/>
              <w:right w:val="single" w:sz="8" w:color="auto"/>
            </w:tcBorders>
            <w:vMerge w:val="continue"/>
            <w:shd w:val="clear" w:color="auto" w:fill="E2EFD9"/>
          </w:tcPr>
          <w:p>
            <w:pPr>
              <w:spacing w:after="0"/>
              <w:rPr>
                <w:sz w:val="7"/>
                <w:szCs w:val="7"/>
                <w:color w:val="auto"/>
              </w:rPr>
            </w:pPr>
          </w:p>
        </w:tc>
        <w:tc>
          <w:tcPr>
            <w:tcW w:w="600" w:type="dxa"/>
            <w:vAlign w:val="bottom"/>
            <w:tcBorders>
              <w:bottom w:val="single" w:sz="8" w:color="auto"/>
              <w:right w:val="single" w:sz="8" w:color="auto"/>
            </w:tcBorders>
            <w:shd w:val="clear" w:color="auto" w:fill="E2EFD9"/>
          </w:tcPr>
          <w:p>
            <w:pPr>
              <w:spacing w:after="0"/>
              <w:rPr>
                <w:sz w:val="7"/>
                <w:szCs w:val="7"/>
                <w:color w:val="auto"/>
              </w:rPr>
            </w:pPr>
          </w:p>
        </w:tc>
        <w:tc>
          <w:tcPr>
            <w:tcW w:w="800" w:type="dxa"/>
            <w:vAlign w:val="bottom"/>
            <w:tcBorders>
              <w:bottom w:val="single" w:sz="8" w:color="auto"/>
              <w:right w:val="single" w:sz="8" w:color="auto"/>
            </w:tcBorders>
            <w:shd w:val="clear" w:color="auto" w:fill="E2EF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vMerge w:val="restart"/>
            <w:shd w:val="clear" w:color="auto" w:fill="FBE4D5"/>
          </w:tcPr>
          <w:p>
            <w:pPr>
              <w:ind w:left="60"/>
              <w:spacing w:after="0"/>
              <w:rPr>
                <w:sz w:val="20"/>
                <w:szCs w:val="20"/>
                <w:color w:val="auto"/>
              </w:rPr>
            </w:pPr>
            <w:r>
              <w:rPr>
                <w:rFonts w:ascii="Arial" w:cs="Arial" w:eastAsia="Arial" w:hAnsi="Arial"/>
                <w:sz w:val="15"/>
                <w:szCs w:val="15"/>
                <w:color w:val="auto"/>
              </w:rPr>
              <w:t>Empower people</w:t>
            </w:r>
          </w:p>
        </w:tc>
        <w:tc>
          <w:tcPr>
            <w:tcW w:w="3040" w:type="dxa"/>
            <w:vAlign w:val="bottom"/>
            <w:tcBorders>
              <w:right w:val="single" w:sz="8" w:color="auto"/>
            </w:tcBorders>
            <w:vMerge w:val="restart"/>
            <w:shd w:val="clear" w:color="auto" w:fill="FBE4D5"/>
          </w:tcPr>
          <w:p>
            <w:pPr>
              <w:ind w:left="40"/>
              <w:spacing w:after="0"/>
              <w:rPr>
                <w:sz w:val="20"/>
                <w:szCs w:val="20"/>
                <w:color w:val="auto"/>
              </w:rPr>
            </w:pPr>
            <w:r>
              <w:rPr>
                <w:rFonts w:ascii="Arial" w:cs="Arial" w:eastAsia="Arial" w:hAnsi="Arial"/>
                <w:sz w:val="15"/>
                <w:szCs w:val="15"/>
                <w:color w:val="auto"/>
              </w:rPr>
              <w:t>Defend diversity, inclusion and gender</w:t>
            </w:r>
          </w:p>
        </w:tc>
        <w:tc>
          <w:tcPr>
            <w:tcW w:w="1400" w:type="dxa"/>
            <w:vAlign w:val="bottom"/>
            <w:tcBorders>
              <w:right w:val="single" w:sz="8" w:color="auto"/>
            </w:tcBorders>
            <w:shd w:val="clear" w:color="auto" w:fill="FBE4D5"/>
          </w:tcPr>
          <w:p>
            <w:pPr>
              <w:ind w:left="40"/>
              <w:spacing w:after="0" w:line="164" w:lineRule="exact"/>
              <w:rPr>
                <w:sz w:val="20"/>
                <w:szCs w:val="20"/>
                <w:color w:val="auto"/>
              </w:rPr>
            </w:pPr>
            <w:r>
              <w:rPr>
                <w:rFonts w:ascii="Arial" w:cs="Arial" w:eastAsia="Arial" w:hAnsi="Arial"/>
                <w:sz w:val="15"/>
                <w:szCs w:val="15"/>
                <w:color w:val="auto"/>
              </w:rPr>
              <w:t>Opportunities and</w:t>
            </w:r>
          </w:p>
        </w:tc>
        <w:tc>
          <w:tcPr>
            <w:tcW w:w="1040" w:type="dxa"/>
            <w:vAlign w:val="bottom"/>
            <w:tcBorders>
              <w:right w:val="single" w:sz="8" w:color="auto"/>
            </w:tcBorders>
            <w:vMerge w:val="restart"/>
            <w:shd w:val="clear" w:color="auto" w:fill="FBE4D5"/>
          </w:tcPr>
          <w:p>
            <w:pPr>
              <w:ind w:left="40"/>
              <w:spacing w:after="0"/>
              <w:rPr>
                <w:sz w:val="20"/>
                <w:szCs w:val="20"/>
                <w:color w:val="auto"/>
              </w:rPr>
            </w:pPr>
            <w:r>
              <w:rPr>
                <w:rFonts w:ascii="Arial" w:cs="Arial" w:eastAsia="Arial" w:hAnsi="Arial"/>
                <w:sz w:val="15"/>
                <w:szCs w:val="15"/>
                <w:color w:val="auto"/>
              </w:rPr>
              <w:t>MIBANCO</w:t>
            </w:r>
          </w:p>
        </w:tc>
        <w:tc>
          <w:tcPr>
            <w:tcW w:w="3020" w:type="dxa"/>
            <w:vAlign w:val="bottom"/>
            <w:tcBorders>
              <w:right w:val="single" w:sz="8" w:color="auto"/>
            </w:tcBorders>
            <w:vMerge w:val="restart"/>
            <w:shd w:val="clear" w:color="auto" w:fill="FBE4D5"/>
          </w:tcPr>
          <w:p>
            <w:pPr>
              <w:ind w:left="60"/>
              <w:spacing w:after="0"/>
              <w:rPr>
                <w:sz w:val="20"/>
                <w:szCs w:val="20"/>
                <w:color w:val="auto"/>
              </w:rPr>
            </w:pPr>
            <w:r>
              <w:rPr>
                <w:rFonts w:ascii="Arial" w:cs="Arial" w:eastAsia="Arial" w:hAnsi="Arial"/>
                <w:sz w:val="15"/>
                <w:szCs w:val="15"/>
                <w:color w:val="auto"/>
              </w:rPr>
              <w:t>Number of clients with a loan disbursed</w:t>
            </w:r>
          </w:p>
        </w:tc>
        <w:tc>
          <w:tcPr>
            <w:tcW w:w="600" w:type="dxa"/>
            <w:vAlign w:val="bottom"/>
            <w:tcBorders>
              <w:right w:val="single" w:sz="8" w:color="auto"/>
            </w:tcBorders>
            <w:shd w:val="clear" w:color="auto" w:fill="FBE4D5"/>
          </w:tcPr>
          <w:p>
            <w:pPr>
              <w:spacing w:after="0"/>
              <w:rPr>
                <w:sz w:val="14"/>
                <w:szCs w:val="14"/>
                <w:color w:val="auto"/>
              </w:rPr>
            </w:pPr>
          </w:p>
        </w:tc>
        <w:tc>
          <w:tcPr>
            <w:tcW w:w="800" w:type="dxa"/>
            <w:vAlign w:val="bottom"/>
            <w:tcBorders>
              <w:right w:val="single" w:sz="8" w:color="auto"/>
            </w:tcBorders>
            <w:shd w:val="clear" w:color="auto" w:fill="FBE4D5"/>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vMerge w:val="continue"/>
            <w:shd w:val="clear" w:color="auto" w:fill="FBE4D5"/>
          </w:tcPr>
          <w:p>
            <w:pPr>
              <w:spacing w:after="0"/>
              <w:rPr>
                <w:sz w:val="7"/>
                <w:szCs w:val="7"/>
                <w:color w:val="auto"/>
              </w:rPr>
            </w:pPr>
          </w:p>
        </w:tc>
        <w:tc>
          <w:tcPr>
            <w:tcW w:w="3040" w:type="dxa"/>
            <w:vAlign w:val="bottom"/>
            <w:tcBorders>
              <w:right w:val="single" w:sz="8" w:color="auto"/>
            </w:tcBorders>
            <w:vMerge w:val="continue"/>
            <w:shd w:val="clear" w:color="auto" w:fill="FBE4D5"/>
          </w:tcPr>
          <w:p>
            <w:pPr>
              <w:spacing w:after="0"/>
              <w:rPr>
                <w:sz w:val="7"/>
                <w:szCs w:val="7"/>
                <w:color w:val="auto"/>
              </w:rPr>
            </w:pPr>
          </w:p>
        </w:tc>
        <w:tc>
          <w:tcPr>
            <w:tcW w:w="1400" w:type="dxa"/>
            <w:vAlign w:val="bottom"/>
            <w:tcBorders>
              <w:right w:val="single" w:sz="8" w:color="auto"/>
            </w:tcBorders>
            <w:vMerge w:val="restart"/>
            <w:shd w:val="clear" w:color="auto" w:fill="FBE4D5"/>
          </w:tcPr>
          <w:p>
            <w:pPr>
              <w:ind w:left="40"/>
              <w:spacing w:after="0"/>
              <w:rPr>
                <w:sz w:val="20"/>
                <w:szCs w:val="20"/>
                <w:color w:val="auto"/>
              </w:rPr>
            </w:pPr>
            <w:r>
              <w:rPr>
                <w:rFonts w:ascii="Arial" w:cs="Arial" w:eastAsia="Arial" w:hAnsi="Arial"/>
                <w:sz w:val="15"/>
                <w:szCs w:val="15"/>
                <w:color w:val="auto"/>
              </w:rPr>
              <w:t>products for</w:t>
            </w:r>
          </w:p>
        </w:tc>
        <w:tc>
          <w:tcPr>
            <w:tcW w:w="1040" w:type="dxa"/>
            <w:vAlign w:val="bottom"/>
            <w:tcBorders>
              <w:right w:val="single" w:sz="8" w:color="auto"/>
            </w:tcBorders>
            <w:vMerge w:val="continue"/>
            <w:shd w:val="clear" w:color="auto" w:fill="FBE4D5"/>
          </w:tcPr>
          <w:p>
            <w:pPr>
              <w:spacing w:after="0"/>
              <w:rPr>
                <w:sz w:val="7"/>
                <w:szCs w:val="7"/>
                <w:color w:val="auto"/>
              </w:rPr>
            </w:pPr>
          </w:p>
        </w:tc>
        <w:tc>
          <w:tcPr>
            <w:tcW w:w="3020" w:type="dxa"/>
            <w:vAlign w:val="bottom"/>
            <w:tcBorders>
              <w:right w:val="single" w:sz="8" w:color="auto"/>
            </w:tcBorders>
            <w:vMerge w:val="continue"/>
            <w:shd w:val="clear" w:color="auto" w:fill="FBE4D5"/>
          </w:tcPr>
          <w:p>
            <w:pPr>
              <w:spacing w:after="0"/>
              <w:rPr>
                <w:sz w:val="7"/>
                <w:szCs w:val="7"/>
                <w:color w:val="auto"/>
              </w:rPr>
            </w:pPr>
          </w:p>
        </w:tc>
        <w:tc>
          <w:tcPr>
            <w:tcW w:w="600" w:type="dxa"/>
            <w:vAlign w:val="bottom"/>
            <w:tcBorders>
              <w:right w:val="single" w:sz="8" w:color="auto"/>
            </w:tcBorders>
            <w:vMerge w:val="restart"/>
            <w:shd w:val="clear" w:color="auto" w:fill="FBE4D5"/>
          </w:tcPr>
          <w:p>
            <w:pPr>
              <w:jc w:val="cente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FBE4D5"/>
          </w:tcPr>
          <w:p>
            <w:pPr>
              <w:jc w:val="center"/>
              <w:spacing w:after="0"/>
              <w:rPr>
                <w:sz w:val="20"/>
                <w:szCs w:val="20"/>
                <w:color w:val="auto"/>
              </w:rPr>
            </w:pPr>
            <w:r>
              <w:rPr>
                <w:rFonts w:ascii="Arial" w:cs="Arial" w:eastAsia="Arial" w:hAnsi="Arial"/>
                <w:sz w:val="15"/>
                <w:szCs w:val="15"/>
                <w:color w:val="auto"/>
              </w:rPr>
              <w:t>31,366</w:t>
            </w:r>
          </w:p>
        </w:tc>
        <w:tc>
          <w:tcPr>
            <w:tcW w:w="0" w:type="dxa"/>
            <w:vAlign w:val="bottom"/>
          </w:tcPr>
          <w:p>
            <w:pPr>
              <w:spacing w:after="0"/>
              <w:rPr>
                <w:sz w:val="1"/>
                <w:szCs w:val="1"/>
                <w:color w:val="auto"/>
              </w:rPr>
            </w:pPr>
          </w:p>
        </w:tc>
      </w:tr>
      <w:tr>
        <w:trPr>
          <w:trHeight w:val="92"/>
        </w:trPr>
        <w:tc>
          <w:tcPr>
            <w:tcW w:w="1360" w:type="dxa"/>
            <w:vAlign w:val="bottom"/>
            <w:tcBorders>
              <w:left w:val="single" w:sz="8" w:color="auto"/>
              <w:right w:val="single" w:sz="8" w:color="auto"/>
            </w:tcBorders>
            <w:vMerge w:val="restart"/>
            <w:shd w:val="clear" w:color="auto" w:fill="FBE4D5"/>
          </w:tcPr>
          <w:p>
            <w:pPr>
              <w:ind w:left="60"/>
              <w:spacing w:after="0"/>
              <w:rPr>
                <w:sz w:val="20"/>
                <w:szCs w:val="20"/>
                <w:color w:val="auto"/>
              </w:rPr>
            </w:pPr>
            <w:r>
              <w:rPr>
                <w:rFonts w:ascii="Arial" w:cs="Arial" w:eastAsia="Arial" w:hAnsi="Arial"/>
                <w:sz w:val="15"/>
                <w:szCs w:val="15"/>
                <w:color w:val="auto"/>
              </w:rPr>
              <w:t>to thrive</w:t>
            </w:r>
          </w:p>
        </w:tc>
        <w:tc>
          <w:tcPr>
            <w:tcW w:w="3040" w:type="dxa"/>
            <w:vAlign w:val="bottom"/>
            <w:tcBorders>
              <w:right w:val="single" w:sz="8" w:color="auto"/>
            </w:tcBorders>
            <w:vMerge w:val="restart"/>
            <w:shd w:val="clear" w:color="auto" w:fill="FBE4D5"/>
          </w:tcPr>
          <w:p>
            <w:pPr>
              <w:ind w:left="40"/>
              <w:spacing w:after="0"/>
              <w:rPr>
                <w:sz w:val="20"/>
                <w:szCs w:val="20"/>
                <w:color w:val="auto"/>
              </w:rPr>
            </w:pPr>
            <w:r>
              <w:rPr>
                <w:rFonts w:ascii="Arial" w:cs="Arial" w:eastAsia="Arial" w:hAnsi="Arial"/>
                <w:sz w:val="15"/>
                <w:szCs w:val="15"/>
                <w:color w:val="auto"/>
              </w:rPr>
              <w:t>equality</w:t>
            </w:r>
          </w:p>
        </w:tc>
        <w:tc>
          <w:tcPr>
            <w:tcW w:w="1400" w:type="dxa"/>
            <w:vAlign w:val="bottom"/>
            <w:tcBorders>
              <w:right w:val="single" w:sz="8" w:color="auto"/>
            </w:tcBorders>
            <w:vMerge w:val="continue"/>
            <w:shd w:val="clear" w:color="auto" w:fill="FBE4D5"/>
          </w:tcPr>
          <w:p>
            <w:pPr>
              <w:spacing w:after="0"/>
              <w:rPr>
                <w:sz w:val="8"/>
                <w:szCs w:val="8"/>
                <w:color w:val="auto"/>
              </w:rPr>
            </w:pPr>
          </w:p>
        </w:tc>
        <w:tc>
          <w:tcPr>
            <w:tcW w:w="1040" w:type="dxa"/>
            <w:vAlign w:val="bottom"/>
            <w:tcBorders>
              <w:right w:val="single" w:sz="8" w:color="auto"/>
            </w:tcBorders>
            <w:vMerge w:val="restart"/>
            <w:shd w:val="clear" w:color="auto" w:fill="FBE4D5"/>
          </w:tcPr>
          <w:p>
            <w:pPr>
              <w:ind w:left="40"/>
              <w:spacing w:after="0"/>
              <w:rPr>
                <w:sz w:val="20"/>
                <w:szCs w:val="20"/>
                <w:color w:val="auto"/>
              </w:rPr>
            </w:pPr>
            <w:r>
              <w:rPr>
                <w:rFonts w:ascii="Arial" w:cs="Arial" w:eastAsia="Arial" w:hAnsi="Arial"/>
                <w:sz w:val="15"/>
                <w:szCs w:val="15"/>
                <w:color w:val="auto"/>
              </w:rPr>
              <w:t>PERU</w:t>
            </w:r>
          </w:p>
        </w:tc>
        <w:tc>
          <w:tcPr>
            <w:tcW w:w="3020" w:type="dxa"/>
            <w:vAlign w:val="bottom"/>
            <w:tcBorders>
              <w:right w:val="single" w:sz="8" w:color="auto"/>
            </w:tcBorders>
            <w:vMerge w:val="restart"/>
            <w:shd w:val="clear" w:color="auto" w:fill="FBE4D5"/>
          </w:tcPr>
          <w:p>
            <w:pPr>
              <w:ind w:left="60"/>
              <w:spacing w:after="0"/>
              <w:rPr>
                <w:sz w:val="20"/>
                <w:szCs w:val="20"/>
                <w:color w:val="auto"/>
              </w:rPr>
            </w:pPr>
            <w:r>
              <w:rPr>
                <w:rFonts w:ascii="Arial" w:cs="Arial" w:eastAsia="Arial" w:hAnsi="Arial"/>
                <w:sz w:val="15"/>
                <w:szCs w:val="15"/>
                <w:color w:val="auto"/>
              </w:rPr>
              <w:t>through Crédito Mujer</w:t>
            </w:r>
          </w:p>
        </w:tc>
        <w:tc>
          <w:tcPr>
            <w:tcW w:w="600" w:type="dxa"/>
            <w:vAlign w:val="bottom"/>
            <w:tcBorders>
              <w:right w:val="single" w:sz="8" w:color="auto"/>
            </w:tcBorders>
            <w:vMerge w:val="continue"/>
            <w:shd w:val="clear" w:color="auto" w:fill="FBE4D5"/>
          </w:tcPr>
          <w:p>
            <w:pPr>
              <w:spacing w:after="0"/>
              <w:rPr>
                <w:sz w:val="8"/>
                <w:szCs w:val="8"/>
                <w:color w:val="auto"/>
              </w:rPr>
            </w:pPr>
          </w:p>
        </w:tc>
        <w:tc>
          <w:tcPr>
            <w:tcW w:w="800" w:type="dxa"/>
            <w:vAlign w:val="bottom"/>
            <w:tcBorders>
              <w:right w:val="single" w:sz="8" w:color="auto"/>
            </w:tcBorders>
            <w:vMerge w:val="continue"/>
            <w:shd w:val="clear" w:color="auto" w:fill="FBE4D5"/>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continue"/>
            <w:shd w:val="clear" w:color="auto" w:fill="FBE4D5"/>
          </w:tcPr>
          <w:p>
            <w:pPr>
              <w:spacing w:after="0"/>
              <w:rPr>
                <w:sz w:val="8"/>
                <w:szCs w:val="8"/>
                <w:color w:val="auto"/>
              </w:rPr>
            </w:pPr>
          </w:p>
        </w:tc>
        <w:tc>
          <w:tcPr>
            <w:tcW w:w="3040" w:type="dxa"/>
            <w:vAlign w:val="bottom"/>
            <w:tcBorders>
              <w:right w:val="single" w:sz="8" w:color="auto"/>
            </w:tcBorders>
            <w:vMerge w:val="continue"/>
            <w:shd w:val="clear" w:color="auto" w:fill="FBE4D5"/>
          </w:tcPr>
          <w:p>
            <w:pPr>
              <w:spacing w:after="0"/>
              <w:rPr>
                <w:sz w:val="8"/>
                <w:szCs w:val="8"/>
                <w:color w:val="auto"/>
              </w:rPr>
            </w:pPr>
          </w:p>
        </w:tc>
        <w:tc>
          <w:tcPr>
            <w:tcW w:w="1400" w:type="dxa"/>
            <w:vAlign w:val="bottom"/>
            <w:tcBorders>
              <w:right w:val="single" w:sz="8" w:color="auto"/>
            </w:tcBorders>
            <w:vMerge w:val="restart"/>
            <w:shd w:val="clear" w:color="auto" w:fill="FBE4D5"/>
          </w:tcPr>
          <w:p>
            <w:pPr>
              <w:ind w:left="40"/>
              <w:spacing w:after="0"/>
              <w:rPr>
                <w:sz w:val="20"/>
                <w:szCs w:val="20"/>
                <w:color w:val="auto"/>
              </w:rPr>
            </w:pPr>
            <w:r>
              <w:rPr>
                <w:rFonts w:ascii="Arial" w:cs="Arial" w:eastAsia="Arial" w:hAnsi="Arial"/>
                <w:sz w:val="15"/>
                <w:szCs w:val="15"/>
                <w:color w:val="auto"/>
              </w:rPr>
              <w:t>women</w:t>
            </w:r>
          </w:p>
        </w:tc>
        <w:tc>
          <w:tcPr>
            <w:tcW w:w="1040" w:type="dxa"/>
            <w:vAlign w:val="bottom"/>
            <w:tcBorders>
              <w:right w:val="single" w:sz="8" w:color="auto"/>
            </w:tcBorders>
            <w:vMerge w:val="continue"/>
            <w:shd w:val="clear" w:color="auto" w:fill="FBE4D5"/>
          </w:tcPr>
          <w:p>
            <w:pPr>
              <w:spacing w:after="0"/>
              <w:rPr>
                <w:sz w:val="8"/>
                <w:szCs w:val="8"/>
                <w:color w:val="auto"/>
              </w:rPr>
            </w:pPr>
          </w:p>
        </w:tc>
        <w:tc>
          <w:tcPr>
            <w:tcW w:w="3020" w:type="dxa"/>
            <w:vAlign w:val="bottom"/>
            <w:tcBorders>
              <w:right w:val="single" w:sz="8" w:color="auto"/>
            </w:tcBorders>
            <w:vMerge w:val="continue"/>
            <w:shd w:val="clear" w:color="auto" w:fill="FBE4D5"/>
          </w:tcPr>
          <w:p>
            <w:pPr>
              <w:spacing w:after="0"/>
              <w:rPr>
                <w:sz w:val="8"/>
                <w:szCs w:val="8"/>
                <w:color w:val="auto"/>
              </w:rPr>
            </w:pPr>
          </w:p>
        </w:tc>
        <w:tc>
          <w:tcPr>
            <w:tcW w:w="600" w:type="dxa"/>
            <w:vAlign w:val="bottom"/>
            <w:tcBorders>
              <w:right w:val="single" w:sz="8" w:color="auto"/>
            </w:tcBorders>
            <w:shd w:val="clear" w:color="auto" w:fill="FBE4D5"/>
          </w:tcPr>
          <w:p>
            <w:pPr>
              <w:spacing w:after="0"/>
              <w:rPr>
                <w:sz w:val="8"/>
                <w:szCs w:val="8"/>
                <w:color w:val="auto"/>
              </w:rPr>
            </w:pPr>
          </w:p>
        </w:tc>
        <w:tc>
          <w:tcPr>
            <w:tcW w:w="800" w:type="dxa"/>
            <w:vAlign w:val="bottom"/>
            <w:tcBorders>
              <w:right w:val="single" w:sz="8" w:color="auto"/>
            </w:tcBorders>
            <w:shd w:val="clear" w:color="auto" w:fill="FBE4D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bottom w:val="single" w:sz="8" w:color="auto"/>
              <w:right w:val="single" w:sz="8" w:color="auto"/>
            </w:tcBorders>
            <w:shd w:val="clear" w:color="auto" w:fill="FBE4D5"/>
          </w:tcPr>
          <w:p>
            <w:pPr>
              <w:spacing w:after="0"/>
              <w:rPr>
                <w:sz w:val="7"/>
                <w:szCs w:val="7"/>
                <w:color w:val="auto"/>
              </w:rPr>
            </w:pPr>
          </w:p>
        </w:tc>
        <w:tc>
          <w:tcPr>
            <w:tcW w:w="3040" w:type="dxa"/>
            <w:vAlign w:val="bottom"/>
            <w:tcBorders>
              <w:bottom w:val="single" w:sz="8" w:color="auto"/>
              <w:right w:val="single" w:sz="8" w:color="auto"/>
            </w:tcBorders>
            <w:shd w:val="clear" w:color="auto" w:fill="FBE4D5"/>
          </w:tcPr>
          <w:p>
            <w:pPr>
              <w:spacing w:after="0"/>
              <w:rPr>
                <w:sz w:val="7"/>
                <w:szCs w:val="7"/>
                <w:color w:val="auto"/>
              </w:rPr>
            </w:pPr>
          </w:p>
        </w:tc>
        <w:tc>
          <w:tcPr>
            <w:tcW w:w="1400" w:type="dxa"/>
            <w:vAlign w:val="bottom"/>
            <w:tcBorders>
              <w:bottom w:val="single" w:sz="8" w:color="auto"/>
              <w:right w:val="single" w:sz="8" w:color="auto"/>
            </w:tcBorders>
            <w:vMerge w:val="continue"/>
            <w:shd w:val="clear" w:color="auto" w:fill="FBE4D5"/>
          </w:tcPr>
          <w:p>
            <w:pPr>
              <w:spacing w:after="0"/>
              <w:rPr>
                <w:sz w:val="7"/>
                <w:szCs w:val="7"/>
                <w:color w:val="auto"/>
              </w:rPr>
            </w:pPr>
          </w:p>
        </w:tc>
        <w:tc>
          <w:tcPr>
            <w:tcW w:w="1040" w:type="dxa"/>
            <w:vAlign w:val="bottom"/>
            <w:tcBorders>
              <w:bottom w:val="single" w:sz="8" w:color="auto"/>
              <w:right w:val="single" w:sz="8" w:color="auto"/>
            </w:tcBorders>
            <w:shd w:val="clear" w:color="auto" w:fill="FBE4D5"/>
          </w:tcPr>
          <w:p>
            <w:pPr>
              <w:spacing w:after="0"/>
              <w:rPr>
                <w:sz w:val="7"/>
                <w:szCs w:val="7"/>
                <w:color w:val="auto"/>
              </w:rPr>
            </w:pPr>
          </w:p>
        </w:tc>
        <w:tc>
          <w:tcPr>
            <w:tcW w:w="3020" w:type="dxa"/>
            <w:vAlign w:val="bottom"/>
            <w:tcBorders>
              <w:bottom w:val="single" w:sz="8" w:color="auto"/>
              <w:right w:val="single" w:sz="8" w:color="auto"/>
            </w:tcBorders>
            <w:shd w:val="clear" w:color="auto" w:fill="FBE4D5"/>
          </w:tcPr>
          <w:p>
            <w:pPr>
              <w:spacing w:after="0"/>
              <w:rPr>
                <w:sz w:val="7"/>
                <w:szCs w:val="7"/>
                <w:color w:val="auto"/>
              </w:rPr>
            </w:pPr>
          </w:p>
        </w:tc>
        <w:tc>
          <w:tcPr>
            <w:tcW w:w="600" w:type="dxa"/>
            <w:vAlign w:val="bottom"/>
            <w:tcBorders>
              <w:bottom w:val="single" w:sz="8" w:color="auto"/>
              <w:right w:val="single" w:sz="8" w:color="auto"/>
            </w:tcBorders>
            <w:shd w:val="clear" w:color="auto" w:fill="FBE4D5"/>
          </w:tcPr>
          <w:p>
            <w:pPr>
              <w:spacing w:after="0"/>
              <w:rPr>
                <w:sz w:val="7"/>
                <w:szCs w:val="7"/>
                <w:color w:val="auto"/>
              </w:rPr>
            </w:pPr>
          </w:p>
        </w:tc>
        <w:tc>
          <w:tcPr>
            <w:tcW w:w="800" w:type="dxa"/>
            <w:vAlign w:val="bottom"/>
            <w:tcBorders>
              <w:bottom w:val="single" w:sz="8" w:color="auto"/>
              <w:right w:val="single" w:sz="8" w:color="auto"/>
            </w:tcBorders>
            <w:shd w:val="clear" w:color="auto" w:fill="FBE4D5"/>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142748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338" w:lineRule="exact"/>
        <w:rPr>
          <w:sz w:val="20"/>
          <w:szCs w:val="20"/>
          <w:color w:val="auto"/>
        </w:rPr>
      </w:pPr>
    </w:p>
    <w:p>
      <w:pPr>
        <w:ind w:left="188" w:hanging="188"/>
        <w:spacing w:after="0"/>
        <w:tabs>
          <w:tab w:leader="none" w:pos="188" w:val="left"/>
        </w:tabs>
        <w:numPr>
          <w:ilvl w:val="0"/>
          <w:numId w:val="120"/>
        </w:numPr>
        <w:rPr>
          <w:rFonts w:ascii="Arial" w:cs="Arial" w:eastAsia="Arial" w:hAnsi="Arial"/>
          <w:sz w:val="25"/>
          <w:szCs w:val="25"/>
          <w:color w:val="auto"/>
          <w:vertAlign w:val="superscript"/>
        </w:rPr>
      </w:pPr>
      <w:r>
        <w:rPr>
          <w:rFonts w:ascii="Arial" w:cs="Arial" w:eastAsia="Arial" w:hAnsi="Arial"/>
          <w:sz w:val="15"/>
          <w:szCs w:val="15"/>
          <w:color w:val="auto"/>
        </w:rPr>
        <w:t>The score achieved in the PRI 2021 evaluation (with information from 2020) for the Investment and Stewardship Policy Module: 3 stars out of 5.</w:t>
      </w:r>
    </w:p>
    <w:p>
      <w:pPr>
        <w:spacing w:after="0" w:line="149" w:lineRule="exact"/>
        <w:rPr>
          <w:sz w:val="20"/>
          <w:szCs w:val="20"/>
          <w:color w:val="auto"/>
        </w:rPr>
      </w:pPr>
    </w:p>
    <w:p>
      <w:pPr>
        <w:ind w:left="11008"/>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293" w:right="319" w:bottom="1440" w:gutter="0" w:footer="0" w:header="0"/>
        </w:sectPr>
      </w:pPr>
    </w:p>
    <w:bookmarkStart w:id="163" w:name="page164"/>
    <w:bookmarkEnd w:id="163"/>
    <w:p>
      <w:pPr>
        <w:ind w:left="8"/>
        <w:spacing w:after="0"/>
        <w:rPr>
          <w:sz w:val="20"/>
          <w:szCs w:val="20"/>
          <w:color w:val="auto"/>
        </w:rPr>
      </w:pPr>
      <w:r>
        <w:rPr>
          <w:rFonts w:ascii="Arial" w:cs="Arial" w:eastAsia="Arial" w:hAnsi="Arial"/>
          <w:sz w:val="25"/>
          <w:szCs w:val="25"/>
          <w:b w:val="1"/>
          <w:bCs w:val="1"/>
          <w:color w:val="auto"/>
        </w:rPr>
        <w:t>Financial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343344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36" w:lineRule="exact"/>
        <w:rPr>
          <w:sz w:val="20"/>
          <w:szCs w:val="20"/>
          <w:color w:val="auto"/>
        </w:rPr>
      </w:pPr>
    </w:p>
    <w:tbl>
      <w:tblPr>
        <w:tblLayout w:type="fixed"/>
        <w:tblInd w:w="18" w:type="dxa"/>
        <w:tblCellMar>
          <w:top w:w="0" w:type="dxa"/>
          <w:left w:w="0" w:type="dxa"/>
          <w:bottom w:w="0" w:type="dxa"/>
          <w:right w:w="0" w:type="dxa"/>
        </w:tblCellMar>
      </w:tblPr>
      <w:tr>
        <w:trPr>
          <w:trHeight w:val="184"/>
        </w:trPr>
        <w:tc>
          <w:tcPr>
            <w:tcW w:w="21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Indicators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Milestones 2022</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Milestones 2021</w:t>
            </w:r>
          </w:p>
        </w:tc>
        <w:tc>
          <w:tcPr>
            <w:tcW w:w="0" w:type="dxa"/>
            <w:vAlign w:val="bottom"/>
          </w:tcPr>
          <w:p>
            <w:pPr>
              <w:spacing w:after="0"/>
              <w:rPr>
                <w:sz w:val="1"/>
                <w:szCs w:val="1"/>
                <w:color w:val="auto"/>
              </w:rPr>
            </w:pPr>
          </w:p>
        </w:tc>
      </w:tr>
      <w:tr>
        <w:trPr>
          <w:trHeight w:val="164"/>
        </w:trPr>
        <w:tc>
          <w:tcPr>
            <w:tcW w:w="216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People included with Yape</w:t>
            </w:r>
          </w:p>
        </w:tc>
        <w:tc>
          <w:tcPr>
            <w:tcW w:w="16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1,039,664</w:t>
            </w:r>
          </w:p>
        </w:tc>
        <w:tc>
          <w:tcPr>
            <w:tcW w:w="15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931,000</w:t>
            </w:r>
          </w:p>
        </w:tc>
        <w:tc>
          <w:tcPr>
            <w:tcW w:w="0" w:type="dxa"/>
            <w:vAlign w:val="bottom"/>
          </w:tcPr>
          <w:p>
            <w:pPr>
              <w:spacing w:after="0"/>
              <w:rPr>
                <w:sz w:val="1"/>
                <w:szCs w:val="1"/>
                <w:color w:val="auto"/>
              </w:rPr>
            </w:pPr>
          </w:p>
        </w:tc>
      </w:tr>
      <w:tr>
        <w:trPr>
          <w:trHeight w:val="164"/>
        </w:trPr>
        <w:tc>
          <w:tcPr>
            <w:tcW w:w="216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Stock of current policies of</w:t>
            </w: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inclusive insurance – through</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1.7 million (+13%)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1.5 million</w:t>
            </w:r>
          </w:p>
        </w:tc>
        <w:tc>
          <w:tcPr>
            <w:tcW w:w="0" w:type="dxa"/>
            <w:vAlign w:val="bottom"/>
          </w:tcPr>
          <w:p>
            <w:pPr>
              <w:spacing w:after="0"/>
              <w:rPr>
                <w:sz w:val="1"/>
                <w:szCs w:val="1"/>
                <w:color w:val="auto"/>
              </w:rPr>
            </w:pPr>
          </w:p>
        </w:tc>
      </w:tr>
      <w:tr>
        <w:trPr>
          <w:trHeight w:val="174"/>
        </w:trPr>
        <w:tc>
          <w:tcPr>
            <w:tcW w:w="2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BCP</w:t>
            </w:r>
          </w:p>
        </w:tc>
        <w:tc>
          <w:tcPr>
            <w:tcW w:w="168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6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Stock of current policies of</w:t>
            </w: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inclusive insurance - through</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908,603 (+40%)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648,496</w:t>
            </w:r>
          </w:p>
        </w:tc>
        <w:tc>
          <w:tcPr>
            <w:tcW w:w="0" w:type="dxa"/>
            <w:vAlign w:val="bottom"/>
          </w:tcPr>
          <w:p>
            <w:pPr>
              <w:spacing w:after="0"/>
              <w:rPr>
                <w:sz w:val="1"/>
                <w:szCs w:val="1"/>
                <w:color w:val="auto"/>
              </w:rPr>
            </w:pPr>
          </w:p>
        </w:tc>
      </w:tr>
      <w:tr>
        <w:trPr>
          <w:trHeight w:val="174"/>
        </w:trPr>
        <w:tc>
          <w:tcPr>
            <w:tcW w:w="2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Mibanco</w:t>
            </w:r>
          </w:p>
        </w:tc>
        <w:tc>
          <w:tcPr>
            <w:tcW w:w="168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6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Voluntary Savings Accounts at</w:t>
            </w: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Prima AFP, accumulated since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97,739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35,126</w:t>
            </w:r>
          </w:p>
        </w:tc>
        <w:tc>
          <w:tcPr>
            <w:tcW w:w="0" w:type="dxa"/>
            <w:vAlign w:val="bottom"/>
          </w:tcPr>
          <w:p>
            <w:pPr>
              <w:spacing w:after="0"/>
              <w:rPr>
                <w:sz w:val="1"/>
                <w:szCs w:val="1"/>
                <w:color w:val="auto"/>
              </w:rPr>
            </w:pPr>
          </w:p>
        </w:tc>
      </w:tr>
      <w:tr>
        <w:trPr>
          <w:trHeight w:val="174"/>
        </w:trPr>
        <w:tc>
          <w:tcPr>
            <w:tcW w:w="2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2020</w:t>
            </w:r>
          </w:p>
        </w:tc>
        <w:tc>
          <w:tcPr>
            <w:tcW w:w="168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6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Total disbursed through</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S/1,869 million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 2,223 million</w:t>
            </w:r>
          </w:p>
        </w:tc>
        <w:tc>
          <w:tcPr>
            <w:tcW w:w="0" w:type="dxa"/>
            <w:vAlign w:val="bottom"/>
          </w:tcPr>
          <w:p>
            <w:pPr>
              <w:spacing w:after="0"/>
              <w:rPr>
                <w:sz w:val="1"/>
                <w:szCs w:val="1"/>
                <w:color w:val="auto"/>
              </w:rPr>
            </w:pPr>
          </w:p>
        </w:tc>
      </w:tr>
      <w:tr>
        <w:trPr>
          <w:trHeight w:val="93"/>
        </w:trPr>
        <w:tc>
          <w:tcPr>
            <w:tcW w:w="21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Crediagua</w:t>
            </w:r>
          </w:p>
        </w:tc>
        <w:tc>
          <w:tcPr>
            <w:tcW w:w="168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16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Affiliates to web platform Yevo</w:t>
            </w:r>
          </w:p>
        </w:tc>
        <w:tc>
          <w:tcPr>
            <w:tcW w:w="16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199,517</w:t>
            </w:r>
          </w:p>
        </w:tc>
        <w:tc>
          <w:tcPr>
            <w:tcW w:w="15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36,963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988060</wp:posOffset>
            </wp:positionV>
            <wp:extent cx="103251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325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8" w:hanging="188"/>
        <w:spacing w:after="0"/>
        <w:tabs>
          <w:tab w:leader="none" w:pos="188" w:val="left"/>
        </w:tabs>
        <w:numPr>
          <w:ilvl w:val="0"/>
          <w:numId w:val="121"/>
        </w:numPr>
        <w:rPr>
          <w:rFonts w:ascii="Arial" w:cs="Arial" w:eastAsia="Arial" w:hAnsi="Arial"/>
          <w:sz w:val="25"/>
          <w:szCs w:val="25"/>
          <w:color w:val="auto"/>
          <w:vertAlign w:val="superscript"/>
        </w:rPr>
      </w:pPr>
      <w:r>
        <w:rPr>
          <w:rFonts w:ascii="Arial" w:cs="Arial" w:eastAsia="Arial" w:hAnsi="Arial"/>
          <w:sz w:val="15"/>
          <w:szCs w:val="15"/>
          <w:color w:val="auto"/>
        </w:rPr>
        <w:t>Training carried out was measured, people trained were not measured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Financial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343344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Indicators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Milestones 2022</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Milestones 2021</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Accumulated views of the web</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49 million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45 million</w:t>
            </w:r>
          </w:p>
        </w:tc>
        <w:tc>
          <w:tcPr>
            <w:tcW w:w="0" w:type="dxa"/>
            <w:vAlign w:val="bottom"/>
          </w:tcPr>
          <w:p>
            <w:pPr>
              <w:spacing w:after="0"/>
              <w:rPr>
                <w:sz w:val="1"/>
                <w:szCs w:val="1"/>
                <w:color w:val="auto"/>
              </w:rPr>
            </w:pPr>
          </w:p>
        </w:tc>
      </w:tr>
      <w:tr>
        <w:trPr>
          <w:trHeight w:val="93"/>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series 5to piso at BCP</w:t>
            </w:r>
          </w:p>
        </w:tc>
        <w:tc>
          <w:tcPr>
            <w:tcW w:w="168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Number of people trained</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234,760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58,027</w:t>
            </w:r>
          </w:p>
        </w:tc>
        <w:tc>
          <w:tcPr>
            <w:tcW w:w="0" w:type="dxa"/>
            <w:vAlign w:val="bottom"/>
          </w:tcPr>
          <w:p>
            <w:pPr>
              <w:spacing w:after="0"/>
              <w:rPr>
                <w:sz w:val="1"/>
                <w:szCs w:val="1"/>
                <w:color w:val="auto"/>
              </w:rPr>
            </w:pPr>
          </w:p>
        </w:tc>
      </w:tr>
      <w:tr>
        <w:trPr>
          <w:trHeight w:val="93"/>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through on-line campus</w:t>
            </w:r>
          </w:p>
        </w:tc>
        <w:tc>
          <w:tcPr>
            <w:tcW w:w="168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Clients trained through BCP</w:t>
            </w: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Bolivia’s Academia de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19,883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Clientes (Client academy)</w:t>
            </w:r>
          </w:p>
        </w:tc>
        <w:tc>
          <w:tcPr>
            <w:tcW w:w="168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Clients trained through</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251,153</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6"/>
              </w:rPr>
              <w:t xml:space="preserve">144,000 </w:t>
            </w:r>
            <w:r>
              <w:rPr>
                <w:rFonts w:ascii="Arial" w:cs="Arial" w:eastAsia="Arial" w:hAnsi="Arial"/>
                <w:sz w:val="25"/>
                <w:szCs w:val="25"/>
                <w:color w:val="auto"/>
                <w:w w:val="96"/>
                <w:vertAlign w:val="superscript"/>
              </w:rPr>
              <w:t>60</w:t>
            </w:r>
          </w:p>
        </w:tc>
        <w:tc>
          <w:tcPr>
            <w:tcW w:w="0" w:type="dxa"/>
            <w:vAlign w:val="bottom"/>
          </w:tcPr>
          <w:p>
            <w:pPr>
              <w:spacing w:after="0"/>
              <w:rPr>
                <w:sz w:val="1"/>
                <w:szCs w:val="1"/>
                <w:color w:val="auto"/>
              </w:rPr>
            </w:pPr>
          </w:p>
        </w:tc>
      </w:tr>
      <w:tr>
        <w:trPr>
          <w:trHeight w:val="139"/>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different programs at Mibanco</w:t>
            </w:r>
          </w:p>
        </w:tc>
        <w:tc>
          <w:tcPr>
            <w:tcW w:w="168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180" w:type="dxa"/>
            <w:vAlign w:val="bottom"/>
            <w:tcBorders>
              <w:left w:val="single" w:sz="8" w:color="auto"/>
              <w:bottom w:val="single" w:sz="8" w:color="auto"/>
              <w:right w:val="single" w:sz="8" w:color="auto"/>
            </w:tcBorders>
            <w:vMerge w:val="continue"/>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Visits to the web of ABC at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5.1 million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3.2 million</w:t>
            </w:r>
          </w:p>
        </w:tc>
        <w:tc>
          <w:tcPr>
            <w:tcW w:w="0" w:type="dxa"/>
            <w:vAlign w:val="bottom"/>
          </w:tcPr>
          <w:p>
            <w:pPr>
              <w:spacing w:after="0"/>
              <w:rPr>
                <w:sz w:val="1"/>
                <w:szCs w:val="1"/>
                <w:color w:val="auto"/>
              </w:rPr>
            </w:pPr>
          </w:p>
        </w:tc>
      </w:tr>
      <w:tr>
        <w:trPr>
          <w:trHeight w:val="93"/>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Pacifico</w:t>
            </w:r>
          </w:p>
        </w:tc>
        <w:tc>
          <w:tcPr>
            <w:tcW w:w="168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People impacted by online</w:t>
            </w: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workshops through ABC de la</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61 thousand</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42 thousand</w:t>
            </w:r>
          </w:p>
        </w:tc>
        <w:tc>
          <w:tcPr>
            <w:tcW w:w="0" w:type="dxa"/>
            <w:vAlign w:val="bottom"/>
          </w:tcPr>
          <w:p>
            <w:pPr>
              <w:spacing w:after="0"/>
              <w:rPr>
                <w:sz w:val="1"/>
                <w:szCs w:val="1"/>
                <w:color w:val="auto"/>
              </w:rPr>
            </w:pPr>
          </w:p>
        </w:tc>
      </w:tr>
      <w:tr>
        <w:trPr>
          <w:trHeight w:val="93"/>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Cultura Previsional (ABC of</w:t>
            </w:r>
          </w:p>
        </w:tc>
        <w:tc>
          <w:tcPr>
            <w:tcW w:w="168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180" w:type="dxa"/>
            <w:vAlign w:val="bottom"/>
            <w:tcBorders>
              <w:left w:val="single" w:sz="8" w:color="auto"/>
              <w:right w:val="single" w:sz="8" w:color="auto"/>
            </w:tcBorders>
            <w:vMerge w:val="continue"/>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Pension Savings) Prima AFP</w:t>
            </w:r>
          </w:p>
        </w:tc>
        <w:tc>
          <w:tcPr>
            <w:tcW w:w="168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Views of the Web series “El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+28 million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+21 million</w:t>
            </w:r>
          </w:p>
        </w:tc>
        <w:tc>
          <w:tcPr>
            <w:tcW w:w="0" w:type="dxa"/>
            <w:vAlign w:val="bottom"/>
          </w:tcPr>
          <w:p>
            <w:pPr>
              <w:spacing w:after="0"/>
              <w:rPr>
                <w:sz w:val="1"/>
                <w:szCs w:val="1"/>
                <w:color w:val="auto"/>
              </w:rPr>
            </w:pPr>
          </w:p>
        </w:tc>
      </w:tr>
      <w:tr>
        <w:trPr>
          <w:trHeight w:val="93"/>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Depa” at Prima AFP</w:t>
            </w:r>
          </w:p>
        </w:tc>
        <w:tc>
          <w:tcPr>
            <w:tcW w:w="168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388" w:space="460"/>
            <w:col w:w="5420"/>
          </w:cols>
          <w:pgMar w:left="312" w:top="279" w:right="319" w:bottom="1440" w:gutter="0" w:footer="0" w:header="0"/>
        </w:sectPr>
      </w:pPr>
    </w:p>
    <w:bookmarkStart w:id="164" w:name="page165"/>
    <w:bookmarkEnd w:id="164"/>
    <w:p>
      <w:pPr>
        <w:spacing w:after="0"/>
        <w:rPr>
          <w:sz w:val="20"/>
          <w:szCs w:val="20"/>
          <w:color w:val="auto"/>
        </w:rPr>
      </w:pPr>
      <w:r>
        <w:rPr>
          <w:rFonts w:ascii="Arial" w:cs="Arial" w:eastAsia="Arial" w:hAnsi="Arial"/>
          <w:sz w:val="25"/>
          <w:szCs w:val="25"/>
          <w:b w:val="1"/>
          <w:bCs w:val="1"/>
          <w:color w:val="auto"/>
        </w:rPr>
        <w:t>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343344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38" w:lineRule="exact"/>
        <w:rPr>
          <w:sz w:val="20"/>
          <w:szCs w:val="20"/>
          <w:color w:val="auto"/>
        </w:rPr>
      </w:pPr>
    </w:p>
    <w:p>
      <w:pPr>
        <w:ind w:right="160"/>
        <w:spacing w:after="0" w:line="253" w:lineRule="auto"/>
        <w:rPr>
          <w:sz w:val="20"/>
          <w:szCs w:val="20"/>
          <w:color w:val="auto"/>
        </w:rPr>
      </w:pPr>
      <w:r>
        <w:rPr>
          <w:rFonts w:ascii="Arial" w:cs="Arial" w:eastAsia="Arial" w:hAnsi="Arial"/>
          <w:sz w:val="15"/>
          <w:szCs w:val="15"/>
          <w:b w:val="1"/>
          <w:bCs w:val="1"/>
          <w:color w:val="auto"/>
        </w:rPr>
        <w:t xml:space="preserve">Material Issues </w:t>
      </w:r>
      <w:r>
        <w:rPr>
          <w:rFonts w:ascii="Arial" w:cs="Arial" w:eastAsia="Arial" w:hAnsi="Arial"/>
          <w:sz w:val="15"/>
          <w:szCs w:val="15"/>
          <w:color w:val="auto"/>
        </w:rPr>
        <w:t>Employment and Talent Retention, Inclusion of diversity and</w:t>
      </w:r>
      <w:r>
        <w:rPr>
          <w:rFonts w:ascii="Arial" w:cs="Arial" w:eastAsia="Arial" w:hAnsi="Arial"/>
          <w:sz w:val="15"/>
          <w:szCs w:val="15"/>
          <w:b w:val="1"/>
          <w:bCs w:val="1"/>
          <w:color w:val="auto"/>
        </w:rPr>
        <w:t xml:space="preserve"> </w:t>
      </w:r>
      <w:r>
        <w:rPr>
          <w:rFonts w:ascii="Arial" w:cs="Arial" w:eastAsia="Arial" w:hAnsi="Arial"/>
          <w:sz w:val="15"/>
          <w:szCs w:val="15"/>
          <w:color w:val="auto"/>
        </w:rPr>
        <w:t>Equal Opportunities</w:t>
      </w:r>
    </w:p>
    <w:p>
      <w:pPr>
        <w:spacing w:after="0"/>
        <w:rPr>
          <w:sz w:val="20"/>
          <w:szCs w:val="20"/>
          <w:color w:val="auto"/>
        </w:rPr>
      </w:pPr>
      <w:r>
        <w:rPr>
          <w:rFonts w:ascii="Arial" w:cs="Arial" w:eastAsia="Arial" w:hAnsi="Arial"/>
          <w:sz w:val="15"/>
          <w:szCs w:val="15"/>
          <w:b w:val="1"/>
          <w:bCs w:val="1"/>
          <w:color w:val="auto"/>
        </w:rPr>
        <w:t xml:space="preserve">GRI </w:t>
      </w:r>
      <w:r>
        <w:rPr>
          <w:rFonts w:ascii="Arial" w:cs="Arial" w:eastAsia="Arial" w:hAnsi="Arial"/>
          <w:sz w:val="15"/>
          <w:szCs w:val="15"/>
          <w:i w:val="1"/>
          <w:iCs w:val="1"/>
          <w:color w:val="auto"/>
        </w:rPr>
        <w:t>2-7, 401-1, 401-3, 405-1</w:t>
      </w:r>
    </w:p>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480" w:type="dxa"/>
            <w:vAlign w:val="bottom"/>
            <w:tcBorders>
              <w:top w:val="single" w:sz="8" w:color="auto"/>
              <w:left w:val="single" w:sz="8" w:color="auto"/>
              <w:bottom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Employee by gender</w:t>
            </w:r>
            <w:r>
              <w:rPr>
                <w:rFonts w:ascii="Arial" w:cs="Arial" w:eastAsia="Arial" w:hAnsi="Arial"/>
                <w:sz w:val="25"/>
                <w:szCs w:val="25"/>
                <w:b w:val="1"/>
                <w:bCs w:val="1"/>
                <w:color w:val="auto"/>
                <w:vertAlign w:val="superscript"/>
              </w:rPr>
              <w:t>61</w:t>
            </w:r>
          </w:p>
        </w:tc>
        <w:tc>
          <w:tcPr>
            <w:tcW w:w="6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right"/>
              <w:ind w:right="223"/>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right"/>
              <w:ind w:right="143"/>
              <w:spacing w:after="0" w:line="185" w:lineRule="exact"/>
              <w:rPr>
                <w:sz w:val="20"/>
                <w:szCs w:val="20"/>
                <w:color w:val="auto"/>
              </w:rPr>
            </w:pPr>
            <w:r>
              <w:rPr>
                <w:rFonts w:ascii="Arial" w:cs="Arial" w:eastAsia="Arial" w:hAnsi="Arial"/>
                <w:sz w:val="13"/>
                <w:szCs w:val="13"/>
                <w:b w:val="1"/>
                <w:bCs w:val="1"/>
                <w:color w:val="auto"/>
              </w:rPr>
              <w:t>2021</w:t>
            </w:r>
            <w:r>
              <w:rPr>
                <w:rFonts w:ascii="Arial" w:cs="Arial" w:eastAsia="Arial" w:hAnsi="Arial"/>
                <w:sz w:val="21"/>
                <w:szCs w:val="21"/>
                <w:b w:val="1"/>
                <w:bCs w:val="1"/>
                <w:color w:val="auto"/>
                <w:vertAlign w:val="superscript"/>
              </w:rPr>
              <w:t>62</w:t>
            </w:r>
          </w:p>
        </w:tc>
        <w:tc>
          <w:tcPr>
            <w:tcW w:w="0" w:type="dxa"/>
            <w:vAlign w:val="bottom"/>
          </w:tcPr>
          <w:p>
            <w:pPr>
              <w:spacing w:after="0"/>
              <w:rPr>
                <w:sz w:val="1"/>
                <w:szCs w:val="1"/>
                <w:color w:val="auto"/>
              </w:rPr>
            </w:pPr>
          </w:p>
        </w:tc>
      </w:tr>
      <w:tr>
        <w:trPr>
          <w:trHeight w:val="130"/>
        </w:trPr>
        <w:tc>
          <w:tcPr>
            <w:tcW w:w="3480" w:type="dxa"/>
            <w:vAlign w:val="bottom"/>
            <w:tcBorders>
              <w:left w:val="single" w:sz="8" w:color="auto"/>
              <w:right w:val="single" w:sz="8" w:color="auto"/>
            </w:tcBorders>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60" w:type="dxa"/>
            <w:vAlign w:val="bottom"/>
            <w:vMerge w:val="restart"/>
          </w:tcPr>
          <w:p>
            <w:pPr>
              <w:ind w:left="160"/>
              <w:spacing w:after="0" w:line="164" w:lineRule="exact"/>
              <w:rPr>
                <w:sz w:val="20"/>
                <w:szCs w:val="20"/>
                <w:color w:val="auto"/>
              </w:rPr>
            </w:pPr>
            <w:r>
              <w:rPr>
                <w:rFonts w:ascii="Arial" w:cs="Arial" w:eastAsia="Arial" w:hAnsi="Arial"/>
                <w:sz w:val="15"/>
                <w:szCs w:val="15"/>
                <w:b w:val="1"/>
                <w:bCs w:val="1"/>
                <w:color w:val="auto"/>
              </w:rPr>
              <w:t>Q</w:t>
            </w:r>
          </w:p>
        </w:tc>
        <w:tc>
          <w:tcPr>
            <w:tcW w:w="440" w:type="dxa"/>
            <w:vAlign w:val="bottom"/>
            <w:tcBorders>
              <w:right w:val="single" w:sz="8" w:color="auto"/>
            </w:tcBorders>
            <w:vMerge w:val="restart"/>
          </w:tcPr>
          <w:p>
            <w:pPr>
              <w:jc w:val="right"/>
              <w:ind w:right="83"/>
              <w:spacing w:after="0" w:line="164" w:lineRule="exact"/>
              <w:rPr>
                <w:sz w:val="20"/>
                <w:szCs w:val="20"/>
                <w:color w:val="auto"/>
              </w:rPr>
            </w:pPr>
            <w:r>
              <w:rPr>
                <w:rFonts w:ascii="Arial" w:cs="Arial" w:eastAsia="Arial" w:hAnsi="Arial"/>
                <w:sz w:val="15"/>
                <w:szCs w:val="15"/>
                <w:b w:val="1"/>
                <w:bCs w:val="1"/>
                <w:color w:val="auto"/>
              </w:rPr>
              <w:t>%</w:t>
            </w:r>
          </w:p>
        </w:tc>
        <w:tc>
          <w:tcPr>
            <w:tcW w:w="60" w:type="dxa"/>
            <w:vAlign w:val="bottom"/>
            <w:tcBorders>
              <w:right w:val="single" w:sz="8" w:color="auto"/>
            </w:tcBorders>
          </w:tcPr>
          <w:p>
            <w:pPr>
              <w:spacing w:after="0"/>
              <w:rPr>
                <w:sz w:val="11"/>
                <w:szCs w:val="11"/>
                <w:color w:val="auto"/>
              </w:rPr>
            </w:pPr>
          </w:p>
        </w:tc>
        <w:tc>
          <w:tcPr>
            <w:tcW w:w="460" w:type="dxa"/>
            <w:vAlign w:val="bottom"/>
            <w:vMerge w:val="restart"/>
          </w:tcPr>
          <w:p>
            <w:pPr>
              <w:ind w:left="160"/>
              <w:spacing w:after="0" w:line="164" w:lineRule="exact"/>
              <w:rPr>
                <w:sz w:val="20"/>
                <w:szCs w:val="20"/>
                <w:color w:val="auto"/>
              </w:rPr>
            </w:pPr>
            <w:r>
              <w:rPr>
                <w:rFonts w:ascii="Arial" w:cs="Arial" w:eastAsia="Arial" w:hAnsi="Arial"/>
                <w:sz w:val="15"/>
                <w:szCs w:val="15"/>
                <w:b w:val="1"/>
                <w:bCs w:val="1"/>
                <w:color w:val="auto"/>
              </w:rPr>
              <w:t>Q</w:t>
            </w:r>
          </w:p>
        </w:tc>
        <w:tc>
          <w:tcPr>
            <w:tcW w:w="440" w:type="dxa"/>
            <w:vAlign w:val="bottom"/>
            <w:tcBorders>
              <w:right w:val="single" w:sz="8" w:color="auto"/>
            </w:tcBorders>
            <w:vMerge w:val="restart"/>
          </w:tcPr>
          <w:p>
            <w:pPr>
              <w:jc w:val="right"/>
              <w:ind w:right="83"/>
              <w:spacing w:after="0" w:line="16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5"/>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440" w:type="dxa"/>
            <w:vAlign w:val="bottom"/>
            <w:tcBorders>
              <w:bottom w:val="single" w:sz="8" w:color="auto"/>
              <w:right w:val="single" w:sz="8" w:color="auto"/>
            </w:tcBorders>
            <w:vMerge w:val="continue"/>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44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Total number of employees</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36,968100%</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36,396100%</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Women</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color w:val="auto"/>
              </w:rPr>
              <w:t>20,240 55%</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ind w:right="3"/>
              <w:spacing w:after="0" w:line="164" w:lineRule="exact"/>
              <w:rPr>
                <w:sz w:val="20"/>
                <w:szCs w:val="20"/>
                <w:color w:val="auto"/>
              </w:rPr>
            </w:pPr>
            <w:r>
              <w:rPr>
                <w:rFonts w:ascii="Arial" w:cs="Arial" w:eastAsia="Arial" w:hAnsi="Arial"/>
                <w:sz w:val="15"/>
                <w:szCs w:val="15"/>
                <w:color w:val="auto"/>
                <w:w w:val="99"/>
              </w:rPr>
              <w:t>20,234 56%</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Men</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color w:val="auto"/>
              </w:rPr>
              <w:t>16,728 45%</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ind w:right="3"/>
              <w:spacing w:after="0" w:line="164" w:lineRule="exact"/>
              <w:rPr>
                <w:sz w:val="20"/>
                <w:szCs w:val="20"/>
                <w:color w:val="auto"/>
              </w:rPr>
            </w:pPr>
            <w:r>
              <w:rPr>
                <w:rFonts w:ascii="Arial" w:cs="Arial" w:eastAsia="Arial" w:hAnsi="Arial"/>
                <w:sz w:val="15"/>
                <w:szCs w:val="15"/>
                <w:color w:val="auto"/>
                <w:w w:val="99"/>
              </w:rPr>
              <w:t>16,162 44%</w:t>
            </w:r>
          </w:p>
        </w:tc>
        <w:tc>
          <w:tcPr>
            <w:tcW w:w="0" w:type="dxa"/>
            <w:vAlign w:val="bottom"/>
          </w:tcPr>
          <w:p>
            <w:pPr>
              <w:spacing w:after="0"/>
              <w:rPr>
                <w:sz w:val="1"/>
                <w:szCs w:val="1"/>
                <w:color w:val="auto"/>
              </w:rPr>
            </w:pPr>
          </w:p>
        </w:tc>
      </w:tr>
      <w:tr>
        <w:trPr>
          <w:trHeight w:val="146"/>
        </w:trPr>
        <w:tc>
          <w:tcPr>
            <w:tcW w:w="3480" w:type="dxa"/>
            <w:vAlign w:val="bottom"/>
            <w:tcBorders>
              <w:left w:val="single" w:sz="8" w:color="auto"/>
              <w:right w:val="single" w:sz="8" w:color="auto"/>
            </w:tcBorders>
          </w:tcPr>
          <w:p>
            <w:pPr>
              <w:ind w:left="60"/>
              <w:spacing w:after="0" w:line="146" w:lineRule="exact"/>
              <w:rPr>
                <w:sz w:val="20"/>
                <w:szCs w:val="20"/>
                <w:color w:val="auto"/>
              </w:rPr>
            </w:pPr>
            <w:r>
              <w:rPr>
                <w:rFonts w:ascii="Arial" w:cs="Arial" w:eastAsia="Arial" w:hAnsi="Arial"/>
                <w:sz w:val="15"/>
                <w:szCs w:val="15"/>
                <w:b w:val="1"/>
                <w:bCs w:val="1"/>
                <w:color w:val="auto"/>
              </w:rPr>
              <w:t>Number of employees with a Permanent</w:t>
            </w:r>
          </w:p>
        </w:tc>
        <w:tc>
          <w:tcPr>
            <w:tcW w:w="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5"/>
                <w:szCs w:val="15"/>
                <w:b w:val="1"/>
                <w:bCs w:val="1"/>
                <w:color w:val="auto"/>
              </w:rPr>
              <w:t>36,545100%</w:t>
            </w:r>
          </w:p>
        </w:tc>
        <w:tc>
          <w:tcPr>
            <w:tcW w:w="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5"/>
                <w:szCs w:val="15"/>
                <w:b w:val="1"/>
                <w:bCs w:val="1"/>
                <w:color w:val="auto"/>
              </w:rPr>
              <w:t>34,483100%</w:t>
            </w:r>
          </w:p>
        </w:tc>
        <w:tc>
          <w:tcPr>
            <w:tcW w:w="0" w:type="dxa"/>
            <w:vAlign w:val="bottom"/>
          </w:tcPr>
          <w:p>
            <w:pPr>
              <w:spacing w:after="0"/>
              <w:rPr>
                <w:sz w:val="1"/>
                <w:szCs w:val="1"/>
                <w:color w:val="auto"/>
              </w:rPr>
            </w:pPr>
          </w:p>
        </w:tc>
      </w:tr>
      <w:tr>
        <w:trPr>
          <w:trHeight w:val="111"/>
        </w:trPr>
        <w:tc>
          <w:tcPr>
            <w:tcW w:w="34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contract (indeterminate)</w:t>
            </w:r>
          </w:p>
        </w:tc>
        <w:tc>
          <w:tcPr>
            <w:tcW w:w="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Women</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color w:val="auto"/>
              </w:rPr>
              <w:t>20,006 55%</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ind w:right="3"/>
              <w:spacing w:after="0" w:line="164" w:lineRule="exact"/>
              <w:rPr>
                <w:sz w:val="20"/>
                <w:szCs w:val="20"/>
                <w:color w:val="auto"/>
              </w:rPr>
            </w:pPr>
            <w:r>
              <w:rPr>
                <w:rFonts w:ascii="Arial" w:cs="Arial" w:eastAsia="Arial" w:hAnsi="Arial"/>
                <w:sz w:val="15"/>
                <w:szCs w:val="15"/>
                <w:color w:val="auto"/>
                <w:w w:val="99"/>
              </w:rPr>
              <w:t>19,081 55%</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Men</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color w:val="auto"/>
              </w:rPr>
              <w:t>16,539 45%</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ind w:right="3"/>
              <w:spacing w:after="0" w:line="164" w:lineRule="exact"/>
              <w:rPr>
                <w:sz w:val="20"/>
                <w:szCs w:val="20"/>
                <w:color w:val="auto"/>
              </w:rPr>
            </w:pPr>
            <w:r>
              <w:rPr>
                <w:rFonts w:ascii="Arial" w:cs="Arial" w:eastAsia="Arial" w:hAnsi="Arial"/>
                <w:sz w:val="15"/>
                <w:szCs w:val="15"/>
                <w:color w:val="auto"/>
                <w:w w:val="99"/>
              </w:rPr>
              <w:t>15,402 45%</w:t>
            </w:r>
          </w:p>
        </w:tc>
        <w:tc>
          <w:tcPr>
            <w:tcW w:w="0" w:type="dxa"/>
            <w:vAlign w:val="bottom"/>
          </w:tcPr>
          <w:p>
            <w:pPr>
              <w:spacing w:after="0"/>
              <w:rPr>
                <w:sz w:val="1"/>
                <w:szCs w:val="1"/>
                <w:color w:val="auto"/>
              </w:rPr>
            </w:pPr>
          </w:p>
        </w:tc>
      </w:tr>
      <w:tr>
        <w:trPr>
          <w:trHeight w:val="146"/>
        </w:trPr>
        <w:tc>
          <w:tcPr>
            <w:tcW w:w="3480" w:type="dxa"/>
            <w:vAlign w:val="bottom"/>
            <w:tcBorders>
              <w:left w:val="single" w:sz="8" w:color="auto"/>
              <w:right w:val="single" w:sz="8" w:color="auto"/>
            </w:tcBorders>
          </w:tcPr>
          <w:p>
            <w:pPr>
              <w:ind w:left="60"/>
              <w:spacing w:after="0" w:line="146" w:lineRule="exact"/>
              <w:rPr>
                <w:sz w:val="20"/>
                <w:szCs w:val="20"/>
                <w:color w:val="auto"/>
              </w:rPr>
            </w:pPr>
            <w:r>
              <w:rPr>
                <w:rFonts w:ascii="Arial" w:cs="Arial" w:eastAsia="Arial" w:hAnsi="Arial"/>
                <w:sz w:val="15"/>
                <w:szCs w:val="15"/>
                <w:b w:val="1"/>
                <w:bCs w:val="1"/>
                <w:color w:val="auto"/>
              </w:rPr>
              <w:t>Number of employees with a Temporary</w:t>
            </w:r>
          </w:p>
        </w:tc>
        <w:tc>
          <w:tcPr>
            <w:tcW w:w="60" w:type="dxa"/>
            <w:vAlign w:val="bottom"/>
            <w:tcBorders>
              <w:right w:val="single" w:sz="8" w:color="auto"/>
            </w:tcBorders>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423</w:t>
            </w:r>
          </w:p>
        </w:tc>
        <w:tc>
          <w:tcPr>
            <w:tcW w:w="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100%</w:t>
            </w:r>
          </w:p>
        </w:tc>
        <w:tc>
          <w:tcPr>
            <w:tcW w:w="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5"/>
                <w:szCs w:val="15"/>
                <w:b w:val="1"/>
                <w:bCs w:val="1"/>
                <w:color w:val="auto"/>
              </w:rPr>
              <w:t>1,913 100%</w:t>
            </w:r>
          </w:p>
        </w:tc>
        <w:tc>
          <w:tcPr>
            <w:tcW w:w="0" w:type="dxa"/>
            <w:vAlign w:val="bottom"/>
          </w:tcPr>
          <w:p>
            <w:pPr>
              <w:spacing w:after="0"/>
              <w:rPr>
                <w:sz w:val="1"/>
                <w:szCs w:val="1"/>
                <w:color w:val="auto"/>
              </w:rPr>
            </w:pPr>
          </w:p>
        </w:tc>
      </w:tr>
      <w:tr>
        <w:trPr>
          <w:trHeight w:val="111"/>
        </w:trPr>
        <w:tc>
          <w:tcPr>
            <w:tcW w:w="34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contract (fixed term)</w:t>
            </w:r>
          </w:p>
        </w:tc>
        <w:tc>
          <w:tcPr>
            <w:tcW w:w="60" w:type="dxa"/>
            <w:vAlign w:val="bottom"/>
            <w:tcBorders>
              <w:right w:val="single" w:sz="8" w:color="auto"/>
            </w:tcBorders>
          </w:tcPr>
          <w:p>
            <w:pPr>
              <w:spacing w:after="0"/>
              <w:rPr>
                <w:sz w:val="9"/>
                <w:szCs w:val="9"/>
                <w:color w:val="auto"/>
              </w:rPr>
            </w:pPr>
          </w:p>
        </w:tc>
        <w:tc>
          <w:tcPr>
            <w:tcW w:w="460" w:type="dxa"/>
            <w:vAlign w:val="bottom"/>
            <w:vMerge w:val="continue"/>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Women</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234</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55%</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1,153</w:t>
            </w:r>
          </w:p>
        </w:tc>
        <w:tc>
          <w:tcPr>
            <w:tcW w:w="44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Men</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189</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45%</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760</w:t>
            </w:r>
          </w:p>
        </w:tc>
        <w:tc>
          <w:tcPr>
            <w:tcW w:w="44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Number of Full-time Employees</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34,225100%</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33,024100%</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Women</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color w:val="auto"/>
              </w:rPr>
              <w:t>18,232 53%</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ind w:right="3"/>
              <w:spacing w:after="0" w:line="164" w:lineRule="exact"/>
              <w:rPr>
                <w:sz w:val="20"/>
                <w:szCs w:val="20"/>
                <w:color w:val="auto"/>
              </w:rPr>
            </w:pPr>
            <w:r>
              <w:rPr>
                <w:rFonts w:ascii="Arial" w:cs="Arial" w:eastAsia="Arial" w:hAnsi="Arial"/>
                <w:sz w:val="15"/>
                <w:szCs w:val="15"/>
                <w:color w:val="auto"/>
                <w:w w:val="99"/>
              </w:rPr>
              <w:t>17,804 54%</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Men</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color w:val="auto"/>
              </w:rPr>
              <w:t>15,993 47%</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ind w:right="3"/>
              <w:spacing w:after="0" w:line="164" w:lineRule="exact"/>
              <w:rPr>
                <w:sz w:val="20"/>
                <w:szCs w:val="20"/>
                <w:color w:val="auto"/>
              </w:rPr>
            </w:pPr>
            <w:r>
              <w:rPr>
                <w:rFonts w:ascii="Arial" w:cs="Arial" w:eastAsia="Arial" w:hAnsi="Arial"/>
                <w:sz w:val="15"/>
                <w:szCs w:val="15"/>
                <w:color w:val="auto"/>
                <w:w w:val="99"/>
              </w:rPr>
              <w:t>15,220 46%</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Number of Part Time Employees</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2,743 100%</w:t>
            </w:r>
          </w:p>
        </w:tc>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3,372 100%</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Women</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2,008</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73%</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2,430</w:t>
            </w:r>
          </w:p>
        </w:tc>
        <w:tc>
          <w:tcPr>
            <w:tcW w:w="44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64"/>
        </w:trPr>
        <w:tc>
          <w:tcPr>
            <w:tcW w:w="3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Men</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735</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27%</w:t>
            </w:r>
          </w:p>
        </w:tc>
        <w:tc>
          <w:tcPr>
            <w:tcW w:w="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942</w:t>
            </w:r>
          </w:p>
        </w:tc>
        <w:tc>
          <w:tcPr>
            <w:tcW w:w="440" w:type="dxa"/>
            <w:vAlign w:val="bottom"/>
            <w:tcBorders>
              <w:bottom w:val="single" w:sz="8" w:color="auto"/>
              <w:right w:val="single" w:sz="8" w:color="auto"/>
            </w:tcBorders>
          </w:tcPr>
          <w:p>
            <w:pPr>
              <w:jc w:val="right"/>
              <w:ind w:right="3"/>
              <w:spacing w:after="0" w:line="164"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-2100580</wp:posOffset>
            </wp:positionV>
            <wp:extent cx="7620" cy="21012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20" cy="21012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-2100580</wp:posOffset>
            </wp:positionV>
            <wp:extent cx="7620" cy="21012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20" cy="21012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132080</wp:posOffset>
            </wp:positionV>
            <wp:extent cx="103251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32510" cy="7620"/>
                    </a:xfrm>
                    <a:prstGeom prst="rect">
                      <a:avLst/>
                    </a:prstGeom>
                    <a:noFill/>
                  </pic:spPr>
                </pic:pic>
              </a:graphicData>
            </a:graphic>
          </wp:anchor>
        </w:drawing>
      </w:r>
    </w:p>
    <w:p>
      <w:pPr>
        <w:spacing w:after="0" w:line="302" w:lineRule="exact"/>
        <w:rPr>
          <w:sz w:val="20"/>
          <w:szCs w:val="20"/>
          <w:color w:val="auto"/>
        </w:rPr>
      </w:pPr>
    </w:p>
    <w:p>
      <w:pPr>
        <w:ind w:right="180"/>
        <w:spacing w:after="0" w:line="192" w:lineRule="auto"/>
        <w:rPr>
          <w:sz w:val="20"/>
          <w:szCs w:val="20"/>
          <w:color w:val="auto"/>
        </w:rPr>
      </w:pPr>
      <w:r>
        <w:rPr>
          <w:rFonts w:ascii="Arial" w:cs="Arial" w:eastAsia="Arial" w:hAnsi="Arial"/>
          <w:sz w:val="25"/>
          <w:szCs w:val="25"/>
          <w:color w:val="auto"/>
          <w:vertAlign w:val="superscript"/>
        </w:rPr>
        <w:t>62,64,66,68</w:t>
      </w:r>
      <w:r>
        <w:rPr>
          <w:rFonts w:ascii="Arial" w:cs="Arial" w:eastAsia="Arial" w:hAnsi="Arial"/>
          <w:sz w:val="15"/>
          <w:szCs w:val="15"/>
          <w:color w:val="auto"/>
        </w:rPr>
        <w:t xml:space="preserve"> There are differences vs 2021 Report given that some companies’ updates were made after the report was published.</w:t>
      </w:r>
    </w:p>
    <w:p>
      <w:pPr>
        <w:spacing w:after="0" w:line="151" w:lineRule="exact"/>
        <w:rPr>
          <w:sz w:val="20"/>
          <w:szCs w:val="20"/>
          <w:color w:val="auto"/>
        </w:rPr>
      </w:pPr>
    </w:p>
    <w:p>
      <w:pPr>
        <w:ind w:right="20"/>
        <w:spacing w:after="0" w:line="213" w:lineRule="auto"/>
        <w:rPr>
          <w:sz w:val="20"/>
          <w:szCs w:val="20"/>
          <w:color w:val="auto"/>
        </w:rPr>
      </w:pPr>
      <w:r>
        <w:rPr>
          <w:rFonts w:ascii="Arial" w:cs="Arial" w:eastAsia="Arial" w:hAnsi="Arial"/>
          <w:sz w:val="25"/>
          <w:szCs w:val="25"/>
          <w:color w:val="auto"/>
          <w:vertAlign w:val="superscript"/>
        </w:rPr>
        <w:t>61,63,65,67</w:t>
      </w:r>
      <w:r>
        <w:rPr>
          <w:rFonts w:ascii="Arial" w:cs="Arial" w:eastAsia="Arial" w:hAnsi="Arial"/>
          <w:sz w:val="15"/>
          <w:szCs w:val="15"/>
          <w:color w:val="auto"/>
        </w:rPr>
        <w:t xml:space="preserve"> Consolidated data at Credicorp level based on the following companies: BCP Perú, Pacífico Seguros, Prima AFP, MiBanco Perú, Credicorp Capital, BCP Bolivia, MiBanco Colombia, Grupo Crédito, BCP Miami, BCP Panamá Agency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5"/>
        </w:trPr>
        <w:tc>
          <w:tcPr>
            <w:tcW w:w="2180" w:type="dxa"/>
            <w:vAlign w:val="bottom"/>
            <w:tcBorders>
              <w:top w:val="single" w:sz="8" w:color="auto"/>
              <w:left w:val="single" w:sz="8" w:color="auto"/>
              <w:bottom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 xml:space="preserve">Employees by country </w:t>
            </w:r>
            <w:r>
              <w:rPr>
                <w:rFonts w:ascii="Arial" w:cs="Arial" w:eastAsia="Arial" w:hAnsi="Arial"/>
                <w:sz w:val="25"/>
                <w:szCs w:val="25"/>
                <w:b w:val="1"/>
                <w:bCs w:val="1"/>
                <w:color w:val="auto"/>
                <w:vertAlign w:val="superscript"/>
              </w:rPr>
              <w:t>63</w:t>
            </w:r>
          </w:p>
        </w:tc>
        <w:tc>
          <w:tcPr>
            <w:tcW w:w="120" w:type="dxa"/>
            <w:vAlign w:val="bottom"/>
            <w:tcBorders>
              <w:right w:val="single" w:sz="8" w:color="auto"/>
            </w:tcBorders>
          </w:tcPr>
          <w:p>
            <w:pPr>
              <w:spacing w:after="0"/>
              <w:rPr>
                <w:sz w:val="16"/>
                <w:szCs w:val="16"/>
                <w:color w:val="auto"/>
              </w:rPr>
            </w:pPr>
          </w:p>
        </w:tc>
        <w:tc>
          <w:tcPr>
            <w:tcW w:w="1520" w:type="dxa"/>
            <w:vAlign w:val="bottom"/>
            <w:tcBorders>
              <w:top w:val="single" w:sz="8" w:color="auto"/>
              <w:bottom w:val="single" w:sz="8" w:color="auto"/>
              <w:right w:val="single" w:sz="8" w:color="auto"/>
            </w:tcBorders>
            <w:gridSpan w:val="2"/>
          </w:tcPr>
          <w:p>
            <w:pPr>
              <w:jc w:val="right"/>
              <w:ind w:right="5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right w:val="single" w:sz="8" w:color="auto"/>
            </w:tcBorders>
          </w:tcPr>
          <w:p>
            <w:pPr>
              <w:spacing w:after="0"/>
              <w:rPr>
                <w:sz w:val="16"/>
                <w:szCs w:val="16"/>
                <w:color w:val="auto"/>
              </w:rPr>
            </w:pPr>
          </w:p>
        </w:tc>
        <w:tc>
          <w:tcPr>
            <w:tcW w:w="1500" w:type="dxa"/>
            <w:vAlign w:val="bottom"/>
            <w:tcBorders>
              <w:top w:val="single" w:sz="8" w:color="auto"/>
              <w:bottom w:val="single" w:sz="8" w:color="auto"/>
              <w:right w:val="single" w:sz="8" w:color="auto"/>
            </w:tcBorders>
            <w:gridSpan w:val="2"/>
          </w:tcPr>
          <w:p>
            <w:pPr>
              <w:jc w:val="right"/>
              <w:ind w:right="443"/>
              <w:spacing w:after="0" w:line="185" w:lineRule="exact"/>
              <w:rPr>
                <w:sz w:val="20"/>
                <w:szCs w:val="20"/>
                <w:color w:val="auto"/>
              </w:rPr>
            </w:pPr>
            <w:r>
              <w:rPr>
                <w:rFonts w:ascii="Arial" w:cs="Arial" w:eastAsia="Arial" w:hAnsi="Arial"/>
                <w:sz w:val="13"/>
                <w:szCs w:val="13"/>
                <w:b w:val="1"/>
                <w:bCs w:val="1"/>
                <w:color w:val="auto"/>
              </w:rPr>
              <w:t>2021</w:t>
            </w:r>
            <w:r>
              <w:rPr>
                <w:rFonts w:ascii="Arial" w:cs="Arial" w:eastAsia="Arial" w:hAnsi="Arial"/>
                <w:sz w:val="21"/>
                <w:szCs w:val="21"/>
                <w:b w:val="1"/>
                <w:bCs w:val="1"/>
                <w:color w:val="auto"/>
                <w:vertAlign w:val="superscript"/>
              </w:rPr>
              <w:t>64</w:t>
            </w:r>
          </w:p>
        </w:tc>
        <w:tc>
          <w:tcPr>
            <w:tcW w:w="0" w:type="dxa"/>
            <w:vAlign w:val="bottom"/>
          </w:tcPr>
          <w:p>
            <w:pPr>
              <w:spacing w:after="0"/>
              <w:rPr>
                <w:sz w:val="1"/>
                <w:szCs w:val="1"/>
                <w:color w:val="auto"/>
              </w:rPr>
            </w:pPr>
          </w:p>
        </w:tc>
      </w:tr>
      <w:tr>
        <w:trPr>
          <w:trHeight w:val="130"/>
        </w:trPr>
        <w:tc>
          <w:tcPr>
            <w:tcW w:w="218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restart"/>
          </w:tcPr>
          <w:p>
            <w:pPr>
              <w:ind w:left="300"/>
              <w:spacing w:after="0" w:line="164" w:lineRule="exact"/>
              <w:rPr>
                <w:sz w:val="20"/>
                <w:szCs w:val="20"/>
                <w:color w:val="auto"/>
              </w:rPr>
            </w:pPr>
            <w:r>
              <w:rPr>
                <w:rFonts w:ascii="Arial" w:cs="Arial" w:eastAsia="Arial" w:hAnsi="Arial"/>
                <w:sz w:val="15"/>
                <w:szCs w:val="15"/>
                <w:b w:val="1"/>
                <w:bCs w:val="1"/>
                <w:color w:val="auto"/>
              </w:rPr>
              <w:t>Q</w:t>
            </w:r>
          </w:p>
        </w:tc>
        <w:tc>
          <w:tcPr>
            <w:tcW w:w="7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b w:val="1"/>
                <w:bCs w:val="1"/>
                <w:color w:val="auto"/>
              </w:rPr>
              <w:t>%</w:t>
            </w:r>
          </w:p>
        </w:tc>
        <w:tc>
          <w:tcPr>
            <w:tcW w:w="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ind w:left="300"/>
              <w:spacing w:after="0" w:line="164" w:lineRule="exact"/>
              <w:rPr>
                <w:sz w:val="20"/>
                <w:szCs w:val="20"/>
                <w:color w:val="auto"/>
              </w:rPr>
            </w:pPr>
            <w:r>
              <w:rPr>
                <w:rFonts w:ascii="Arial" w:cs="Arial" w:eastAsia="Arial" w:hAnsi="Arial"/>
                <w:sz w:val="15"/>
                <w:szCs w:val="15"/>
                <w:b w:val="1"/>
                <w:bCs w:val="1"/>
                <w:color w:val="auto"/>
              </w:rPr>
              <w:t>Q</w:t>
            </w:r>
          </w:p>
        </w:tc>
        <w:tc>
          <w:tcPr>
            <w:tcW w:w="7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5"/>
        </w:trPr>
        <w:tc>
          <w:tcPr>
            <w:tcW w:w="21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74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Total Number of Employees</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36,968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100%</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36,396</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100%</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Peru</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31,094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84.1%</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31,018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85.2%</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Bolivia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1,763</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4.8%</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1,633</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USA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0.2%</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Colombia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3,660</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9.9%</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3,274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Panama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159</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0.4%</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168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Chile</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218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229</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99"/>
        </w:trPr>
        <w:tc>
          <w:tcPr>
            <w:tcW w:w="2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Employees by country</w:t>
            </w:r>
            <w:r>
              <w:rPr>
                <w:rFonts w:ascii="Arial" w:cs="Arial" w:eastAsia="Arial" w:hAnsi="Arial"/>
                <w:sz w:val="25"/>
                <w:szCs w:val="25"/>
                <w:b w:val="1"/>
                <w:bCs w:val="1"/>
                <w:color w:val="auto"/>
                <w:vertAlign w:val="superscript"/>
              </w:rPr>
              <w:t>65</w:t>
            </w:r>
          </w:p>
        </w:tc>
        <w:tc>
          <w:tcPr>
            <w:tcW w:w="120" w:type="dxa"/>
            <w:vAlign w:val="bottom"/>
            <w:tcBorders>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gridSpan w:val="2"/>
          </w:tcPr>
          <w:p>
            <w:pPr>
              <w:jc w:val="right"/>
              <w:ind w:right="523"/>
              <w:spacing w:after="0" w:line="164" w:lineRule="exact"/>
              <w:rPr>
                <w:sz w:val="20"/>
                <w:szCs w:val="20"/>
                <w:color w:val="auto"/>
              </w:rPr>
            </w:pPr>
            <w:r>
              <w:rPr>
                <w:rFonts w:ascii="Arial" w:cs="Arial" w:eastAsia="Arial" w:hAnsi="Arial"/>
                <w:sz w:val="15"/>
                <w:szCs w:val="15"/>
                <w:b w:val="1"/>
                <w:bCs w:val="1"/>
                <w:color w:val="auto"/>
              </w:rPr>
              <w:t>2022</w:t>
            </w:r>
          </w:p>
        </w:tc>
        <w:tc>
          <w:tcPr>
            <w:tcW w:w="100" w:type="dxa"/>
            <w:vAlign w:val="bottom"/>
            <w:tcBorders>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gridSpan w:val="2"/>
          </w:tcPr>
          <w:p>
            <w:pPr>
              <w:jc w:val="right"/>
              <w:ind w:right="443"/>
              <w:spacing w:after="0" w:line="164" w:lineRule="exact"/>
              <w:rPr>
                <w:sz w:val="20"/>
                <w:szCs w:val="20"/>
                <w:color w:val="auto"/>
              </w:rPr>
            </w:pPr>
            <w:r>
              <w:rPr>
                <w:rFonts w:ascii="Arial" w:cs="Arial" w:eastAsia="Arial" w:hAnsi="Arial"/>
                <w:sz w:val="12"/>
                <w:szCs w:val="12"/>
                <w:b w:val="1"/>
                <w:bCs w:val="1"/>
                <w:color w:val="auto"/>
              </w:rPr>
              <w:t>2021</w:t>
            </w:r>
            <w:r>
              <w:rPr>
                <w:rFonts w:ascii="Arial" w:cs="Arial" w:eastAsia="Arial" w:hAnsi="Arial"/>
                <w:sz w:val="19"/>
                <w:szCs w:val="19"/>
                <w:b w:val="1"/>
                <w:bCs w:val="1"/>
                <w:color w:val="auto"/>
                <w:vertAlign w:val="superscript"/>
              </w:rPr>
              <w:t>66</w:t>
            </w:r>
          </w:p>
        </w:tc>
        <w:tc>
          <w:tcPr>
            <w:tcW w:w="0" w:type="dxa"/>
            <w:vAlign w:val="bottom"/>
          </w:tcPr>
          <w:p>
            <w:pPr>
              <w:spacing w:after="0"/>
              <w:rPr>
                <w:sz w:val="1"/>
                <w:szCs w:val="1"/>
                <w:color w:val="auto"/>
              </w:rPr>
            </w:pPr>
          </w:p>
        </w:tc>
      </w:tr>
      <w:tr>
        <w:trPr>
          <w:trHeight w:val="130"/>
        </w:trPr>
        <w:tc>
          <w:tcPr>
            <w:tcW w:w="218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restart"/>
          </w:tcPr>
          <w:p>
            <w:pPr>
              <w:ind w:left="300"/>
              <w:spacing w:after="0" w:line="164" w:lineRule="exact"/>
              <w:rPr>
                <w:sz w:val="20"/>
                <w:szCs w:val="20"/>
                <w:color w:val="auto"/>
              </w:rPr>
            </w:pPr>
            <w:r>
              <w:rPr>
                <w:rFonts w:ascii="Arial" w:cs="Arial" w:eastAsia="Arial" w:hAnsi="Arial"/>
                <w:sz w:val="15"/>
                <w:szCs w:val="15"/>
                <w:b w:val="1"/>
                <w:bCs w:val="1"/>
                <w:color w:val="auto"/>
              </w:rPr>
              <w:t>Q</w:t>
            </w:r>
          </w:p>
        </w:tc>
        <w:tc>
          <w:tcPr>
            <w:tcW w:w="7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b w:val="1"/>
                <w:bCs w:val="1"/>
                <w:color w:val="auto"/>
              </w:rPr>
              <w:t>%</w:t>
            </w:r>
          </w:p>
        </w:tc>
        <w:tc>
          <w:tcPr>
            <w:tcW w:w="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ind w:left="300"/>
              <w:spacing w:after="0" w:line="164" w:lineRule="exact"/>
              <w:rPr>
                <w:sz w:val="20"/>
                <w:szCs w:val="20"/>
                <w:color w:val="auto"/>
              </w:rPr>
            </w:pPr>
            <w:r>
              <w:rPr>
                <w:rFonts w:ascii="Arial" w:cs="Arial" w:eastAsia="Arial" w:hAnsi="Arial"/>
                <w:sz w:val="15"/>
                <w:szCs w:val="15"/>
                <w:b w:val="1"/>
                <w:bCs w:val="1"/>
                <w:color w:val="auto"/>
              </w:rPr>
              <w:t>Q</w:t>
            </w:r>
          </w:p>
        </w:tc>
        <w:tc>
          <w:tcPr>
            <w:tcW w:w="7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5"/>
        </w:trPr>
        <w:tc>
          <w:tcPr>
            <w:tcW w:w="21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74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18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Number of employees with</w:t>
            </w:r>
          </w:p>
        </w:tc>
        <w:tc>
          <w:tcPr>
            <w:tcW w:w="1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a Permanent contract</w:t>
            </w:r>
          </w:p>
        </w:tc>
        <w:tc>
          <w:tcPr>
            <w:tcW w:w="1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36,545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100%</w:t>
            </w:r>
          </w:p>
        </w:tc>
        <w:tc>
          <w:tcPr>
            <w:tcW w:w="1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34,483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100%</w:t>
            </w:r>
          </w:p>
        </w:tc>
        <w:tc>
          <w:tcPr>
            <w:tcW w:w="0" w:type="dxa"/>
            <w:vAlign w:val="bottom"/>
          </w:tcPr>
          <w:p>
            <w:pPr>
              <w:spacing w:after="0"/>
              <w:rPr>
                <w:sz w:val="1"/>
                <w:szCs w:val="1"/>
                <w:color w:val="auto"/>
              </w:rPr>
            </w:pPr>
          </w:p>
        </w:tc>
      </w:tr>
      <w:tr>
        <w:trPr>
          <w:trHeight w:val="192"/>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(indeterminate)</w:t>
            </w:r>
          </w:p>
        </w:tc>
        <w:tc>
          <w:tcPr>
            <w:tcW w:w="120" w:type="dxa"/>
            <w:vAlign w:val="bottom"/>
            <w:tcBorders>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Peru</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30,820</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84.3%</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29,778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86.4%</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Bolivia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1,756</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4.8%</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1,622</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USA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72</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0.2%</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70</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Colombia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3,533</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9.7%</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2,650</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Panamá</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147</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0.4%</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135</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Chile</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217</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228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99"/>
        </w:trPr>
        <w:tc>
          <w:tcPr>
            <w:tcW w:w="2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Employees by country</w:t>
            </w:r>
            <w:r>
              <w:rPr>
                <w:rFonts w:ascii="Arial" w:cs="Arial" w:eastAsia="Arial" w:hAnsi="Arial"/>
                <w:sz w:val="25"/>
                <w:szCs w:val="25"/>
                <w:b w:val="1"/>
                <w:bCs w:val="1"/>
                <w:color w:val="auto"/>
                <w:vertAlign w:val="superscript"/>
              </w:rPr>
              <w:t>67</w:t>
            </w:r>
          </w:p>
        </w:tc>
        <w:tc>
          <w:tcPr>
            <w:tcW w:w="120" w:type="dxa"/>
            <w:vAlign w:val="bottom"/>
            <w:tcBorders>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gridSpan w:val="2"/>
          </w:tcPr>
          <w:p>
            <w:pPr>
              <w:jc w:val="right"/>
              <w:ind w:right="523"/>
              <w:spacing w:after="0" w:line="164" w:lineRule="exact"/>
              <w:rPr>
                <w:sz w:val="20"/>
                <w:szCs w:val="20"/>
                <w:color w:val="auto"/>
              </w:rPr>
            </w:pPr>
            <w:r>
              <w:rPr>
                <w:rFonts w:ascii="Arial" w:cs="Arial" w:eastAsia="Arial" w:hAnsi="Arial"/>
                <w:sz w:val="15"/>
                <w:szCs w:val="15"/>
                <w:b w:val="1"/>
                <w:bCs w:val="1"/>
                <w:color w:val="auto"/>
              </w:rPr>
              <w:t>2022</w:t>
            </w:r>
          </w:p>
        </w:tc>
        <w:tc>
          <w:tcPr>
            <w:tcW w:w="100" w:type="dxa"/>
            <w:vAlign w:val="bottom"/>
            <w:tcBorders>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gridSpan w:val="2"/>
          </w:tcPr>
          <w:p>
            <w:pPr>
              <w:jc w:val="right"/>
              <w:ind w:right="443"/>
              <w:spacing w:after="0" w:line="164" w:lineRule="exact"/>
              <w:rPr>
                <w:sz w:val="20"/>
                <w:szCs w:val="20"/>
                <w:color w:val="auto"/>
              </w:rPr>
            </w:pPr>
            <w:r>
              <w:rPr>
                <w:rFonts w:ascii="Arial" w:cs="Arial" w:eastAsia="Arial" w:hAnsi="Arial"/>
                <w:sz w:val="12"/>
                <w:szCs w:val="12"/>
                <w:b w:val="1"/>
                <w:bCs w:val="1"/>
                <w:color w:val="auto"/>
              </w:rPr>
              <w:t>2021</w:t>
            </w:r>
            <w:r>
              <w:rPr>
                <w:rFonts w:ascii="Arial" w:cs="Arial" w:eastAsia="Arial" w:hAnsi="Arial"/>
                <w:sz w:val="19"/>
                <w:szCs w:val="19"/>
                <w:b w:val="1"/>
                <w:bCs w:val="1"/>
                <w:color w:val="auto"/>
                <w:vertAlign w:val="superscript"/>
              </w:rPr>
              <w:t>68</w:t>
            </w:r>
          </w:p>
        </w:tc>
        <w:tc>
          <w:tcPr>
            <w:tcW w:w="0" w:type="dxa"/>
            <w:vAlign w:val="bottom"/>
          </w:tcPr>
          <w:p>
            <w:pPr>
              <w:spacing w:after="0"/>
              <w:rPr>
                <w:sz w:val="1"/>
                <w:szCs w:val="1"/>
                <w:color w:val="auto"/>
              </w:rPr>
            </w:pPr>
          </w:p>
        </w:tc>
      </w:tr>
      <w:tr>
        <w:trPr>
          <w:trHeight w:val="130"/>
        </w:trPr>
        <w:tc>
          <w:tcPr>
            <w:tcW w:w="218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restart"/>
          </w:tcPr>
          <w:p>
            <w:pPr>
              <w:ind w:left="300"/>
              <w:spacing w:after="0" w:line="164" w:lineRule="exact"/>
              <w:rPr>
                <w:sz w:val="20"/>
                <w:szCs w:val="20"/>
                <w:color w:val="auto"/>
              </w:rPr>
            </w:pPr>
            <w:r>
              <w:rPr>
                <w:rFonts w:ascii="Arial" w:cs="Arial" w:eastAsia="Arial" w:hAnsi="Arial"/>
                <w:sz w:val="15"/>
                <w:szCs w:val="15"/>
                <w:b w:val="1"/>
                <w:bCs w:val="1"/>
                <w:color w:val="auto"/>
              </w:rPr>
              <w:t>Q</w:t>
            </w:r>
          </w:p>
        </w:tc>
        <w:tc>
          <w:tcPr>
            <w:tcW w:w="7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b w:val="1"/>
                <w:bCs w:val="1"/>
                <w:color w:val="auto"/>
              </w:rPr>
              <w:t>%</w:t>
            </w:r>
          </w:p>
        </w:tc>
        <w:tc>
          <w:tcPr>
            <w:tcW w:w="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ind w:left="300"/>
              <w:spacing w:after="0" w:line="164" w:lineRule="exact"/>
              <w:rPr>
                <w:sz w:val="20"/>
                <w:szCs w:val="20"/>
                <w:color w:val="auto"/>
              </w:rPr>
            </w:pPr>
            <w:r>
              <w:rPr>
                <w:rFonts w:ascii="Arial" w:cs="Arial" w:eastAsia="Arial" w:hAnsi="Arial"/>
                <w:sz w:val="15"/>
                <w:szCs w:val="15"/>
                <w:b w:val="1"/>
                <w:bCs w:val="1"/>
                <w:color w:val="auto"/>
              </w:rPr>
              <w:t>Q</w:t>
            </w:r>
          </w:p>
        </w:tc>
        <w:tc>
          <w:tcPr>
            <w:tcW w:w="7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5"/>
        </w:trPr>
        <w:tc>
          <w:tcPr>
            <w:tcW w:w="21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74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18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5"/>
                <w:szCs w:val="15"/>
                <w:b w:val="1"/>
                <w:bCs w:val="1"/>
                <w:color w:val="auto"/>
              </w:rPr>
              <w:t>Number of employees with</w:t>
            </w:r>
          </w:p>
        </w:tc>
        <w:tc>
          <w:tcPr>
            <w:tcW w:w="1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a Temporary contract (fixed</w:t>
            </w:r>
          </w:p>
        </w:tc>
        <w:tc>
          <w:tcPr>
            <w:tcW w:w="1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423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100%</w:t>
            </w:r>
          </w:p>
        </w:tc>
        <w:tc>
          <w:tcPr>
            <w:tcW w:w="1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1,913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100%</w:t>
            </w:r>
          </w:p>
        </w:tc>
        <w:tc>
          <w:tcPr>
            <w:tcW w:w="0" w:type="dxa"/>
            <w:vAlign w:val="bottom"/>
          </w:tcPr>
          <w:p>
            <w:pPr>
              <w:spacing w:after="0"/>
              <w:rPr>
                <w:sz w:val="1"/>
                <w:szCs w:val="1"/>
                <w:color w:val="auto"/>
              </w:rPr>
            </w:pPr>
          </w:p>
        </w:tc>
      </w:tr>
      <w:tr>
        <w:trPr>
          <w:trHeight w:val="192"/>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term)</w:t>
            </w:r>
          </w:p>
        </w:tc>
        <w:tc>
          <w:tcPr>
            <w:tcW w:w="120" w:type="dxa"/>
            <w:vAlign w:val="bottom"/>
            <w:tcBorders>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Peru</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274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64.8%</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1,240</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64.8%</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Bolivia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7</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11</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USA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0.5%</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Colombia</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127</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30.0%</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624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Panamá</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2.8%</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33</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4"/>
        </w:trPr>
        <w:tc>
          <w:tcPr>
            <w:tcW w:w="218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Chile</w:t>
            </w:r>
          </w:p>
        </w:tc>
        <w:tc>
          <w:tcPr>
            <w:tcW w:w="12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0.2%</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bl>
    <w:p>
      <w:pPr>
        <w:spacing w:after="0" w:line="35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380" w:space="460"/>
            <w:col w:w="5420"/>
          </w:cols>
          <w:pgMar w:left="320" w:top="279" w:right="319" w:bottom="1440" w:gutter="0" w:footer="0" w:header="0"/>
        </w:sectPr>
      </w:pPr>
    </w:p>
    <w:bookmarkStart w:id="165" w:name="page166"/>
    <w:bookmarkEnd w:id="165"/>
    <w:p>
      <w:pPr>
        <w:spacing w:after="0" w:line="201" w:lineRule="auto"/>
        <w:framePr w:w="640" w:h="116" w:wrap="auto" w:vAnchor="page" w:hAnchor="page" w:x="280" w:y="5454"/>
        <w:rPr>
          <w:rFonts w:ascii="Arial" w:cs="Arial" w:eastAsia="Arial" w:hAnsi="Arial"/>
          <w:sz w:val="12"/>
          <w:szCs w:val="12"/>
          <w:color w:val="auto"/>
        </w:rPr>
      </w:pPr>
      <w:r>
        <w:rPr>
          <w:rFonts w:ascii="Arial" w:cs="Arial" w:eastAsia="Arial" w:hAnsi="Arial"/>
          <w:sz w:val="12"/>
          <w:szCs w:val="12"/>
          <w:color w:val="auto"/>
        </w:rPr>
        <w:t>72, 72, 74</w:t>
      </w:r>
    </w:p>
    <w:p>
      <w:pPr>
        <w:spacing w:after="0" w:line="168"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198120</wp:posOffset>
            </wp:positionH>
            <wp:positionV relativeFrom="page">
              <wp:posOffset>220980</wp:posOffset>
            </wp:positionV>
            <wp:extent cx="1376045" cy="11715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6045" cy="11715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auto"/>
        </w:rPr>
        <w:t>Employees by country</w:t>
      </w:r>
      <w:r>
        <w:rPr>
          <w:rFonts w:ascii="Arial" w:cs="Arial" w:eastAsia="Arial" w:hAnsi="Arial"/>
          <w:sz w:val="24"/>
          <w:szCs w:val="24"/>
          <w:b w:val="1"/>
          <w:bCs w:val="1"/>
          <w:color w:val="auto"/>
          <w:vertAlign w:val="superscript"/>
        </w:rPr>
        <w:t>69</w:t>
      </w:r>
    </w:p>
    <w:p>
      <w:pPr>
        <w:spacing w:after="0" w:line="28" w:lineRule="exact"/>
        <w:rPr>
          <w:rFonts w:ascii="Arial" w:cs="Arial" w:eastAsia="Arial" w:hAnsi="Arial"/>
          <w:sz w:val="12"/>
          <w:szCs w:val="12"/>
          <w:color w:val="auto"/>
        </w:rPr>
      </w:pPr>
    </w:p>
    <w:p>
      <w:pPr>
        <w:ind w:left="60" w:right="360"/>
        <w:spacing w:after="0" w:line="248" w:lineRule="auto"/>
        <w:rPr>
          <w:sz w:val="20"/>
          <w:szCs w:val="20"/>
          <w:color w:val="auto"/>
        </w:rPr>
      </w:pPr>
      <w:r>
        <w:rPr>
          <w:rFonts w:ascii="Arial" w:cs="Arial" w:eastAsia="Arial" w:hAnsi="Arial"/>
          <w:sz w:val="15"/>
          <w:szCs w:val="15"/>
          <w:b w:val="1"/>
          <w:bCs w:val="1"/>
          <w:color w:val="auto"/>
        </w:rPr>
        <w:t>Number of full-time employees</w:t>
      </w:r>
    </w:p>
    <w:p>
      <w:pPr>
        <w:spacing w:after="0" w:line="1"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color w:val="auto"/>
        </w:rPr>
        <w:t>Peru</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color w:val="auto"/>
        </w:rPr>
        <w:t>Bolivia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color w:val="auto"/>
        </w:rPr>
        <w:t>USA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color w:val="auto"/>
        </w:rPr>
        <w:t>Colombia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color w:val="auto"/>
        </w:rPr>
        <w:t>Panama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color w:val="auto"/>
        </w:rPr>
        <w:t>Chile</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376045" cy="11715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6045" cy="1171575"/>
                    </a:xfrm>
                    <a:prstGeom prst="rect">
                      <a:avLst/>
                    </a:prstGeom>
                    <a:noFill/>
                  </pic:spPr>
                </pic:pic>
              </a:graphicData>
            </a:graphic>
          </wp:anchor>
        </w:drawing>
      </w:r>
    </w:p>
    <w:p>
      <w:pPr>
        <w:spacing w:after="0" w:line="276"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b w:val="1"/>
          <w:bCs w:val="1"/>
          <w:color w:val="auto"/>
        </w:rPr>
        <w:t>Employees by country</w:t>
      </w:r>
      <w:r>
        <w:rPr>
          <w:rFonts w:ascii="Arial" w:cs="Arial" w:eastAsia="Arial" w:hAnsi="Arial"/>
          <w:sz w:val="24"/>
          <w:szCs w:val="24"/>
          <w:b w:val="1"/>
          <w:bCs w:val="1"/>
          <w:color w:val="auto"/>
          <w:vertAlign w:val="superscript"/>
        </w:rPr>
        <w:t>71</w:t>
      </w:r>
    </w:p>
    <w:p>
      <w:pPr>
        <w:spacing w:after="0" w:line="28" w:lineRule="exact"/>
        <w:rPr>
          <w:rFonts w:ascii="Arial" w:cs="Arial" w:eastAsia="Arial" w:hAnsi="Arial"/>
          <w:sz w:val="12"/>
          <w:szCs w:val="12"/>
          <w:color w:val="auto"/>
        </w:rPr>
      </w:pPr>
    </w:p>
    <w:p>
      <w:pPr>
        <w:ind w:left="60" w:right="300"/>
        <w:spacing w:after="0" w:line="248" w:lineRule="auto"/>
        <w:rPr>
          <w:sz w:val="20"/>
          <w:szCs w:val="20"/>
          <w:color w:val="auto"/>
        </w:rPr>
      </w:pPr>
      <w:r>
        <w:rPr>
          <w:rFonts w:ascii="Arial" w:cs="Arial" w:eastAsia="Arial" w:hAnsi="Arial"/>
          <w:sz w:val="15"/>
          <w:szCs w:val="15"/>
          <w:b w:val="1"/>
          <w:bCs w:val="1"/>
          <w:color w:val="auto"/>
        </w:rPr>
        <w:t>Number of part-time employees</w:t>
      </w:r>
    </w:p>
    <w:p>
      <w:pPr>
        <w:spacing w:after="0" w:line="1"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i w:val="1"/>
          <w:iCs w:val="1"/>
          <w:color w:val="auto"/>
        </w:rPr>
        <w:t>Peru</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i w:val="1"/>
          <w:iCs w:val="1"/>
          <w:color w:val="auto"/>
        </w:rPr>
        <w:t>Bolivia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i w:val="1"/>
          <w:iCs w:val="1"/>
          <w:color w:val="auto"/>
        </w:rPr>
        <w:t>USA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i w:val="1"/>
          <w:iCs w:val="1"/>
          <w:color w:val="auto"/>
        </w:rPr>
        <w:t>Colombia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i w:val="1"/>
          <w:iCs w:val="1"/>
          <w:color w:val="auto"/>
        </w:rPr>
        <w:t>Panama</w:t>
      </w:r>
    </w:p>
    <w:p>
      <w:pPr>
        <w:spacing w:after="0" w:line="12"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i w:val="1"/>
          <w:iCs w:val="1"/>
          <w:color w:val="auto"/>
        </w:rPr>
        <w:t>Chile</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214503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65" w:lineRule="exact"/>
        <w:rPr>
          <w:rFonts w:ascii="Arial" w:cs="Arial" w:eastAsia="Arial" w:hAnsi="Arial"/>
          <w:sz w:val="12"/>
          <w:szCs w:val="12"/>
          <w:color w:val="auto"/>
        </w:rPr>
      </w:pPr>
    </w:p>
    <w:p>
      <w:pPr>
        <w:ind w:left="440"/>
        <w:spacing w:after="0"/>
        <w:rPr>
          <w:sz w:val="20"/>
          <w:szCs w:val="20"/>
          <w:color w:val="auto"/>
        </w:rPr>
      </w:pPr>
      <w:r>
        <w:rPr>
          <w:rFonts w:ascii="Arial" w:cs="Arial" w:eastAsia="Arial" w:hAnsi="Arial"/>
          <w:sz w:val="15"/>
          <w:szCs w:val="15"/>
          <w:b w:val="1"/>
          <w:bCs w:val="1"/>
          <w:color w:val="auto"/>
        </w:rPr>
        <w:t>2022</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-99060</wp:posOffset>
            </wp:positionH>
            <wp:positionV relativeFrom="paragraph">
              <wp:posOffset>-104140</wp:posOffset>
            </wp:positionV>
            <wp:extent cx="966470" cy="11715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66470" cy="1171575"/>
                    </a:xfrm>
                    <a:prstGeom prst="rect">
                      <a:avLst/>
                    </a:prstGeom>
                    <a:noFill/>
                  </pic:spPr>
                </pic:pic>
              </a:graphicData>
            </a:graphic>
          </wp:anchor>
        </w:drawing>
      </w:r>
    </w:p>
    <w:p>
      <w:pPr>
        <w:spacing w:after="0" w:line="10" w:lineRule="exact"/>
        <w:rPr>
          <w:rFonts w:ascii="Arial" w:cs="Arial" w:eastAsia="Arial" w:hAnsi="Arial"/>
          <w:sz w:val="12"/>
          <w:szCs w:val="12"/>
          <w:color w:val="auto"/>
        </w:rPr>
      </w:pPr>
    </w:p>
    <w:p>
      <w:pPr>
        <w:ind w:left="920" w:hanging="750"/>
        <w:spacing w:after="0"/>
        <w:tabs>
          <w:tab w:leader="none" w:pos="920" w:val="left"/>
        </w:tabs>
        <w:numPr>
          <w:ilvl w:val="0"/>
          <w:numId w:val="122"/>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7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34,225100%</w:t>
      </w:r>
    </w:p>
    <w:p>
      <w:pPr>
        <w:spacing w:after="0" w:line="122" w:lineRule="exact"/>
        <w:rPr>
          <w:rFonts w:ascii="Arial" w:cs="Arial" w:eastAsia="Arial" w:hAnsi="Arial"/>
          <w:sz w:val="12"/>
          <w:szCs w:val="12"/>
          <w:color w:val="auto"/>
        </w:rPr>
      </w:pPr>
    </w:p>
    <w:p>
      <w:pPr>
        <w:spacing w:after="0"/>
        <w:tabs>
          <w:tab w:leader="none" w:pos="740" w:val="left"/>
        </w:tabs>
        <w:rPr>
          <w:sz w:val="20"/>
          <w:szCs w:val="20"/>
          <w:color w:val="auto"/>
        </w:rPr>
      </w:pPr>
      <w:r>
        <w:rPr>
          <w:rFonts w:ascii="Arial" w:cs="Arial" w:eastAsia="Arial" w:hAnsi="Arial"/>
          <w:sz w:val="15"/>
          <w:szCs w:val="15"/>
          <w:color w:val="auto"/>
        </w:rPr>
        <w:t>28,351</w:t>
      </w:r>
      <w:r>
        <w:rPr>
          <w:sz w:val="20"/>
          <w:szCs w:val="20"/>
          <w:color w:val="auto"/>
        </w:rPr>
        <w:tab/>
      </w:r>
      <w:r>
        <w:rPr>
          <w:rFonts w:ascii="Arial" w:cs="Arial" w:eastAsia="Arial" w:hAnsi="Arial"/>
          <w:sz w:val="15"/>
          <w:szCs w:val="15"/>
          <w:color w:val="auto"/>
        </w:rPr>
        <w:t>82.8%</w:t>
      </w:r>
    </w:p>
    <w:p>
      <w:pPr>
        <w:spacing w:after="0" w:line="12" w:lineRule="exact"/>
        <w:rPr>
          <w:rFonts w:ascii="Arial" w:cs="Arial" w:eastAsia="Arial" w:hAnsi="Arial"/>
          <w:sz w:val="12"/>
          <w:szCs w:val="12"/>
          <w:color w:val="auto"/>
        </w:rPr>
      </w:pPr>
    </w:p>
    <w:p>
      <w:pPr>
        <w:ind w:left="40"/>
        <w:spacing w:after="0"/>
        <w:tabs>
          <w:tab w:leader="none" w:pos="780" w:val="left"/>
        </w:tabs>
        <w:rPr>
          <w:sz w:val="20"/>
          <w:szCs w:val="20"/>
          <w:color w:val="auto"/>
        </w:rPr>
      </w:pPr>
      <w:r>
        <w:rPr>
          <w:rFonts w:ascii="Arial" w:cs="Arial" w:eastAsia="Arial" w:hAnsi="Arial"/>
          <w:sz w:val="15"/>
          <w:szCs w:val="15"/>
          <w:color w:val="auto"/>
        </w:rPr>
        <w:t>1,763</w:t>
      </w:r>
      <w:r>
        <w:rPr>
          <w:sz w:val="20"/>
          <w:szCs w:val="20"/>
          <w:color w:val="auto"/>
        </w:rPr>
        <w:tab/>
      </w:r>
      <w:r>
        <w:rPr>
          <w:rFonts w:ascii="Arial" w:cs="Arial" w:eastAsia="Arial" w:hAnsi="Arial"/>
          <w:sz w:val="15"/>
          <w:szCs w:val="15"/>
          <w:color w:val="auto"/>
        </w:rPr>
        <w:t>5.2%</w:t>
      </w:r>
    </w:p>
    <w:p>
      <w:pPr>
        <w:spacing w:after="0" w:line="12" w:lineRule="exact"/>
        <w:rPr>
          <w:rFonts w:ascii="Arial" w:cs="Arial" w:eastAsia="Arial" w:hAnsi="Arial"/>
          <w:sz w:val="12"/>
          <w:szCs w:val="12"/>
          <w:color w:val="auto"/>
        </w:rPr>
      </w:pPr>
    </w:p>
    <w:p>
      <w:pPr>
        <w:ind w:left="800" w:hanging="656"/>
        <w:spacing w:after="0"/>
        <w:tabs>
          <w:tab w:leader="none" w:pos="8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0.2%</w:t>
      </w:r>
    </w:p>
    <w:p>
      <w:pPr>
        <w:spacing w:after="0" w:line="11" w:lineRule="exact"/>
        <w:rPr>
          <w:rFonts w:ascii="Arial" w:cs="Arial" w:eastAsia="Arial" w:hAnsi="Arial"/>
          <w:sz w:val="15"/>
          <w:szCs w:val="15"/>
          <w:color w:val="auto"/>
        </w:rPr>
      </w:pPr>
    </w:p>
    <w:p>
      <w:pPr>
        <w:ind w:left="40"/>
        <w:spacing w:after="0"/>
        <w:rPr>
          <w:rFonts w:ascii="Arial" w:cs="Arial" w:eastAsia="Arial" w:hAnsi="Arial"/>
          <w:sz w:val="15"/>
          <w:szCs w:val="15"/>
          <w:color w:val="auto"/>
        </w:rPr>
      </w:pPr>
      <w:r>
        <w:rPr>
          <w:rFonts w:ascii="Arial" w:cs="Arial" w:eastAsia="Arial" w:hAnsi="Arial"/>
          <w:sz w:val="15"/>
          <w:szCs w:val="15"/>
          <w:color w:val="auto"/>
        </w:rPr>
        <w:t>3,66010.7%</w:t>
      </w:r>
    </w:p>
    <w:p>
      <w:pPr>
        <w:spacing w:after="0" w:line="11"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1590.5%</w:t>
      </w:r>
    </w:p>
    <w:p>
      <w:pPr>
        <w:spacing w:after="0" w:line="11"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2180.6%</w:t>
      </w:r>
    </w:p>
    <w:p>
      <w:pPr>
        <w:spacing w:after="0" w:line="213" w:lineRule="exact"/>
        <w:rPr>
          <w:rFonts w:ascii="Arial" w:cs="Arial" w:eastAsia="Arial" w:hAnsi="Arial"/>
          <w:sz w:val="12"/>
          <w:szCs w:val="12"/>
          <w:color w:val="auto"/>
        </w:rPr>
      </w:pPr>
    </w:p>
    <w:p>
      <w:pPr>
        <w:ind w:left="440"/>
        <w:spacing w:after="0"/>
        <w:rPr>
          <w:sz w:val="20"/>
          <w:szCs w:val="20"/>
          <w:color w:val="auto"/>
        </w:rPr>
      </w:pPr>
      <w:r>
        <w:rPr>
          <w:rFonts w:ascii="Arial" w:cs="Arial" w:eastAsia="Arial" w:hAnsi="Arial"/>
          <w:sz w:val="15"/>
          <w:szCs w:val="15"/>
          <w:b w:val="1"/>
          <w:bCs w:val="1"/>
          <w:color w:val="auto"/>
        </w:rPr>
        <w:t>2022</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-99060</wp:posOffset>
            </wp:positionH>
            <wp:positionV relativeFrom="paragraph">
              <wp:posOffset>-104140</wp:posOffset>
            </wp:positionV>
            <wp:extent cx="966470" cy="11715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66470" cy="1171575"/>
                    </a:xfrm>
                    <a:prstGeom prst="rect">
                      <a:avLst/>
                    </a:prstGeom>
                    <a:noFill/>
                  </pic:spPr>
                </pic:pic>
              </a:graphicData>
            </a:graphic>
          </wp:anchor>
        </w:drawing>
      </w:r>
    </w:p>
    <w:p>
      <w:pPr>
        <w:spacing w:after="0" w:line="10" w:lineRule="exact"/>
        <w:rPr>
          <w:rFonts w:ascii="Arial" w:cs="Arial" w:eastAsia="Arial" w:hAnsi="Arial"/>
          <w:sz w:val="12"/>
          <w:szCs w:val="12"/>
          <w:color w:val="auto"/>
        </w:rPr>
      </w:pPr>
    </w:p>
    <w:p>
      <w:pPr>
        <w:ind w:left="920" w:hanging="750"/>
        <w:spacing w:after="0"/>
        <w:tabs>
          <w:tab w:leader="none" w:pos="920"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74" w:lineRule="exact"/>
        <w:rPr>
          <w:rFonts w:ascii="Arial" w:cs="Arial" w:eastAsia="Arial" w:hAnsi="Arial"/>
          <w:sz w:val="15"/>
          <w:szCs w:val="15"/>
          <w:b w:val="1"/>
          <w:bCs w:val="1"/>
          <w:color w:val="auto"/>
        </w:rPr>
      </w:pPr>
    </w:p>
    <w:p>
      <w:pPr>
        <w:ind w:left="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2,743100%</w:t>
      </w:r>
    </w:p>
    <w:p>
      <w:pPr>
        <w:spacing w:after="0" w:line="122" w:lineRule="exact"/>
        <w:rPr>
          <w:rFonts w:ascii="Arial" w:cs="Arial" w:eastAsia="Arial" w:hAnsi="Arial"/>
          <w:sz w:val="12"/>
          <w:szCs w:val="12"/>
          <w:color w:val="auto"/>
        </w:rPr>
      </w:pPr>
    </w:p>
    <w:p>
      <w:pPr>
        <w:ind w:left="40"/>
        <w:spacing w:after="0"/>
        <w:tabs>
          <w:tab w:leader="none" w:pos="700" w:val="left"/>
        </w:tabs>
        <w:rPr>
          <w:sz w:val="20"/>
          <w:szCs w:val="20"/>
          <w:color w:val="auto"/>
        </w:rPr>
      </w:pPr>
      <w:r>
        <w:rPr>
          <w:rFonts w:ascii="Arial" w:cs="Arial" w:eastAsia="Arial" w:hAnsi="Arial"/>
          <w:sz w:val="15"/>
          <w:szCs w:val="15"/>
          <w:color w:val="auto"/>
        </w:rPr>
        <w:t>2,743</w:t>
      </w:r>
      <w:r>
        <w:rPr>
          <w:sz w:val="20"/>
          <w:szCs w:val="20"/>
          <w:color w:val="auto"/>
        </w:rPr>
        <w:tab/>
      </w:r>
      <w:r>
        <w:rPr>
          <w:rFonts w:ascii="Arial" w:cs="Arial" w:eastAsia="Arial" w:hAnsi="Arial"/>
          <w:sz w:val="15"/>
          <w:szCs w:val="15"/>
          <w:color w:val="auto"/>
        </w:rPr>
        <w:t>100.0%</w:t>
      </w:r>
    </w:p>
    <w:p>
      <w:pPr>
        <w:spacing w:after="0" w:line="12" w:lineRule="exact"/>
        <w:rPr>
          <w:rFonts w:ascii="Arial" w:cs="Arial" w:eastAsia="Arial" w:hAnsi="Arial"/>
          <w:sz w:val="12"/>
          <w:szCs w:val="12"/>
          <w:color w:val="auto"/>
        </w:rPr>
      </w:pPr>
    </w:p>
    <w:p>
      <w:pPr>
        <w:ind w:left="800" w:hanging="613"/>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00" w:hanging="613"/>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00" w:hanging="613"/>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00" w:hanging="613"/>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00" w:hanging="613"/>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0.0%</w:t>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ind w:left="380"/>
        <w:spacing w:after="0"/>
        <w:rPr>
          <w:sz w:val="20"/>
          <w:szCs w:val="20"/>
          <w:color w:val="auto"/>
        </w:rPr>
      </w:pPr>
      <w:r>
        <w:rPr>
          <w:rFonts w:ascii="Arial" w:cs="Arial" w:eastAsia="Arial" w:hAnsi="Arial"/>
          <w:sz w:val="15"/>
          <w:szCs w:val="15"/>
          <w:b w:val="1"/>
          <w:bCs w:val="1"/>
          <w:color w:val="auto"/>
        </w:rPr>
        <w:t>2021</w:t>
      </w:r>
      <w:r>
        <w:rPr>
          <w:rFonts w:ascii="Arial" w:cs="Arial" w:eastAsia="Arial" w:hAnsi="Arial"/>
          <w:sz w:val="25"/>
          <w:szCs w:val="25"/>
          <w:b w:val="1"/>
          <w:bCs w:val="1"/>
          <w:color w:val="auto"/>
          <w:vertAlign w:val="superscript"/>
        </w:rPr>
        <w:t>70</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-90170</wp:posOffset>
            </wp:positionH>
            <wp:positionV relativeFrom="paragraph">
              <wp:posOffset>-123190</wp:posOffset>
            </wp:positionV>
            <wp:extent cx="958850" cy="11715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58850" cy="1171575"/>
                    </a:xfrm>
                    <a:prstGeom prst="rect">
                      <a:avLst/>
                    </a:prstGeom>
                    <a:noFill/>
                  </pic:spPr>
                </pic:pic>
              </a:graphicData>
            </a:graphic>
          </wp:anchor>
        </w:drawing>
      </w:r>
    </w:p>
    <w:p>
      <w:pPr>
        <w:ind w:left="920" w:hanging="742"/>
        <w:spacing w:after="0"/>
        <w:tabs>
          <w:tab w:leader="none" w:pos="920"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7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33,024</w:t>
      </w:r>
      <w:r>
        <w:rPr>
          <w:rFonts w:ascii="Arial" w:cs="Arial" w:eastAsia="Arial" w:hAnsi="Arial"/>
          <w:sz w:val="14"/>
          <w:szCs w:val="14"/>
          <w:b w:val="1"/>
          <w:bCs w:val="1"/>
          <w:color w:val="auto"/>
        </w:rPr>
        <w:t>100%</w:t>
      </w:r>
    </w:p>
    <w:p>
      <w:pPr>
        <w:spacing w:after="0" w:line="122" w:lineRule="exact"/>
        <w:rPr>
          <w:rFonts w:ascii="Arial" w:cs="Arial" w:eastAsia="Arial" w:hAnsi="Arial"/>
          <w:sz w:val="12"/>
          <w:szCs w:val="12"/>
          <w:color w:val="auto"/>
        </w:rPr>
      </w:pPr>
    </w:p>
    <w:p>
      <w:pPr>
        <w:spacing w:after="0"/>
        <w:tabs>
          <w:tab w:leader="none" w:pos="740" w:val="left"/>
        </w:tabs>
        <w:rPr>
          <w:sz w:val="20"/>
          <w:szCs w:val="20"/>
          <w:color w:val="auto"/>
        </w:rPr>
      </w:pPr>
      <w:r>
        <w:rPr>
          <w:rFonts w:ascii="Arial" w:cs="Arial" w:eastAsia="Arial" w:hAnsi="Arial"/>
          <w:sz w:val="15"/>
          <w:szCs w:val="15"/>
          <w:color w:val="auto"/>
        </w:rPr>
        <w:t>27,646</w:t>
      </w:r>
      <w:r>
        <w:rPr>
          <w:sz w:val="20"/>
          <w:szCs w:val="20"/>
          <w:color w:val="auto"/>
        </w:rPr>
        <w:tab/>
      </w:r>
      <w:r>
        <w:rPr>
          <w:rFonts w:ascii="Arial" w:cs="Arial" w:eastAsia="Arial" w:hAnsi="Arial"/>
          <w:sz w:val="15"/>
          <w:szCs w:val="15"/>
          <w:color w:val="auto"/>
        </w:rPr>
        <w:t>83.7%</w:t>
      </w:r>
    </w:p>
    <w:p>
      <w:pPr>
        <w:spacing w:after="0" w:line="12" w:lineRule="exact"/>
        <w:rPr>
          <w:rFonts w:ascii="Arial" w:cs="Arial" w:eastAsia="Arial" w:hAnsi="Arial"/>
          <w:sz w:val="12"/>
          <w:szCs w:val="12"/>
          <w:color w:val="auto"/>
        </w:rPr>
      </w:pPr>
    </w:p>
    <w:p>
      <w:pPr>
        <w:ind w:left="40"/>
        <w:spacing w:after="0"/>
        <w:tabs>
          <w:tab w:leader="none" w:pos="800" w:val="left"/>
        </w:tabs>
        <w:rPr>
          <w:sz w:val="20"/>
          <w:szCs w:val="20"/>
          <w:color w:val="auto"/>
        </w:rPr>
      </w:pPr>
      <w:r>
        <w:rPr>
          <w:rFonts w:ascii="Arial" w:cs="Arial" w:eastAsia="Arial" w:hAnsi="Arial"/>
          <w:sz w:val="15"/>
          <w:szCs w:val="15"/>
          <w:color w:val="auto"/>
        </w:rPr>
        <w:t>1,633</w:t>
      </w:r>
      <w:r>
        <w:rPr>
          <w:sz w:val="20"/>
          <w:szCs w:val="20"/>
          <w:color w:val="auto"/>
        </w:rPr>
        <w:tab/>
      </w:r>
      <w:r>
        <w:rPr>
          <w:rFonts w:ascii="Arial" w:cs="Arial" w:eastAsia="Arial" w:hAnsi="Arial"/>
          <w:sz w:val="15"/>
          <w:szCs w:val="15"/>
          <w:color w:val="auto"/>
        </w:rPr>
        <w:t>4.9%</w:t>
      </w:r>
    </w:p>
    <w:p>
      <w:pPr>
        <w:spacing w:after="0" w:line="12" w:lineRule="exact"/>
        <w:rPr>
          <w:rFonts w:ascii="Arial" w:cs="Arial" w:eastAsia="Arial" w:hAnsi="Arial"/>
          <w:sz w:val="12"/>
          <w:szCs w:val="12"/>
          <w:color w:val="auto"/>
        </w:rPr>
      </w:pPr>
    </w:p>
    <w:p>
      <w:pPr>
        <w:ind w:left="820" w:hanging="668"/>
        <w:spacing w:after="0"/>
        <w:tabs>
          <w:tab w:leader="none" w:pos="8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0.2%</w:t>
      </w:r>
    </w:p>
    <w:p>
      <w:pPr>
        <w:spacing w:after="0" w:line="11" w:lineRule="exact"/>
        <w:rPr>
          <w:rFonts w:ascii="Arial" w:cs="Arial" w:eastAsia="Arial" w:hAnsi="Arial"/>
          <w:sz w:val="15"/>
          <w:szCs w:val="15"/>
          <w:color w:val="auto"/>
        </w:rPr>
      </w:pPr>
    </w:p>
    <w:p>
      <w:pPr>
        <w:ind w:left="40"/>
        <w:spacing w:after="0"/>
        <w:rPr>
          <w:rFonts w:ascii="Arial" w:cs="Arial" w:eastAsia="Arial" w:hAnsi="Arial"/>
          <w:sz w:val="15"/>
          <w:szCs w:val="15"/>
          <w:color w:val="auto"/>
        </w:rPr>
      </w:pPr>
      <w:r>
        <w:rPr>
          <w:rFonts w:ascii="Arial" w:cs="Arial" w:eastAsia="Arial" w:hAnsi="Arial"/>
          <w:sz w:val="15"/>
          <w:szCs w:val="15"/>
          <w:color w:val="auto"/>
        </w:rPr>
        <w:t>3,274</w:t>
      </w:r>
      <w:r>
        <w:rPr>
          <w:rFonts w:ascii="Arial" w:cs="Arial" w:eastAsia="Arial" w:hAnsi="Arial"/>
          <w:sz w:val="14"/>
          <w:szCs w:val="14"/>
          <w:color w:val="auto"/>
        </w:rPr>
        <w:t>9.9%</w:t>
      </w:r>
    </w:p>
    <w:p>
      <w:pPr>
        <w:spacing w:after="0" w:line="11"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168</w:t>
      </w:r>
      <w:r>
        <w:rPr>
          <w:rFonts w:ascii="Arial" w:cs="Arial" w:eastAsia="Arial" w:hAnsi="Arial"/>
          <w:sz w:val="14"/>
          <w:szCs w:val="14"/>
          <w:color w:val="auto"/>
        </w:rPr>
        <w:t>0.5%</w:t>
      </w:r>
    </w:p>
    <w:p>
      <w:pPr>
        <w:spacing w:after="0" w:line="11"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229</w:t>
      </w:r>
      <w:r>
        <w:rPr>
          <w:rFonts w:ascii="Arial" w:cs="Arial" w:eastAsia="Arial" w:hAnsi="Arial"/>
          <w:sz w:val="14"/>
          <w:szCs w:val="14"/>
          <w:color w:val="auto"/>
        </w:rPr>
        <w:t>0.7%</w:t>
      </w:r>
    </w:p>
    <w:p>
      <w:pPr>
        <w:spacing w:after="0" w:line="128" w:lineRule="exact"/>
        <w:rPr>
          <w:rFonts w:ascii="Arial" w:cs="Arial" w:eastAsia="Arial" w:hAnsi="Arial"/>
          <w:sz w:val="12"/>
          <w:szCs w:val="12"/>
          <w:color w:val="auto"/>
        </w:rPr>
      </w:pPr>
    </w:p>
    <w:p>
      <w:pPr>
        <w:ind w:left="380"/>
        <w:spacing w:after="0"/>
        <w:rPr>
          <w:sz w:val="20"/>
          <w:szCs w:val="20"/>
          <w:color w:val="auto"/>
        </w:rPr>
      </w:pPr>
      <w:r>
        <w:rPr>
          <w:rFonts w:ascii="Arial" w:cs="Arial" w:eastAsia="Arial" w:hAnsi="Arial"/>
          <w:sz w:val="15"/>
          <w:szCs w:val="15"/>
          <w:b w:val="1"/>
          <w:bCs w:val="1"/>
          <w:color w:val="auto"/>
        </w:rPr>
        <w:t>2021</w:t>
      </w:r>
      <w:r>
        <w:rPr>
          <w:rFonts w:ascii="Arial" w:cs="Arial" w:eastAsia="Arial" w:hAnsi="Arial"/>
          <w:sz w:val="25"/>
          <w:szCs w:val="25"/>
          <w:b w:val="1"/>
          <w:bCs w:val="1"/>
          <w:color w:val="auto"/>
          <w:vertAlign w:val="superscript"/>
        </w:rPr>
        <w:t>72</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-90170</wp:posOffset>
            </wp:positionH>
            <wp:positionV relativeFrom="paragraph">
              <wp:posOffset>-123190</wp:posOffset>
            </wp:positionV>
            <wp:extent cx="958850" cy="11715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58850" cy="1171575"/>
                    </a:xfrm>
                    <a:prstGeom prst="rect">
                      <a:avLst/>
                    </a:prstGeom>
                    <a:noFill/>
                  </pic:spPr>
                </pic:pic>
              </a:graphicData>
            </a:graphic>
          </wp:anchor>
        </w:drawing>
      </w:r>
    </w:p>
    <w:p>
      <w:pPr>
        <w:ind w:left="920" w:hanging="742"/>
        <w:spacing w:after="0"/>
        <w:tabs>
          <w:tab w:leader="none" w:pos="920"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74" w:lineRule="exact"/>
        <w:rPr>
          <w:rFonts w:ascii="Arial" w:cs="Arial" w:eastAsia="Arial" w:hAnsi="Arial"/>
          <w:sz w:val="15"/>
          <w:szCs w:val="15"/>
          <w:b w:val="1"/>
          <w:bCs w:val="1"/>
          <w:color w:val="auto"/>
        </w:rPr>
      </w:pPr>
    </w:p>
    <w:p>
      <w:pPr>
        <w:ind w:left="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3,372</w:t>
      </w:r>
      <w:r>
        <w:rPr>
          <w:rFonts w:ascii="Arial" w:cs="Arial" w:eastAsia="Arial" w:hAnsi="Arial"/>
          <w:sz w:val="14"/>
          <w:szCs w:val="14"/>
          <w:b w:val="1"/>
          <w:bCs w:val="1"/>
          <w:color w:val="auto"/>
        </w:rPr>
        <w:t>100%</w:t>
      </w:r>
    </w:p>
    <w:p>
      <w:pPr>
        <w:spacing w:after="0" w:line="122" w:lineRule="exact"/>
        <w:rPr>
          <w:rFonts w:ascii="Arial" w:cs="Arial" w:eastAsia="Arial" w:hAnsi="Arial"/>
          <w:sz w:val="12"/>
          <w:szCs w:val="12"/>
          <w:color w:val="auto"/>
        </w:rPr>
      </w:pPr>
    </w:p>
    <w:p>
      <w:pPr>
        <w:ind w:left="40"/>
        <w:spacing w:after="0"/>
        <w:tabs>
          <w:tab w:leader="none" w:pos="700" w:val="left"/>
        </w:tabs>
        <w:rPr>
          <w:sz w:val="20"/>
          <w:szCs w:val="20"/>
          <w:color w:val="auto"/>
        </w:rPr>
      </w:pPr>
      <w:r>
        <w:rPr>
          <w:rFonts w:ascii="Arial" w:cs="Arial" w:eastAsia="Arial" w:hAnsi="Arial"/>
          <w:sz w:val="15"/>
          <w:szCs w:val="15"/>
          <w:color w:val="auto"/>
        </w:rPr>
        <w:t>3,372</w:t>
      </w:r>
      <w:r>
        <w:rPr>
          <w:sz w:val="20"/>
          <w:szCs w:val="20"/>
          <w:color w:val="auto"/>
        </w:rPr>
        <w:tab/>
      </w:r>
      <w:r>
        <w:rPr>
          <w:rFonts w:ascii="Arial" w:cs="Arial" w:eastAsia="Arial" w:hAnsi="Arial"/>
          <w:sz w:val="15"/>
          <w:szCs w:val="15"/>
          <w:color w:val="auto"/>
        </w:rPr>
        <w:t>100.0%</w:t>
      </w:r>
    </w:p>
    <w:p>
      <w:pPr>
        <w:spacing w:after="0" w:line="12" w:lineRule="exact"/>
        <w:rPr>
          <w:rFonts w:ascii="Arial" w:cs="Arial" w:eastAsia="Arial" w:hAnsi="Arial"/>
          <w:sz w:val="12"/>
          <w:szCs w:val="12"/>
          <w:color w:val="auto"/>
        </w:rPr>
      </w:pPr>
    </w:p>
    <w:p>
      <w:pPr>
        <w:ind w:left="820" w:hanging="625"/>
        <w:spacing w:after="0"/>
        <w:tabs>
          <w:tab w:leader="none" w:pos="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20" w:hanging="625"/>
        <w:spacing w:after="0"/>
        <w:tabs>
          <w:tab w:leader="none" w:pos="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20" w:hanging="625"/>
        <w:spacing w:after="0"/>
        <w:tabs>
          <w:tab w:leader="none" w:pos="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20" w:hanging="625"/>
        <w:spacing w:after="0"/>
        <w:tabs>
          <w:tab w:leader="none" w:pos="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0.0%</w:t>
      </w:r>
    </w:p>
    <w:p>
      <w:pPr>
        <w:spacing w:after="0" w:line="11" w:lineRule="exact"/>
        <w:rPr>
          <w:rFonts w:ascii="Arial" w:cs="Arial" w:eastAsia="Arial" w:hAnsi="Arial"/>
          <w:sz w:val="15"/>
          <w:szCs w:val="15"/>
          <w:color w:val="auto"/>
        </w:rPr>
      </w:pPr>
    </w:p>
    <w:p>
      <w:pPr>
        <w:ind w:left="820" w:hanging="625"/>
        <w:spacing w:after="0"/>
        <w:tabs>
          <w:tab w:leader="none" w:pos="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0.0%</w:t>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52" w:lineRule="exact"/>
        <w:rPr>
          <w:rFonts w:ascii="Arial" w:cs="Arial" w:eastAsia="Arial" w:hAnsi="Arial"/>
          <w:sz w:val="12"/>
          <w:szCs w:val="12"/>
          <w:color w:val="auto"/>
        </w:rPr>
      </w:pPr>
    </w:p>
    <w:p>
      <w:pPr>
        <w:spacing w:after="0" w:line="1" w:lineRule="exact"/>
        <w:rPr>
          <w:rFonts w:ascii="Arial" w:cs="Arial" w:eastAsia="Arial" w:hAnsi="Arial"/>
          <w:sz w:val="1"/>
          <w:szCs w:val="1"/>
          <w:color w:val="auto"/>
        </w:rPr>
      </w:pPr>
    </w:p>
    <w:tbl>
      <w:tblPr>
        <w:tblLayout w:type="fixed"/>
        <w:tblInd w:w="10" w:type="dxa"/>
        <w:tblCellMar>
          <w:top w:w="0" w:type="dxa"/>
          <w:left w:w="0" w:type="dxa"/>
          <w:bottom w:w="0" w:type="dxa"/>
          <w:right w:w="0" w:type="dxa"/>
        </w:tblCellMar>
      </w:tblPr>
      <w:tr>
        <w:trPr>
          <w:trHeight w:val="185"/>
        </w:trPr>
        <w:tc>
          <w:tcPr>
            <w:tcW w:w="3820" w:type="dxa"/>
            <w:vAlign w:val="bottom"/>
            <w:tcBorders>
              <w:top w:val="single" w:sz="8" w:color="auto"/>
              <w:left w:val="single" w:sz="8" w:color="auto"/>
              <w:bottom w:val="single" w:sz="8" w:color="auto"/>
              <w:right w:val="single" w:sz="8" w:color="auto"/>
            </w:tcBorders>
          </w:tcPr>
          <w:p>
            <w:pPr>
              <w:ind w:left="80"/>
              <w:spacing w:after="0" w:line="185" w:lineRule="exact"/>
              <w:rPr>
                <w:sz w:val="20"/>
                <w:szCs w:val="20"/>
                <w:color w:val="auto"/>
              </w:rPr>
            </w:pPr>
            <w:r>
              <w:rPr>
                <w:rFonts w:ascii="Arial" w:cs="Arial" w:eastAsia="Arial" w:hAnsi="Arial"/>
                <w:sz w:val="13"/>
                <w:szCs w:val="13"/>
                <w:b w:val="1"/>
                <w:bCs w:val="1"/>
                <w:color w:val="auto"/>
              </w:rPr>
              <w:t>New hires</w:t>
            </w:r>
            <w:r>
              <w:rPr>
                <w:rFonts w:ascii="Arial" w:cs="Arial" w:eastAsia="Arial" w:hAnsi="Arial"/>
                <w:sz w:val="21"/>
                <w:szCs w:val="21"/>
                <w:b w:val="1"/>
                <w:bCs w:val="1"/>
                <w:color w:val="auto"/>
                <w:vertAlign w:val="superscript"/>
              </w:rPr>
              <w:t>73</w:t>
            </w:r>
          </w:p>
        </w:tc>
        <w:tc>
          <w:tcPr>
            <w:tcW w:w="100" w:type="dxa"/>
            <w:vAlign w:val="bottom"/>
            <w:tcBorders>
              <w:right w:val="single" w:sz="8" w:color="auto"/>
            </w:tcBorders>
          </w:tcPr>
          <w:p>
            <w:pPr>
              <w:spacing w:after="0"/>
              <w:rPr>
                <w:sz w:val="16"/>
                <w:szCs w:val="16"/>
                <w:color w:val="auto"/>
              </w:rPr>
            </w:pPr>
          </w:p>
        </w:tc>
        <w:tc>
          <w:tcPr>
            <w:tcW w:w="1500" w:type="dxa"/>
            <w:vAlign w:val="bottom"/>
            <w:tcBorders>
              <w:top w:val="single" w:sz="8" w:color="auto"/>
              <w:bottom w:val="single" w:sz="8" w:color="auto"/>
              <w:right w:val="single" w:sz="8" w:color="auto"/>
            </w:tcBorders>
            <w:gridSpan w:val="2"/>
          </w:tcPr>
          <w:p>
            <w:pPr>
              <w:ind w:left="480"/>
              <w:spacing w:after="0"/>
              <w:rPr>
                <w:sz w:val="20"/>
                <w:szCs w:val="20"/>
                <w:color w:val="auto"/>
              </w:rPr>
            </w:pPr>
            <w:r>
              <w:rPr>
                <w:rFonts w:ascii="Arial" w:cs="Arial" w:eastAsia="Arial" w:hAnsi="Arial"/>
                <w:sz w:val="15"/>
                <w:szCs w:val="15"/>
                <w:b w:val="1"/>
                <w:bCs w:val="1"/>
                <w:color w:val="auto"/>
              </w:rPr>
              <w:t>TOTAL</w:t>
            </w:r>
          </w:p>
        </w:tc>
      </w:tr>
      <w:tr>
        <w:trPr>
          <w:trHeight w:val="164"/>
        </w:trPr>
        <w:tc>
          <w:tcPr>
            <w:tcW w:w="38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2"/>
                <w:szCs w:val="12"/>
                <w:b w:val="1"/>
                <w:bCs w:val="1"/>
                <w:color w:val="auto"/>
              </w:rPr>
              <w:t>2021</w:t>
            </w:r>
            <w:r>
              <w:rPr>
                <w:rFonts w:ascii="Arial" w:cs="Arial" w:eastAsia="Arial" w:hAnsi="Arial"/>
                <w:sz w:val="19"/>
                <w:szCs w:val="19"/>
                <w:b w:val="1"/>
                <w:bCs w:val="1"/>
                <w:color w:val="auto"/>
                <w:vertAlign w:val="superscript"/>
              </w:rPr>
              <w:t>74</w:t>
            </w:r>
          </w:p>
        </w:tc>
      </w:tr>
      <w:tr>
        <w:trPr>
          <w:trHeight w:val="164"/>
        </w:trPr>
        <w:tc>
          <w:tcPr>
            <w:tcW w:w="3920" w:type="dxa"/>
            <w:vAlign w:val="bottom"/>
            <w:tcBorders>
              <w:left w:val="single" w:sz="8" w:color="auto"/>
              <w:bottom w:val="single" w:sz="8" w:color="auto"/>
            </w:tcBorders>
            <w:gridSpan w:val="2"/>
          </w:tcPr>
          <w:p>
            <w:pPr>
              <w:ind w:left="80"/>
              <w:spacing w:after="0" w:line="164" w:lineRule="exact"/>
              <w:rPr>
                <w:sz w:val="20"/>
                <w:szCs w:val="20"/>
                <w:color w:val="auto"/>
              </w:rPr>
            </w:pPr>
            <w:r>
              <w:rPr>
                <w:rFonts w:ascii="Arial" w:cs="Arial" w:eastAsia="Arial" w:hAnsi="Arial"/>
                <w:sz w:val="15"/>
                <w:szCs w:val="15"/>
                <w:b w:val="1"/>
                <w:bCs w:val="1"/>
                <w:color w:val="auto"/>
              </w:rPr>
              <w:t>New hires by gender</w:t>
            </w: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Female</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4,834</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4,521</w:t>
            </w: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Male</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4,025</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3,586</w:t>
            </w:r>
          </w:p>
        </w:tc>
      </w:tr>
      <w:tr>
        <w:trPr>
          <w:trHeight w:val="164"/>
        </w:trPr>
        <w:tc>
          <w:tcPr>
            <w:tcW w:w="38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8,859</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8,107</w:t>
            </w:r>
          </w:p>
        </w:tc>
      </w:tr>
      <w:tr>
        <w:trPr>
          <w:trHeight w:val="164"/>
        </w:trPr>
        <w:tc>
          <w:tcPr>
            <w:tcW w:w="3920" w:type="dxa"/>
            <w:vAlign w:val="bottom"/>
            <w:tcBorders>
              <w:left w:val="single" w:sz="8" w:color="auto"/>
              <w:bottom w:val="single" w:sz="8" w:color="auto"/>
            </w:tcBorders>
            <w:gridSpan w:val="2"/>
          </w:tcPr>
          <w:p>
            <w:pPr>
              <w:ind w:left="80"/>
              <w:spacing w:after="0" w:line="164" w:lineRule="exact"/>
              <w:rPr>
                <w:sz w:val="20"/>
                <w:szCs w:val="20"/>
                <w:color w:val="auto"/>
              </w:rPr>
            </w:pPr>
            <w:r>
              <w:rPr>
                <w:rFonts w:ascii="Arial" w:cs="Arial" w:eastAsia="Arial" w:hAnsi="Arial"/>
                <w:sz w:val="15"/>
                <w:szCs w:val="15"/>
                <w:b w:val="1"/>
                <w:bCs w:val="1"/>
                <w:color w:val="auto"/>
              </w:rPr>
              <w:t>New hires by age</w:t>
            </w: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Under 30</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5,898</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5,409</w:t>
            </w: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Between 30 and 50</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2,910</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2,625</w:t>
            </w: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Over 50</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51</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73</w:t>
            </w:r>
          </w:p>
        </w:tc>
      </w:tr>
      <w:tr>
        <w:trPr>
          <w:trHeight w:val="164"/>
        </w:trPr>
        <w:tc>
          <w:tcPr>
            <w:tcW w:w="38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8,859</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8,107</w:t>
            </w:r>
          </w:p>
        </w:tc>
      </w:tr>
      <w:tr>
        <w:trPr>
          <w:trHeight w:val="164"/>
        </w:trPr>
        <w:tc>
          <w:tcPr>
            <w:tcW w:w="3820" w:type="dxa"/>
            <w:vAlign w:val="bottom"/>
            <w:tcBorders>
              <w:left w:val="single" w:sz="8" w:color="auto"/>
              <w:bottom w:val="single" w:sz="8" w:color="auto"/>
              <w:right w:val="single" w:sz="8" w:color="auto"/>
            </w:tcBorders>
          </w:tcPr>
          <w:p>
            <w:pPr>
              <w:ind w:left="1540"/>
              <w:spacing w:after="0" w:line="164" w:lineRule="exact"/>
              <w:rPr>
                <w:sz w:val="20"/>
                <w:szCs w:val="20"/>
                <w:color w:val="auto"/>
              </w:rPr>
            </w:pPr>
            <w:r>
              <w:rPr>
                <w:rFonts w:ascii="Arial" w:cs="Arial" w:eastAsia="Arial" w:hAnsi="Arial"/>
                <w:sz w:val="15"/>
                <w:szCs w:val="15"/>
                <w:b w:val="1"/>
                <w:bCs w:val="1"/>
                <w:color w:val="auto"/>
              </w:rPr>
              <w:t>% of hiring</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24.5%</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22.7%</w:t>
            </w:r>
          </w:p>
        </w:tc>
      </w:tr>
      <w:tr>
        <w:trPr>
          <w:trHeight w:val="164"/>
        </w:trPr>
        <w:tc>
          <w:tcPr>
            <w:tcW w:w="3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Average Number of Employees</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36,171</w:t>
            </w:r>
          </w:p>
        </w:tc>
        <w:tc>
          <w:tcPr>
            <w:tcW w:w="7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35,763</w:t>
            </w:r>
          </w:p>
        </w:tc>
      </w:tr>
    </w:tbl>
    <w:p>
      <w:pPr>
        <w:spacing w:after="0" w:line="1490" w:lineRule="exact"/>
        <w:rPr>
          <w:rFonts w:ascii="Arial" w:cs="Arial" w:eastAsia="Arial" w:hAnsi="Arial"/>
          <w:sz w:val="12"/>
          <w:szCs w:val="12"/>
          <w:color w:val="auto"/>
        </w:rPr>
      </w:pPr>
    </w:p>
    <w:p>
      <w:pPr>
        <w:sectPr>
          <w:pgSz w:w="11900" w:h="16838" w:orient="portrait"/>
          <w:cols w:equalWidth="0" w:num="4">
            <w:col w:w="1840" w:space="580"/>
            <w:col w:w="1240" w:space="360"/>
            <w:col w:w="1240" w:space="580"/>
            <w:col w:w="5420"/>
          </w:cols>
          <w:pgMar w:left="320" w:top="255" w:right="319" w:bottom="1440" w:gutter="0" w:footer="0" w:header="0"/>
        </w:sectPr>
      </w:pPr>
    </w:p>
    <w:p>
      <w:pPr>
        <w:spacing w:after="0" w:line="331" w:lineRule="exact"/>
        <w:rPr>
          <w:rFonts w:ascii="Arial" w:cs="Arial" w:eastAsia="Arial" w:hAnsi="Arial"/>
          <w:sz w:val="12"/>
          <w:szCs w:val="12"/>
          <w:color w:val="auto"/>
        </w:rPr>
      </w:pPr>
    </w:p>
    <w:p>
      <w:pPr>
        <w:spacing w:after="0" w:line="200" w:lineRule="auto"/>
        <w:rPr>
          <w:sz w:val="20"/>
          <w:szCs w:val="20"/>
          <w:color w:val="auto"/>
        </w:rPr>
      </w:pPr>
      <w:r>
        <w:rPr>
          <w:rFonts w:ascii="Arial" w:cs="Arial" w:eastAsia="Arial" w:hAnsi="Arial"/>
          <w:sz w:val="25"/>
          <w:szCs w:val="25"/>
          <w:color w:val="auto"/>
          <w:vertAlign w:val="superscript"/>
        </w:rPr>
        <w:t>69,71</w:t>
      </w:r>
      <w:r>
        <w:rPr>
          <w:rFonts w:ascii="Arial" w:cs="Arial" w:eastAsia="Arial" w:hAnsi="Arial"/>
          <w:sz w:val="15"/>
          <w:szCs w:val="15"/>
          <w:color w:val="auto"/>
        </w:rPr>
        <w:t xml:space="preserve"> Consolidated data at Credicorp level based on the following companies: BCP Perú, Pacífico Seguros, Prima AFP, MiBanco Perú, Credicorp Capital, BCP Bolivia, MiBanco Colombia, Grupo Crédito, BCP Miami, BCP Panamá Agency</w:t>
      </w:r>
    </w:p>
    <w:p>
      <w:pPr>
        <w:spacing w:after="0" w:line="157" w:lineRule="exact"/>
        <w:rPr>
          <w:rFonts w:ascii="Arial" w:cs="Arial" w:eastAsia="Arial" w:hAnsi="Arial"/>
          <w:sz w:val="12"/>
          <w:szCs w:val="12"/>
          <w:color w:val="auto"/>
        </w:rPr>
      </w:pPr>
    </w:p>
    <w:p>
      <w:pPr>
        <w:ind w:right="120" w:firstLine="612"/>
        <w:spacing w:after="0" w:line="187" w:lineRule="auto"/>
        <w:rPr>
          <w:sz w:val="20"/>
          <w:szCs w:val="20"/>
          <w:color w:val="auto"/>
        </w:rPr>
      </w:pPr>
      <w:r>
        <w:rPr>
          <w:rFonts w:ascii="Arial" w:cs="Arial" w:eastAsia="Arial" w:hAnsi="Arial"/>
          <w:sz w:val="13"/>
          <w:szCs w:val="13"/>
          <w:color w:val="auto"/>
        </w:rPr>
        <w:t>There are differences vs 2021 Report given that some companies’ updates were made after the report was published.</w:t>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322" w:lineRule="exact"/>
        <w:rPr>
          <w:rFonts w:ascii="Arial" w:cs="Arial" w:eastAsia="Arial" w:hAnsi="Arial"/>
          <w:sz w:val="12"/>
          <w:szCs w:val="12"/>
          <w:color w:val="auto"/>
        </w:rPr>
      </w:pPr>
    </w:p>
    <w:p>
      <w:pPr>
        <w:jc w:val="both"/>
        <w:ind w:right="300" w:firstLine="9"/>
        <w:spacing w:after="0" w:line="221" w:lineRule="auto"/>
        <w:tabs>
          <w:tab w:leader="none" w:pos="178"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Consolidated data at Credicorp level based on the following companies: BCP Perú, Pacífico Seguros, Prima AFP, MiBanco Perú, Credicorp Capital, BCP Bolivia, MiBanco Colombia.</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77" w:lineRule="exact"/>
        <w:rPr>
          <w:rFonts w:ascii="Arial" w:cs="Arial" w:eastAsia="Arial" w:hAnsi="Arial"/>
          <w:sz w:val="12"/>
          <w:szCs w:val="12"/>
          <w:color w:val="auto"/>
        </w:rPr>
      </w:pPr>
    </w:p>
    <w:p>
      <w:pPr>
        <w:jc w:val="right"/>
        <w:spacing w:after="0"/>
        <w:rPr>
          <w:sz w:val="20"/>
          <w:szCs w:val="20"/>
          <w:color w:val="auto"/>
        </w:rPr>
      </w:pPr>
      <w:r>
        <w:rPr>
          <w:rFonts w:ascii="Arial" w:cs="Arial" w:eastAsia="Arial" w:hAnsi="Arial"/>
          <w:sz w:val="15"/>
          <w:szCs w:val="15"/>
          <w:color w:val="auto"/>
        </w:rPr>
        <w:t>163</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220" w:space="620"/>
            <w:col w:w="5420"/>
          </w:cols>
          <w:pgMar w:left="320" w:top="255" w:right="319" w:bottom="1440" w:gutter="0" w:footer="0" w:header="0"/>
          <w:type w:val="continuous"/>
        </w:sectPr>
      </w:pPr>
    </w:p>
    <w:bookmarkStart w:id="166" w:name="page167"/>
    <w:bookmarkEnd w:id="166"/>
    <w:tbl>
      <w:tblPr>
        <w:tblLayout w:type="fixed"/>
        <w:tblInd w:w="10" w:type="dxa"/>
        <w:tblCellMar>
          <w:top w:w="0" w:type="dxa"/>
          <w:left w:w="0" w:type="dxa"/>
          <w:bottom w:w="0" w:type="dxa"/>
          <w:right w:w="0" w:type="dxa"/>
        </w:tblCellMar>
      </w:tblPr>
      <w:tr>
        <w:trPr>
          <w:trHeight w:val="185"/>
        </w:trPr>
        <w:tc>
          <w:tcPr>
            <w:tcW w:w="4100" w:type="dxa"/>
            <w:vAlign w:val="bottom"/>
            <w:tcBorders>
              <w:top w:val="single" w:sz="8" w:color="auto"/>
              <w:left w:val="single" w:sz="8" w:color="auto"/>
              <w:bottom w:val="single" w:sz="8" w:color="auto"/>
              <w:right w:val="single" w:sz="8" w:color="auto"/>
            </w:tcBorders>
          </w:tcPr>
          <w:p>
            <w:pPr>
              <w:ind w:left="60"/>
              <w:spacing w:after="0" w:line="185" w:lineRule="exact"/>
              <w:rPr>
                <w:sz w:val="20"/>
                <w:szCs w:val="20"/>
                <w:color w:val="auto"/>
              </w:rPr>
            </w:pPr>
            <w:r>
              <w:rPr>
                <w:rFonts w:ascii="Arial" w:cs="Arial" w:eastAsia="Arial" w:hAnsi="Arial"/>
                <w:sz w:val="13"/>
                <w:szCs w:val="13"/>
                <w:b w:val="1"/>
                <w:bCs w:val="1"/>
                <w:color w:val="auto"/>
              </w:rPr>
              <w:t>New hires by country</w:t>
            </w:r>
            <w:r>
              <w:rPr>
                <w:rFonts w:ascii="Arial" w:cs="Arial" w:eastAsia="Arial" w:hAnsi="Arial"/>
                <w:sz w:val="21"/>
                <w:szCs w:val="21"/>
                <w:b w:val="1"/>
                <w:bCs w:val="1"/>
                <w:color w:val="auto"/>
                <w:vertAlign w:val="superscript"/>
              </w:rPr>
              <w:t>75</w:t>
            </w:r>
          </w:p>
        </w:tc>
        <w:tc>
          <w:tcPr>
            <w:tcW w:w="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9"/>
              </w:rPr>
              <w:t>TOTAL</w:t>
            </w: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right w:val="single" w:sz="8" w:color="auto"/>
            </w:tcBorders>
            <w:gridSpan w:val="2"/>
          </w:tcPr>
          <w:p>
            <w:pPr>
              <w:jc w:val="center"/>
              <w:ind w:right="263"/>
              <w:spacing w:after="0"/>
              <w:rPr>
                <w:sz w:val="20"/>
                <w:szCs w:val="20"/>
                <w:color w:val="auto"/>
              </w:rPr>
            </w:pPr>
            <w:r>
              <w:rPr>
                <w:rFonts w:ascii="Arial" w:cs="Arial" w:eastAsia="Arial" w:hAnsi="Arial"/>
                <w:sz w:val="15"/>
                <w:szCs w:val="15"/>
                <w:b w:val="1"/>
                <w:bCs w:val="1"/>
                <w:color w:val="auto"/>
                <w:w w:val="95"/>
              </w:rPr>
              <w:t>Peru</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Bolivia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USA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Colombia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Panama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8"/>
              </w:rPr>
              <w:t>Chile</w:t>
            </w: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spacing w:after="0"/>
              <w:rPr>
                <w:sz w:val="14"/>
                <w:szCs w:val="14"/>
                <w:color w:val="auto"/>
              </w:rPr>
            </w:pPr>
          </w:p>
        </w:tc>
        <w:tc>
          <w:tcPr>
            <w:tcW w:w="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2"/>
                <w:szCs w:val="12"/>
                <w:b w:val="1"/>
                <w:bCs w:val="1"/>
                <w:color w:val="auto"/>
              </w:rPr>
              <w:t>2021</w:t>
            </w:r>
            <w:r>
              <w:rPr>
                <w:rFonts w:ascii="Arial" w:cs="Arial" w:eastAsia="Arial" w:hAnsi="Arial"/>
                <w:sz w:val="19"/>
                <w:szCs w:val="19"/>
                <w:b w:val="1"/>
                <w:bCs w:val="1"/>
                <w:color w:val="auto"/>
                <w:vertAlign w:val="superscript"/>
              </w:rPr>
              <w:t>76</w:t>
            </w:r>
          </w:p>
        </w:tc>
        <w:tc>
          <w:tcPr>
            <w:tcW w:w="10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64"/>
        </w:trPr>
        <w:tc>
          <w:tcPr>
            <w:tcW w:w="4180" w:type="dxa"/>
            <w:vAlign w:val="bottom"/>
            <w:tcBorders>
              <w:left w:val="single" w:sz="8" w:color="auto"/>
              <w:bottom w:val="single" w:sz="8" w:color="auto"/>
            </w:tcBorders>
            <w:gridSpan w:val="3"/>
          </w:tcPr>
          <w:p>
            <w:pPr>
              <w:ind w:left="60"/>
              <w:spacing w:after="0" w:line="164" w:lineRule="exact"/>
              <w:rPr>
                <w:sz w:val="20"/>
                <w:szCs w:val="20"/>
                <w:color w:val="auto"/>
              </w:rPr>
            </w:pPr>
            <w:r>
              <w:rPr>
                <w:rFonts w:ascii="Arial" w:cs="Arial" w:eastAsia="Arial" w:hAnsi="Arial"/>
                <w:sz w:val="15"/>
                <w:szCs w:val="15"/>
                <w:b w:val="1"/>
                <w:bCs w:val="1"/>
                <w:color w:val="auto"/>
              </w:rPr>
              <w:t>New hires by gender</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Female</w:t>
            </w: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4,834</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4,521</w:t>
            </w:r>
          </w:p>
        </w:tc>
        <w:tc>
          <w:tcPr>
            <w:tcW w:w="10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4,229</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3,705</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255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139</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325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653</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11</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8</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Male</w:t>
            </w: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4,025</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3,586</w:t>
            </w:r>
          </w:p>
        </w:tc>
        <w:tc>
          <w:tcPr>
            <w:tcW w:w="10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3,550</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2,834</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221</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149</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209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565</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tcPr>
          <w:p>
            <w:pPr>
              <w:spacing w:after="0"/>
              <w:rPr>
                <w:sz w:val="14"/>
                <w:szCs w:val="14"/>
                <w:color w:val="auto"/>
              </w:rPr>
            </w:pPr>
          </w:p>
        </w:tc>
        <w:tc>
          <w:tcPr>
            <w:tcW w:w="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8,859</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rPr>
              <w:t>8,107</w:t>
            </w:r>
          </w:p>
        </w:tc>
        <w:tc>
          <w:tcPr>
            <w:tcW w:w="10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7,779</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6,539</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476</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288</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7</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8</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534</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1,218</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19</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14</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44</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40</w:t>
            </w:r>
          </w:p>
        </w:tc>
        <w:tc>
          <w:tcPr>
            <w:tcW w:w="0" w:type="dxa"/>
            <w:vAlign w:val="bottom"/>
          </w:tcPr>
          <w:p>
            <w:pPr>
              <w:spacing w:after="0"/>
              <w:rPr>
                <w:sz w:val="1"/>
                <w:szCs w:val="1"/>
                <w:color w:val="auto"/>
              </w:rPr>
            </w:pPr>
          </w:p>
        </w:tc>
      </w:tr>
      <w:tr>
        <w:trPr>
          <w:trHeight w:val="164"/>
        </w:trPr>
        <w:tc>
          <w:tcPr>
            <w:tcW w:w="4180" w:type="dxa"/>
            <w:vAlign w:val="bottom"/>
            <w:tcBorders>
              <w:left w:val="single" w:sz="8" w:color="auto"/>
              <w:bottom w:val="single" w:sz="8" w:color="auto"/>
            </w:tcBorders>
            <w:gridSpan w:val="3"/>
          </w:tcPr>
          <w:p>
            <w:pPr>
              <w:ind w:left="60"/>
              <w:spacing w:after="0" w:line="164" w:lineRule="exact"/>
              <w:rPr>
                <w:sz w:val="20"/>
                <w:szCs w:val="20"/>
                <w:color w:val="auto"/>
              </w:rPr>
            </w:pPr>
            <w:r>
              <w:rPr>
                <w:rFonts w:ascii="Arial" w:cs="Arial" w:eastAsia="Arial" w:hAnsi="Arial"/>
                <w:sz w:val="15"/>
                <w:szCs w:val="15"/>
                <w:b w:val="1"/>
                <w:bCs w:val="1"/>
                <w:color w:val="auto"/>
              </w:rPr>
              <w:t>New hires by age</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Under 30</w:t>
            </w: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5,898</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5,409</w:t>
            </w:r>
          </w:p>
        </w:tc>
        <w:tc>
          <w:tcPr>
            <w:tcW w:w="10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5,274</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4,613</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305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158</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272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608</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14</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10</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28</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Between 30 and 50</w:t>
            </w: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2,910</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2,625</w:t>
            </w:r>
          </w:p>
        </w:tc>
        <w:tc>
          <w:tcPr>
            <w:tcW w:w="10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2,462</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1,896</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169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94</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5</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256</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603</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5</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16</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Over 50</w:t>
            </w: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51</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73</w:t>
            </w:r>
          </w:p>
        </w:tc>
        <w:tc>
          <w:tcPr>
            <w:tcW w:w="10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43</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30</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36</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6</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7</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0</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tcPr>
          <w:p>
            <w:pPr>
              <w:spacing w:after="0"/>
              <w:rPr>
                <w:sz w:val="14"/>
                <w:szCs w:val="14"/>
                <w:color w:val="auto"/>
              </w:rPr>
            </w:pP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8,859</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rPr>
              <w:t>8,107</w:t>
            </w:r>
          </w:p>
        </w:tc>
        <w:tc>
          <w:tcPr>
            <w:tcW w:w="10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7,779</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6,539</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476</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288</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7</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8</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534</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1,218</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19</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14</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44</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40</w:t>
            </w: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 of hiring</w:t>
            </w: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24.5%</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w w:val="98"/>
              </w:rPr>
              <w:t>22.7%</w:t>
            </w:r>
          </w:p>
        </w:tc>
        <w:tc>
          <w:tcPr>
            <w:tcW w:w="10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w w:val="98"/>
              </w:rPr>
              <w:t>25.4%</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21.2%</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28.2%17.4%</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20.5%28.6%</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15.6%42.1%</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13.5%10.0%</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20.3%15.9%</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tcPr>
          <w:p>
            <w:pPr>
              <w:spacing w:after="0"/>
              <w:rPr>
                <w:sz w:val="14"/>
                <w:szCs w:val="14"/>
                <w:color w:val="auto"/>
              </w:rPr>
            </w:pPr>
          </w:p>
        </w:tc>
        <w:tc>
          <w:tcPr>
            <w:tcW w:w="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Average number of employees</w:t>
            </w:r>
          </w:p>
        </w:tc>
        <w:tc>
          <w:tcPr>
            <w:tcW w:w="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36,171</w:t>
            </w:r>
          </w:p>
        </w:tc>
        <w:tc>
          <w:tcPr>
            <w:tcW w:w="50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rPr>
              <w:t>35,763</w:t>
            </w:r>
          </w:p>
        </w:tc>
        <w:tc>
          <w:tcPr>
            <w:tcW w:w="100" w:type="dxa"/>
            <w:vAlign w:val="bottom"/>
            <w:tcBorders>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3"/>
          </w:tcPr>
          <w:p>
            <w:pPr>
              <w:jc w:val="right"/>
              <w:spacing w:after="0" w:line="164" w:lineRule="exact"/>
              <w:rPr>
                <w:sz w:val="20"/>
                <w:szCs w:val="20"/>
                <w:color w:val="auto"/>
              </w:rPr>
            </w:pPr>
            <w:r>
              <w:rPr>
                <w:rFonts w:ascii="Arial" w:cs="Arial" w:eastAsia="Arial" w:hAnsi="Arial"/>
                <w:sz w:val="15"/>
                <w:szCs w:val="15"/>
                <w:b w:val="1"/>
                <w:bCs w:val="1"/>
                <w:color w:val="auto"/>
              </w:rPr>
              <w:t>30,66630,793</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1,689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1,659</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34</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28</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3,424</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2,892</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141</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140</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217</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251</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auto"/>
            </w:tcBorders>
            <w:gridSpan w:val="2"/>
          </w:tcPr>
          <w:p>
            <w:pPr>
              <w:spacing w:after="0"/>
              <w:rPr>
                <w:sz w:val="17"/>
                <w:szCs w:val="17"/>
                <w:color w:val="auto"/>
              </w:rPr>
            </w:pP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4"/>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2"/>
                <w:szCs w:val="12"/>
                <w:b w:val="1"/>
                <w:bCs w:val="1"/>
                <w:color w:val="auto"/>
              </w:rPr>
              <w:t>Employee turnover</w:t>
            </w:r>
            <w:r>
              <w:rPr>
                <w:rFonts w:ascii="Arial" w:cs="Arial" w:eastAsia="Arial" w:hAnsi="Arial"/>
                <w:sz w:val="19"/>
                <w:szCs w:val="19"/>
                <w:b w:val="1"/>
                <w:bCs w:val="1"/>
                <w:color w:val="auto"/>
                <w:vertAlign w:val="superscript"/>
              </w:rPr>
              <w:t>77</w:t>
            </w:r>
          </w:p>
        </w:tc>
        <w:tc>
          <w:tcPr>
            <w:tcW w:w="8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4"/>
          </w:tcPr>
          <w:p>
            <w:pPr>
              <w:ind w:left="20"/>
              <w:spacing w:after="0" w:line="164" w:lineRule="exact"/>
              <w:rPr>
                <w:sz w:val="20"/>
                <w:szCs w:val="20"/>
                <w:color w:val="auto"/>
              </w:rPr>
            </w:pPr>
            <w:r>
              <w:rPr>
                <w:rFonts w:ascii="Arial" w:cs="Arial" w:eastAsia="Arial" w:hAnsi="Arial"/>
                <w:sz w:val="15"/>
                <w:szCs w:val="15"/>
                <w:b w:val="1"/>
                <w:bCs w:val="1"/>
                <w:color w:val="auto"/>
              </w:rPr>
              <w:t>TOTAL</w:t>
            </w:r>
          </w:p>
        </w:tc>
        <w:tc>
          <w:tcPr>
            <w:tcW w:w="320" w:type="dxa"/>
            <w:vAlign w:val="bottom"/>
            <w:tcBorders>
              <w:bottom w:val="single" w:sz="8" w:color="auto"/>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00" w:type="dxa"/>
            <w:vAlign w:val="bottom"/>
            <w:tcBorders>
              <w:bottom w:val="single" w:sz="8" w:color="auto"/>
            </w:tcBorders>
          </w:tcPr>
          <w:p>
            <w:pPr>
              <w:spacing w:after="0"/>
              <w:rPr>
                <w:sz w:val="12"/>
                <w:szCs w:val="12"/>
                <w:color w:val="auto"/>
              </w:rPr>
            </w:pPr>
          </w:p>
        </w:tc>
        <w:tc>
          <w:tcPr>
            <w:tcW w:w="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gridSpan w:val="2"/>
          </w:tcPr>
          <w:p>
            <w:pPr>
              <w:jc w:val="center"/>
              <w:spacing w:after="0" w:line="145" w:lineRule="exact"/>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gridSpan w:val="3"/>
          </w:tcPr>
          <w:p>
            <w:pPr>
              <w:jc w:val="center"/>
              <w:spacing w:after="0" w:line="145" w:lineRule="exact"/>
              <w:rPr>
                <w:sz w:val="20"/>
                <w:szCs w:val="20"/>
                <w:color w:val="auto"/>
              </w:rPr>
            </w:pPr>
            <w:r>
              <w:rPr>
                <w:rFonts w:ascii="Arial" w:cs="Arial" w:eastAsia="Arial" w:hAnsi="Arial"/>
                <w:sz w:val="11"/>
                <w:szCs w:val="11"/>
                <w:b w:val="1"/>
                <w:bCs w:val="1"/>
                <w:color w:val="auto"/>
              </w:rPr>
              <w:t>2021</w:t>
            </w:r>
            <w:r>
              <w:rPr>
                <w:rFonts w:ascii="Arial" w:cs="Arial" w:eastAsia="Arial" w:hAnsi="Arial"/>
                <w:sz w:val="16"/>
                <w:szCs w:val="16"/>
                <w:b w:val="1"/>
                <w:bCs w:val="1"/>
                <w:color w:val="auto"/>
                <w:vertAlign w:val="superscript"/>
              </w:rPr>
              <w:t>78</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180" w:type="dxa"/>
            <w:vAlign w:val="bottom"/>
            <w:tcBorders>
              <w:left w:val="single" w:sz="8" w:color="auto"/>
              <w:bottom w:val="single" w:sz="8" w:color="auto"/>
            </w:tcBorders>
            <w:gridSpan w:val="3"/>
          </w:tcPr>
          <w:p>
            <w:pPr>
              <w:ind w:left="60"/>
              <w:spacing w:after="0" w:line="164" w:lineRule="exact"/>
              <w:rPr>
                <w:sz w:val="20"/>
                <w:szCs w:val="20"/>
                <w:color w:val="auto"/>
              </w:rPr>
            </w:pPr>
            <w:r>
              <w:rPr>
                <w:rFonts w:ascii="Arial" w:cs="Arial" w:eastAsia="Arial" w:hAnsi="Arial"/>
                <w:sz w:val="15"/>
                <w:szCs w:val="15"/>
                <w:b w:val="1"/>
                <w:bCs w:val="1"/>
                <w:color w:val="auto"/>
              </w:rPr>
              <w:t>Turnover by gender</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Female</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5,247</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4,782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Male</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4,031</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3,463</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tcPr>
          <w:p>
            <w:pPr>
              <w:spacing w:after="0"/>
              <w:rPr>
                <w:sz w:val="14"/>
                <w:szCs w:val="14"/>
                <w:color w:val="auto"/>
              </w:rPr>
            </w:pPr>
          </w:p>
        </w:tc>
        <w:tc>
          <w:tcPr>
            <w:tcW w:w="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9,278</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rPr>
              <w:t>8,245</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80" w:type="dxa"/>
            <w:vAlign w:val="bottom"/>
            <w:tcBorders>
              <w:left w:val="single" w:sz="8" w:color="auto"/>
              <w:bottom w:val="single" w:sz="8" w:color="auto"/>
            </w:tcBorders>
            <w:gridSpan w:val="3"/>
          </w:tcPr>
          <w:p>
            <w:pPr>
              <w:ind w:left="60"/>
              <w:spacing w:after="0" w:line="164" w:lineRule="exact"/>
              <w:rPr>
                <w:sz w:val="20"/>
                <w:szCs w:val="20"/>
                <w:color w:val="auto"/>
              </w:rPr>
            </w:pPr>
            <w:r>
              <w:rPr>
                <w:rFonts w:ascii="Arial" w:cs="Arial" w:eastAsia="Arial" w:hAnsi="Arial"/>
                <w:sz w:val="15"/>
                <w:szCs w:val="15"/>
                <w:b w:val="1"/>
                <w:bCs w:val="1"/>
                <w:color w:val="auto"/>
              </w:rPr>
              <w:t>Turnover by age</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Under 30</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4,926</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4,298</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Between 30 and 50</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4,100</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color w:val="auto"/>
              </w:rPr>
              <w:t>3,696</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Over 50</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color w:val="auto"/>
              </w:rPr>
              <w:t>252</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ind w:right="3"/>
              <w:spacing w:after="0" w:line="164" w:lineRule="exact"/>
              <w:rPr>
                <w:sz w:val="20"/>
                <w:szCs w:val="20"/>
                <w:color w:val="auto"/>
              </w:rPr>
            </w:pPr>
            <w:r>
              <w:rPr>
                <w:rFonts w:ascii="Arial" w:cs="Arial" w:eastAsia="Arial" w:hAnsi="Arial"/>
                <w:sz w:val="15"/>
                <w:szCs w:val="15"/>
                <w:color w:val="auto"/>
              </w:rPr>
              <w:t>251</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tcPr>
          <w:p>
            <w:pPr>
              <w:spacing w:after="0"/>
              <w:rPr>
                <w:sz w:val="14"/>
                <w:szCs w:val="14"/>
                <w:color w:val="auto"/>
              </w:rPr>
            </w:pPr>
          </w:p>
        </w:tc>
        <w:tc>
          <w:tcPr>
            <w:tcW w:w="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9,278</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rPr>
              <w:t>8,245</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5"/>
                <w:szCs w:val="15"/>
                <w:b w:val="1"/>
                <w:bCs w:val="1"/>
                <w:color w:val="auto"/>
              </w:rPr>
              <w:t>Turnover Rate</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25.65%</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rPr>
              <w:t>23.05%</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tcPr>
          <w:p>
            <w:pPr>
              <w:spacing w:after="0"/>
              <w:rPr>
                <w:sz w:val="14"/>
                <w:szCs w:val="14"/>
                <w:color w:val="auto"/>
              </w:rPr>
            </w:pPr>
          </w:p>
        </w:tc>
        <w:tc>
          <w:tcPr>
            <w:tcW w:w="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Borders>
              <w:left w:val="single" w:sz="8" w:color="auto"/>
              <w:bottom w:val="single" w:sz="8" w:color="auto"/>
              <w:right w:val="single" w:sz="8" w:color="auto"/>
            </w:tcBorders>
            <w:gridSpan w:val="2"/>
          </w:tcPr>
          <w:p>
            <w:pPr>
              <w:ind w:left="60"/>
              <w:spacing w:after="0" w:line="164" w:lineRule="exact"/>
              <w:rPr>
                <w:sz w:val="20"/>
                <w:szCs w:val="20"/>
                <w:color w:val="auto"/>
              </w:rPr>
            </w:pPr>
            <w:r>
              <w:rPr>
                <w:rFonts w:ascii="Arial" w:cs="Arial" w:eastAsia="Arial" w:hAnsi="Arial"/>
                <w:sz w:val="15"/>
                <w:szCs w:val="15"/>
                <w:b w:val="1"/>
                <w:bCs w:val="1"/>
                <w:color w:val="auto"/>
              </w:rPr>
              <w:t>Total average number of employees</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gridSpan w:val="2"/>
          </w:tcPr>
          <w:p>
            <w:pPr>
              <w:jc w:val="center"/>
              <w:spacing w:after="0" w:line="164" w:lineRule="exact"/>
              <w:rPr>
                <w:sz w:val="20"/>
                <w:szCs w:val="20"/>
                <w:color w:val="auto"/>
              </w:rPr>
            </w:pPr>
            <w:r>
              <w:rPr>
                <w:rFonts w:ascii="Arial" w:cs="Arial" w:eastAsia="Arial" w:hAnsi="Arial"/>
                <w:sz w:val="15"/>
                <w:szCs w:val="15"/>
                <w:b w:val="1"/>
                <w:bCs w:val="1"/>
                <w:color w:val="auto"/>
              </w:rPr>
              <w:t>36,171</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3"/>
          </w:tcPr>
          <w:p>
            <w:pPr>
              <w:jc w:val="center"/>
              <w:spacing w:after="0" w:line="164" w:lineRule="exact"/>
              <w:rPr>
                <w:sz w:val="20"/>
                <w:szCs w:val="20"/>
                <w:color w:val="auto"/>
              </w:rPr>
            </w:pPr>
            <w:r>
              <w:rPr>
                <w:rFonts w:ascii="Arial" w:cs="Arial" w:eastAsia="Arial" w:hAnsi="Arial"/>
                <w:sz w:val="15"/>
                <w:szCs w:val="15"/>
                <w:b w:val="1"/>
                <w:bCs w:val="1"/>
                <w:color w:val="auto"/>
              </w:rPr>
              <w:t>35,763</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-1902460</wp:posOffset>
            </wp:positionV>
            <wp:extent cx="7620" cy="1244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20" cy="12446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-2605405</wp:posOffset>
            </wp:positionV>
            <wp:extent cx="7620" cy="8274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20" cy="82740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-2605405</wp:posOffset>
            </wp:positionV>
            <wp:extent cx="7620" cy="5930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-2605405</wp:posOffset>
            </wp:positionV>
            <wp:extent cx="7620" cy="5930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-2605405</wp:posOffset>
            </wp:positionV>
            <wp:extent cx="7620" cy="5930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-2605405</wp:posOffset>
            </wp:positionV>
            <wp:extent cx="7620" cy="5930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241300</wp:posOffset>
            </wp:positionV>
            <wp:extent cx="214503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line="205" w:lineRule="auto"/>
        <w:rPr>
          <w:sz w:val="20"/>
          <w:szCs w:val="20"/>
          <w:color w:val="auto"/>
        </w:rPr>
      </w:pPr>
      <w:r>
        <w:rPr>
          <w:rFonts w:ascii="Arial" w:cs="Arial" w:eastAsia="Arial" w:hAnsi="Arial"/>
          <w:sz w:val="25"/>
          <w:szCs w:val="25"/>
          <w:color w:val="auto"/>
          <w:vertAlign w:val="superscript"/>
        </w:rPr>
        <w:t>75,78</w:t>
      </w:r>
      <w:r>
        <w:rPr>
          <w:rFonts w:ascii="Arial" w:cs="Arial" w:eastAsia="Arial" w:hAnsi="Arial"/>
          <w:sz w:val="15"/>
          <w:szCs w:val="15"/>
          <w:color w:val="auto"/>
        </w:rPr>
        <w:t xml:space="preserve"> Consolidated data at Credicorp level based on the following companies: BCP Perú, Pacífico Seguros, Prima AFP, MiBanco Perú, Credicorp Capital, BCP Bolivia, MiBanco Colombia.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60"/>
        <w:spacing w:after="0" w:line="192" w:lineRule="auto"/>
        <w:rPr>
          <w:sz w:val="20"/>
          <w:szCs w:val="20"/>
          <w:color w:val="auto"/>
        </w:rPr>
      </w:pPr>
      <w:r>
        <w:rPr>
          <w:rFonts w:ascii="Arial" w:cs="Arial" w:eastAsia="Arial" w:hAnsi="Arial"/>
          <w:sz w:val="25"/>
          <w:szCs w:val="25"/>
          <w:color w:val="auto"/>
          <w:vertAlign w:val="superscript"/>
        </w:rPr>
        <w:t>76,78</w:t>
      </w:r>
      <w:r>
        <w:rPr>
          <w:rFonts w:ascii="Arial" w:cs="Arial" w:eastAsia="Arial" w:hAnsi="Arial"/>
          <w:sz w:val="15"/>
          <w:szCs w:val="15"/>
          <w:color w:val="auto"/>
        </w:rPr>
        <w:t xml:space="preserve"> There are differences vs 2021 Report because some companies’ updates were made after the report was published.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240" w:space="600"/>
            <w:col w:w="5420"/>
          </w:cols>
          <w:pgMar w:left="320" w:top="326" w:right="319" w:bottom="1440" w:gutter="0" w:footer="0" w:header="0"/>
          <w:type w:val="continuous"/>
        </w:sectPr>
      </w:pPr>
    </w:p>
    <w:bookmarkStart w:id="167" w:name="page168"/>
    <w:bookmarkEnd w:id="167"/>
    <w:tbl>
      <w:tblPr>
        <w:tblLayout w:type="fixed"/>
        <w:tblInd w:w="18" w:type="dxa"/>
        <w:tblCellMar>
          <w:top w:w="0" w:type="dxa"/>
          <w:left w:w="0" w:type="dxa"/>
          <w:bottom w:w="0" w:type="dxa"/>
          <w:right w:w="0" w:type="dxa"/>
        </w:tblCellMar>
      </w:tblPr>
      <w:tr>
        <w:trPr>
          <w:trHeight w:val="185"/>
        </w:trPr>
        <w:tc>
          <w:tcPr>
            <w:tcW w:w="4000" w:type="dxa"/>
            <w:vAlign w:val="bottom"/>
            <w:tcBorders>
              <w:top w:val="single" w:sz="8" w:color="auto"/>
              <w:left w:val="single" w:sz="8" w:color="auto"/>
              <w:bottom w:val="single" w:sz="8" w:color="auto"/>
              <w:right w:val="single" w:sz="8" w:color="auto"/>
            </w:tcBorders>
          </w:tcPr>
          <w:p>
            <w:pPr>
              <w:ind w:left="60"/>
              <w:spacing w:after="0" w:line="185" w:lineRule="exact"/>
              <w:rPr>
                <w:sz w:val="20"/>
                <w:szCs w:val="20"/>
                <w:color w:val="auto"/>
              </w:rPr>
            </w:pPr>
            <w:r>
              <w:rPr>
                <w:rFonts w:ascii="Arial" w:cs="Arial" w:eastAsia="Arial" w:hAnsi="Arial"/>
                <w:sz w:val="13"/>
                <w:szCs w:val="13"/>
                <w:b w:val="1"/>
                <w:bCs w:val="1"/>
                <w:color w:val="auto"/>
              </w:rPr>
              <w:t>Turnover by country</w:t>
            </w:r>
            <w:r>
              <w:rPr>
                <w:rFonts w:ascii="Arial" w:cs="Arial" w:eastAsia="Arial" w:hAnsi="Arial"/>
                <w:sz w:val="21"/>
                <w:szCs w:val="21"/>
                <w:b w:val="1"/>
                <w:bCs w:val="1"/>
                <w:color w:val="auto"/>
                <w:vertAlign w:val="superscript"/>
              </w:rPr>
              <w:t>79</w:t>
            </w:r>
          </w:p>
        </w:tc>
        <w:tc>
          <w:tcPr>
            <w:tcW w:w="120" w:type="dxa"/>
            <w:vAlign w:val="bottom"/>
            <w:tcBorders>
              <w:right w:val="single" w:sz="8" w:color="auto"/>
            </w:tcBorders>
          </w:tcPr>
          <w:p>
            <w:pPr>
              <w:spacing w:after="0"/>
              <w:rPr>
                <w:sz w:val="16"/>
                <w:szCs w:val="16"/>
                <w:color w:val="auto"/>
              </w:rPr>
            </w:pPr>
          </w:p>
        </w:tc>
        <w:tc>
          <w:tcPr>
            <w:tcW w:w="10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200" w:type="dxa"/>
            <w:vAlign w:val="bottom"/>
            <w:tcBorders>
              <w:right w:val="single" w:sz="8" w:color="auto"/>
            </w:tcBorders>
          </w:tcPr>
          <w:p>
            <w:pPr>
              <w:spacing w:after="0"/>
              <w:rPr>
                <w:sz w:val="16"/>
                <w:szCs w:val="16"/>
                <w:color w:val="auto"/>
              </w:rPr>
            </w:pPr>
          </w:p>
        </w:tc>
        <w:tc>
          <w:tcPr>
            <w:tcW w:w="9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Peru</w:t>
            </w:r>
          </w:p>
        </w:tc>
        <w:tc>
          <w:tcPr>
            <w:tcW w:w="8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Bolivia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USA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Colombia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Panama</w:t>
            </w:r>
          </w:p>
        </w:tc>
        <w:tc>
          <w:tcPr>
            <w:tcW w:w="100" w:type="dxa"/>
            <w:vAlign w:val="bottom"/>
            <w:tcBorders>
              <w:right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8"/>
              </w:rPr>
              <w:t>Chile</w:t>
            </w:r>
          </w:p>
        </w:tc>
      </w:tr>
      <w:tr>
        <w:trPr>
          <w:trHeight w:val="164"/>
        </w:trPr>
        <w:tc>
          <w:tcPr>
            <w:tcW w:w="40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2"/>
                <w:szCs w:val="12"/>
                <w:b w:val="1"/>
                <w:bCs w:val="1"/>
                <w:color w:val="auto"/>
              </w:rPr>
              <w:t>2021</w:t>
            </w:r>
            <w:r>
              <w:rPr>
                <w:rFonts w:ascii="Arial" w:cs="Arial" w:eastAsia="Arial" w:hAnsi="Arial"/>
                <w:sz w:val="19"/>
                <w:szCs w:val="19"/>
                <w:b w:val="1"/>
                <w:bCs w:val="1"/>
                <w:color w:val="auto"/>
                <w:vertAlign w:val="superscript"/>
              </w:rPr>
              <w:t>80</w:t>
            </w:r>
          </w:p>
        </w:tc>
        <w:tc>
          <w:tcPr>
            <w:tcW w:w="2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2021</w:t>
            </w:r>
          </w:p>
        </w:tc>
      </w:tr>
      <w:tr>
        <w:trPr>
          <w:trHeight w:val="164"/>
        </w:trPr>
        <w:tc>
          <w:tcPr>
            <w:tcW w:w="4120" w:type="dxa"/>
            <w:vAlign w:val="bottom"/>
            <w:tcBorders>
              <w:left w:val="single" w:sz="8" w:color="auto"/>
              <w:bottom w:val="single" w:sz="8" w:color="auto"/>
            </w:tcBorders>
            <w:gridSpan w:val="2"/>
          </w:tcPr>
          <w:p>
            <w:pPr>
              <w:ind w:left="60"/>
              <w:spacing w:after="0" w:line="164" w:lineRule="exact"/>
              <w:rPr>
                <w:sz w:val="20"/>
                <w:szCs w:val="20"/>
                <w:color w:val="auto"/>
              </w:rPr>
            </w:pPr>
            <w:r>
              <w:rPr>
                <w:rFonts w:ascii="Arial" w:cs="Arial" w:eastAsia="Arial" w:hAnsi="Arial"/>
                <w:sz w:val="15"/>
                <w:szCs w:val="15"/>
                <w:b w:val="1"/>
                <w:bCs w:val="1"/>
                <w:color w:val="auto"/>
              </w:rPr>
              <w:t>Turnover by gender</w:t>
            </w: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r>
      <w:tr>
        <w:trPr>
          <w:trHeight w:val="164"/>
        </w:trPr>
        <w:tc>
          <w:tcPr>
            <w:tcW w:w="40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Female</w:t>
            </w: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5,247</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4,782</w:t>
            </w:r>
          </w:p>
        </w:tc>
        <w:tc>
          <w:tcPr>
            <w:tcW w:w="2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4,556</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4,195</w:t>
            </w:r>
          </w:p>
        </w:tc>
        <w:tc>
          <w:tcPr>
            <w:tcW w:w="8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207</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451</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399</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11</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5</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19</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18</w:t>
            </w:r>
          </w:p>
        </w:tc>
      </w:tr>
      <w:tr>
        <w:trPr>
          <w:trHeight w:val="164"/>
        </w:trPr>
        <w:tc>
          <w:tcPr>
            <w:tcW w:w="40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Male</w:t>
            </w: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4,031</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3,463</w:t>
            </w:r>
          </w:p>
        </w:tc>
        <w:tc>
          <w:tcPr>
            <w:tcW w:w="2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3,314</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2,866</w:t>
            </w:r>
          </w:p>
        </w:tc>
        <w:tc>
          <w:tcPr>
            <w:tcW w:w="8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248</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157</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412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371</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15</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39</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51</w:t>
            </w:r>
          </w:p>
        </w:tc>
      </w:tr>
      <w:tr>
        <w:trPr>
          <w:trHeight w:val="164"/>
        </w:trPr>
        <w:tc>
          <w:tcPr>
            <w:tcW w:w="40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9,278</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8,245</w:t>
            </w:r>
          </w:p>
        </w:tc>
        <w:tc>
          <w:tcPr>
            <w:tcW w:w="2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7,870</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7,061</w:t>
            </w:r>
          </w:p>
        </w:tc>
        <w:tc>
          <w:tcPr>
            <w:tcW w:w="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455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318</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7</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863</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770</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23</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20</w:t>
            </w:r>
          </w:p>
        </w:tc>
        <w:tc>
          <w:tcPr>
            <w:tcW w:w="1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58</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69</w:t>
            </w:r>
          </w:p>
        </w:tc>
      </w:tr>
      <w:tr>
        <w:trPr>
          <w:trHeight w:val="164"/>
        </w:trPr>
        <w:tc>
          <w:tcPr>
            <w:tcW w:w="4120" w:type="dxa"/>
            <w:vAlign w:val="bottom"/>
            <w:tcBorders>
              <w:left w:val="single" w:sz="8" w:color="auto"/>
              <w:bottom w:val="single" w:sz="8" w:color="auto"/>
            </w:tcBorders>
            <w:gridSpan w:val="2"/>
          </w:tcPr>
          <w:p>
            <w:pPr>
              <w:ind w:left="60"/>
              <w:spacing w:after="0" w:line="164" w:lineRule="exact"/>
              <w:rPr>
                <w:sz w:val="20"/>
                <w:szCs w:val="20"/>
                <w:color w:val="auto"/>
              </w:rPr>
            </w:pPr>
            <w:r>
              <w:rPr>
                <w:rFonts w:ascii="Arial" w:cs="Arial" w:eastAsia="Arial" w:hAnsi="Arial"/>
                <w:sz w:val="15"/>
                <w:szCs w:val="15"/>
                <w:b w:val="1"/>
                <w:bCs w:val="1"/>
                <w:color w:val="auto"/>
              </w:rPr>
              <w:t>Turnover by age</w:t>
            </w: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r>
      <w:tr>
        <w:trPr>
          <w:trHeight w:val="164"/>
        </w:trPr>
        <w:tc>
          <w:tcPr>
            <w:tcW w:w="40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Under 30</w:t>
            </w: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4,926</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4,298</w:t>
            </w:r>
          </w:p>
        </w:tc>
        <w:tc>
          <w:tcPr>
            <w:tcW w:w="2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4,424</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3,870</w:t>
            </w:r>
          </w:p>
        </w:tc>
        <w:tc>
          <w:tcPr>
            <w:tcW w:w="8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178</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126</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0</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305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263</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9</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7</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10</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30</w:t>
            </w:r>
          </w:p>
        </w:tc>
      </w:tr>
      <w:tr>
        <w:trPr>
          <w:trHeight w:val="164"/>
        </w:trPr>
        <w:tc>
          <w:tcPr>
            <w:tcW w:w="40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Between 30 and 50</w:t>
            </w: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4,100</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3,696</w:t>
            </w:r>
          </w:p>
        </w:tc>
        <w:tc>
          <w:tcPr>
            <w:tcW w:w="2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3,318</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3,005</w:t>
            </w:r>
          </w:p>
        </w:tc>
        <w:tc>
          <w:tcPr>
            <w:tcW w:w="8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205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171</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7</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519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473</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11</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11</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40</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35</w:t>
            </w:r>
          </w:p>
        </w:tc>
      </w:tr>
      <w:tr>
        <w:trPr>
          <w:trHeight w:val="164"/>
        </w:trPr>
        <w:tc>
          <w:tcPr>
            <w:tcW w:w="40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Over 50</w:t>
            </w: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252</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251</w:t>
            </w:r>
          </w:p>
        </w:tc>
        <w:tc>
          <w:tcPr>
            <w:tcW w:w="2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128</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186</w:t>
            </w:r>
          </w:p>
        </w:tc>
        <w:tc>
          <w:tcPr>
            <w:tcW w:w="8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72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21</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39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34</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3</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2</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8</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4</w:t>
            </w:r>
          </w:p>
        </w:tc>
      </w:tr>
      <w:tr>
        <w:trPr>
          <w:trHeight w:val="164"/>
        </w:trPr>
        <w:tc>
          <w:tcPr>
            <w:tcW w:w="400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9,278</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8,245</w:t>
            </w:r>
          </w:p>
        </w:tc>
        <w:tc>
          <w:tcPr>
            <w:tcW w:w="2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7,870</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7,061</w:t>
            </w:r>
          </w:p>
        </w:tc>
        <w:tc>
          <w:tcPr>
            <w:tcW w:w="8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455</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318</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7</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863</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770</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23</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20</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58</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69</w:t>
            </w:r>
          </w:p>
        </w:tc>
      </w:tr>
      <w:tr>
        <w:trPr>
          <w:trHeight w:val="164"/>
        </w:trPr>
        <w:tc>
          <w:tcPr>
            <w:tcW w:w="40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Turnover rate</w:t>
            </w: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25.7%</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8"/>
              </w:rPr>
              <w:t>23.1%</w:t>
            </w:r>
          </w:p>
        </w:tc>
        <w:tc>
          <w:tcPr>
            <w:tcW w:w="2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8"/>
              </w:rPr>
              <w:t>25.7%</w:t>
            </w: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8"/>
              </w:rPr>
              <w:t>22.9%</w:t>
            </w:r>
          </w:p>
        </w:tc>
        <w:tc>
          <w:tcPr>
            <w:tcW w:w="8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26.9%19.2%</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26.4%25.3%</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25.2%26.6%</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16.3%14.2%</w:t>
            </w:r>
          </w:p>
        </w:tc>
        <w:tc>
          <w:tcPr>
            <w:tcW w:w="10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rPr>
              <w:t>26.7%27.5%</w:t>
            </w:r>
          </w:p>
        </w:tc>
      </w:tr>
      <w:tr>
        <w:trPr>
          <w:trHeight w:val="164"/>
        </w:trPr>
        <w:tc>
          <w:tcPr>
            <w:tcW w:w="4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r>
      <w:tr>
        <w:trPr>
          <w:trHeight w:val="164"/>
        </w:trPr>
        <w:tc>
          <w:tcPr>
            <w:tcW w:w="400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Average number of total employees</w:t>
            </w:r>
          </w:p>
        </w:tc>
        <w:tc>
          <w:tcPr>
            <w:tcW w:w="12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36,171</w:t>
            </w:r>
          </w:p>
        </w:tc>
        <w:tc>
          <w:tcPr>
            <w:tcW w:w="5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35,763</w:t>
            </w:r>
          </w:p>
        </w:tc>
        <w:tc>
          <w:tcPr>
            <w:tcW w:w="20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gridSpan w:val="2"/>
          </w:tcPr>
          <w:p>
            <w:pPr>
              <w:jc w:val="right"/>
              <w:spacing w:after="0" w:line="164" w:lineRule="exact"/>
              <w:rPr>
                <w:sz w:val="20"/>
                <w:szCs w:val="20"/>
                <w:color w:val="auto"/>
              </w:rPr>
            </w:pPr>
            <w:r>
              <w:rPr>
                <w:rFonts w:ascii="Arial" w:cs="Arial" w:eastAsia="Arial" w:hAnsi="Arial"/>
                <w:sz w:val="15"/>
                <w:szCs w:val="15"/>
                <w:b w:val="1"/>
                <w:bCs w:val="1"/>
                <w:color w:val="auto"/>
                <w:w w:val="98"/>
              </w:rPr>
              <w:t>30,66630,793</w:t>
            </w:r>
          </w:p>
        </w:tc>
        <w:tc>
          <w:tcPr>
            <w:tcW w:w="8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1,689</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1,659</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34</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5"/>
              </w:rPr>
              <w:t>28</w:t>
            </w:r>
          </w:p>
        </w:tc>
        <w:tc>
          <w:tcPr>
            <w:tcW w:w="100" w:type="dxa"/>
            <w:vAlign w:val="bottom"/>
            <w:tcBorders>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3,424</w:t>
            </w: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2,892</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141</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140</w:t>
            </w:r>
          </w:p>
        </w:tc>
        <w:tc>
          <w:tcPr>
            <w:tcW w:w="10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217</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-123825</wp:posOffset>
            </wp:positionV>
            <wp:extent cx="7620" cy="1244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20" cy="12446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-826770</wp:posOffset>
            </wp:positionV>
            <wp:extent cx="7620" cy="8274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20" cy="82740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-826770</wp:posOffset>
            </wp:positionV>
            <wp:extent cx="7620" cy="5930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-826770</wp:posOffset>
            </wp:positionV>
            <wp:extent cx="7620" cy="5930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-826770</wp:posOffset>
            </wp:positionV>
            <wp:extent cx="7620" cy="5930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-826770</wp:posOffset>
            </wp:positionV>
            <wp:extent cx="7620" cy="5930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109855</wp:posOffset>
            </wp:positionV>
            <wp:extent cx="214503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267" w:lineRule="exact"/>
        <w:rPr>
          <w:sz w:val="20"/>
          <w:szCs w:val="20"/>
          <w:color w:val="auto"/>
        </w:rPr>
      </w:pPr>
    </w:p>
    <w:p>
      <w:pPr>
        <w:ind w:left="8" w:right="160" w:hanging="8"/>
        <w:spacing w:after="0" w:line="186" w:lineRule="auto"/>
        <w:tabs>
          <w:tab w:leader="none" w:pos="186" w:val="left"/>
        </w:tabs>
        <w:numPr>
          <w:ilvl w:val="0"/>
          <w:numId w:val="131"/>
        </w:numPr>
        <w:rPr>
          <w:rFonts w:ascii="Arial" w:cs="Arial" w:eastAsia="Arial" w:hAnsi="Arial"/>
          <w:sz w:val="25"/>
          <w:szCs w:val="25"/>
          <w:color w:val="auto"/>
          <w:vertAlign w:val="superscript"/>
        </w:rPr>
      </w:pPr>
      <w:r>
        <w:rPr>
          <w:rFonts w:ascii="Arial" w:cs="Arial" w:eastAsia="Arial" w:hAnsi="Arial"/>
          <w:sz w:val="15"/>
          <w:szCs w:val="15"/>
          <w:color w:val="auto"/>
        </w:rPr>
        <w:t>Consolidated data at Credicorp level based on the following companies: BCP Perú, Pacífico Seguros, Prima AFP, MiBanco Perú, Credicorp Capital, BCP Bolivia, MiBanco Colombia.</w:t>
      </w:r>
    </w:p>
    <w:p>
      <w:pPr>
        <w:spacing w:after="0" w:line="59" w:lineRule="exact"/>
        <w:rPr>
          <w:rFonts w:ascii="Arial" w:cs="Arial" w:eastAsia="Arial" w:hAnsi="Arial"/>
          <w:sz w:val="25"/>
          <w:szCs w:val="25"/>
          <w:color w:val="auto"/>
          <w:vertAlign w:val="superscript"/>
        </w:rPr>
      </w:pPr>
    </w:p>
    <w:p>
      <w:pPr>
        <w:ind w:left="188" w:hanging="188"/>
        <w:spacing w:after="0"/>
        <w:tabs>
          <w:tab w:leader="none" w:pos="188" w:val="left"/>
        </w:tabs>
        <w:numPr>
          <w:ilvl w:val="0"/>
          <w:numId w:val="131"/>
        </w:numPr>
        <w:rPr>
          <w:rFonts w:ascii="Arial" w:cs="Arial" w:eastAsia="Arial" w:hAnsi="Arial"/>
          <w:sz w:val="25"/>
          <w:szCs w:val="25"/>
          <w:color w:val="auto"/>
          <w:vertAlign w:val="superscript"/>
        </w:rPr>
      </w:pPr>
      <w:r>
        <w:rPr>
          <w:rFonts w:ascii="Arial" w:cs="Arial" w:eastAsia="Arial" w:hAnsi="Arial"/>
          <w:sz w:val="15"/>
          <w:szCs w:val="15"/>
          <w:color w:val="auto"/>
        </w:rPr>
        <w:t>There are differences vs 2021 Report because some companies’ updates were made after the report was published.</w:t>
      </w:r>
    </w:p>
    <w:p>
      <w:pPr>
        <w:spacing w:after="0" w:line="322" w:lineRule="exact"/>
        <w:rPr>
          <w:sz w:val="20"/>
          <w:szCs w:val="20"/>
          <w:color w:val="auto"/>
        </w:rPr>
      </w:pPr>
    </w:p>
    <w:p>
      <w:pPr>
        <w:ind w:left="11008"/>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500" w:right="319" w:bottom="1440" w:gutter="0" w:footer="0" w:header="0"/>
        </w:sectPr>
      </w:pPr>
    </w:p>
    <w:bookmarkStart w:id="168" w:name="page169"/>
    <w:bookmarkEnd w:id="168"/>
    <w:p>
      <w:pPr>
        <w:spacing w:after="0" w:line="201" w:lineRule="auto"/>
        <w:framePr w:w="420" w:h="116" w:wrap="auto" w:vAnchor="page" w:hAnchor="page" w:x="280" w:y="7506"/>
        <w:rPr>
          <w:rFonts w:ascii="Arial" w:cs="Arial" w:eastAsia="Arial" w:hAnsi="Arial"/>
          <w:sz w:val="12"/>
          <w:szCs w:val="12"/>
          <w:color w:val="auto"/>
        </w:rPr>
      </w:pPr>
      <w:r>
        <w:rPr>
          <w:rFonts w:ascii="Arial" w:cs="Arial" w:eastAsia="Arial" w:hAnsi="Arial"/>
          <w:sz w:val="12"/>
          <w:szCs w:val="12"/>
          <w:color w:val="auto"/>
        </w:rPr>
        <w:t>81, 82</w:t>
      </w:r>
    </w:p>
    <w:tbl>
      <w:tblPr>
        <w:tblLayout w:type="fixed"/>
        <w:tblInd w:w="0" w:type="dxa"/>
        <w:tblCellMar>
          <w:top w:w="0" w:type="dxa"/>
          <w:left w:w="0" w:type="dxa"/>
          <w:bottom w:w="0" w:type="dxa"/>
          <w:right w:w="0" w:type="dxa"/>
        </w:tblCellMar>
      </w:tblPr>
      <w:tr>
        <w:trPr>
          <w:trHeight w:val="203"/>
        </w:trPr>
        <w:tc>
          <w:tcPr>
            <w:tcW w:w="4560" w:type="dxa"/>
            <w:vAlign w:val="bottom"/>
            <w:gridSpan w:val="3"/>
          </w:tcPr>
          <w:p>
            <w:pPr>
              <w:spacing w:after="0"/>
              <w:rPr>
                <w:sz w:val="20"/>
                <w:szCs w:val="20"/>
                <w:color w:val="auto"/>
              </w:rPr>
            </w:pPr>
            <w:r>
              <w:rPr>
                <w:rFonts w:ascii="Arial" w:cs="Arial" w:eastAsia="Arial" w:hAnsi="Arial"/>
                <w:sz w:val="15"/>
                <w:szCs w:val="15"/>
                <w:b w:val="1"/>
                <w:bCs w:val="1"/>
                <w:color w:val="2F5496"/>
              </w:rPr>
              <w:t>GRI 401-3</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60" w:type="dxa"/>
            <w:vAlign w:val="bottom"/>
          </w:tcPr>
          <w:p>
            <w:pPr>
              <w:ind w:left="40"/>
              <w:spacing w:after="0" w:line="164" w:lineRule="exact"/>
              <w:rPr>
                <w:sz w:val="20"/>
                <w:szCs w:val="20"/>
                <w:color w:val="auto"/>
              </w:rPr>
            </w:pPr>
            <w:r>
              <w:rPr>
                <w:rFonts w:ascii="Arial" w:cs="Arial" w:eastAsia="Arial" w:hAnsi="Arial"/>
                <w:sz w:val="12"/>
                <w:szCs w:val="12"/>
                <w:b w:val="1"/>
                <w:bCs w:val="1"/>
                <w:color w:val="auto"/>
              </w:rPr>
              <w:t>Parental Leave</w:t>
            </w:r>
            <w:r>
              <w:rPr>
                <w:rFonts w:ascii="Arial" w:cs="Arial" w:eastAsia="Arial" w:hAnsi="Arial"/>
                <w:sz w:val="19"/>
                <w:szCs w:val="19"/>
                <w:b w:val="1"/>
                <w:bCs w:val="1"/>
                <w:color w:val="auto"/>
                <w:vertAlign w:val="superscript"/>
              </w:rPr>
              <w:t>81</w:t>
            </w: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9"/>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rPr>
              <w:t>Q</w:t>
            </w:r>
          </w:p>
        </w:tc>
        <w:tc>
          <w:tcPr>
            <w:tcW w:w="0" w:type="dxa"/>
            <w:vAlign w:val="bottom"/>
          </w:tcPr>
          <w:p>
            <w:pPr>
              <w:spacing w:after="0"/>
              <w:rPr>
                <w:sz w:val="1"/>
                <w:szCs w:val="1"/>
                <w:color w:val="auto"/>
              </w:rPr>
            </w:pP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3425825" cy="7099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5825" cy="7099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auto"/>
        </w:rPr>
        <w:t>a. Total number of employees that have parental leave, by gender.</w:t>
      </w:r>
    </w:p>
    <w:p>
      <w:pPr>
        <w:spacing w:after="0" w:line="1" w:lineRule="exact"/>
        <w:rPr>
          <w:rFonts w:ascii="Arial" w:cs="Arial" w:eastAsia="Arial" w:hAnsi="Arial"/>
          <w:sz w:val="12"/>
          <w:szCs w:val="12"/>
          <w:color w:val="auto"/>
        </w:rPr>
      </w:pPr>
    </w:p>
    <w:tbl>
      <w:tblPr>
        <w:tblLayout w:type="fixed"/>
        <w:tblInd w:w="0" w:type="dxa"/>
        <w:tblCellMar>
          <w:top w:w="0" w:type="dxa"/>
          <w:left w:w="0" w:type="dxa"/>
          <w:bottom w:w="0" w:type="dxa"/>
          <w:right w:w="0" w:type="dxa"/>
        </w:tblCellMar>
      </w:tblPr>
      <w:tr>
        <w:trPr>
          <w:trHeight w:val="164"/>
        </w:trPr>
        <w:tc>
          <w:tcPr>
            <w:tcW w:w="4480" w:type="dxa"/>
            <w:vAlign w:val="bottom"/>
            <w:tcBorders>
              <w:top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Female</w:t>
            </w:r>
          </w:p>
        </w:tc>
        <w:tc>
          <w:tcPr>
            <w:tcW w:w="1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914</w:t>
            </w:r>
          </w:p>
        </w:tc>
      </w:tr>
      <w:tr>
        <w:trPr>
          <w:trHeight w:val="164"/>
        </w:trPr>
        <w:tc>
          <w:tcPr>
            <w:tcW w:w="4480" w:type="dxa"/>
            <w:vAlign w:val="bottom"/>
            <w:tcBorders>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Male</w:t>
            </w:r>
          </w:p>
        </w:tc>
        <w:tc>
          <w:tcPr>
            <w:tcW w:w="100" w:type="dxa"/>
            <w:vAlign w:val="bottom"/>
            <w:tcBorders>
              <w:right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617</w:t>
            </w:r>
          </w:p>
        </w:tc>
      </w:tr>
      <w:tr>
        <w:trPr>
          <w:trHeight w:val="164"/>
        </w:trPr>
        <w:tc>
          <w:tcPr>
            <w:tcW w:w="4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1,531</w:t>
            </w:r>
          </w:p>
        </w:tc>
      </w:tr>
    </w:tbl>
    <w:p>
      <w:pPr>
        <w:spacing w:after="0" w:line="166" w:lineRule="exact"/>
        <w:rPr>
          <w:rFonts w:ascii="Arial" w:cs="Arial" w:eastAsia="Arial" w:hAnsi="Arial"/>
          <w:sz w:val="12"/>
          <w:szCs w:val="12"/>
          <w:color w:val="auto"/>
        </w:rPr>
      </w:pPr>
    </w:p>
    <w:p>
      <w:pPr>
        <w:ind w:left="60"/>
        <w:spacing w:after="0"/>
        <w:rPr>
          <w:sz w:val="20"/>
          <w:szCs w:val="20"/>
          <w:color w:val="auto"/>
        </w:rPr>
      </w:pPr>
      <w:r>
        <w:rPr>
          <w:rFonts w:ascii="Arial" w:cs="Arial" w:eastAsia="Arial" w:hAnsi="Arial"/>
          <w:sz w:val="15"/>
          <w:szCs w:val="15"/>
          <w:b w:val="1"/>
          <w:bCs w:val="1"/>
          <w:color w:val="auto"/>
        </w:rPr>
        <w:t>b. Total number of employees that have taken parental leave, by gender</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3425825" cy="4756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5825" cy="475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4480" w:type="dxa"/>
            <w:vAlign w:val="bottom"/>
            <w:tcBorders>
              <w:top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Female</w:t>
            </w:r>
          </w:p>
        </w:tc>
        <w:tc>
          <w:tcPr>
            <w:tcW w:w="1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914</w:t>
            </w:r>
          </w:p>
        </w:tc>
      </w:tr>
      <w:tr>
        <w:trPr>
          <w:trHeight w:val="164"/>
        </w:trPr>
        <w:tc>
          <w:tcPr>
            <w:tcW w:w="4480" w:type="dxa"/>
            <w:vAlign w:val="bottom"/>
            <w:tcBorders>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Male</w:t>
            </w:r>
          </w:p>
        </w:tc>
        <w:tc>
          <w:tcPr>
            <w:tcW w:w="100" w:type="dxa"/>
            <w:vAlign w:val="bottom"/>
            <w:tcBorders>
              <w:right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617</w:t>
            </w:r>
          </w:p>
        </w:tc>
      </w:tr>
      <w:tr>
        <w:trPr>
          <w:trHeight w:val="164"/>
        </w:trPr>
        <w:tc>
          <w:tcPr>
            <w:tcW w:w="4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1,531</w:t>
            </w:r>
          </w:p>
        </w:tc>
      </w:tr>
    </w:tbl>
    <w:p>
      <w:pPr>
        <w:spacing w:after="0" w:line="166" w:lineRule="exact"/>
        <w:rPr>
          <w:rFonts w:ascii="Arial" w:cs="Arial" w:eastAsia="Arial" w:hAnsi="Arial"/>
          <w:sz w:val="12"/>
          <w:szCs w:val="12"/>
          <w:color w:val="auto"/>
        </w:rPr>
      </w:pPr>
    </w:p>
    <w:p>
      <w:pPr>
        <w:ind w:left="60" w:right="120"/>
        <w:spacing w:after="0" w:line="267" w:lineRule="auto"/>
        <w:rPr>
          <w:sz w:val="20"/>
          <w:szCs w:val="20"/>
          <w:color w:val="auto"/>
        </w:rPr>
      </w:pPr>
      <w:r>
        <w:rPr>
          <w:rFonts w:ascii="Arial" w:cs="Arial" w:eastAsia="Arial" w:hAnsi="Arial"/>
          <w:sz w:val="15"/>
          <w:szCs w:val="15"/>
          <w:b w:val="1"/>
          <w:bCs w:val="1"/>
          <w:color w:val="auto"/>
        </w:rPr>
        <w:t>c. Total number of employees that have returned to work after finishing their parental leave (within the reporting period), by gender.</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-238760</wp:posOffset>
            </wp:positionV>
            <wp:extent cx="3425825" cy="5854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5825" cy="5854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5"/>
        </w:trPr>
        <w:tc>
          <w:tcPr>
            <w:tcW w:w="4480" w:type="dxa"/>
            <w:vAlign w:val="bottom"/>
            <w:tcBorders>
              <w:top w:val="single" w:sz="8" w:color="auto"/>
              <w:bottom w:val="single" w:sz="8" w:color="auto"/>
              <w:right w:val="single" w:sz="8" w:color="auto"/>
            </w:tcBorders>
          </w:tcPr>
          <w:p>
            <w:pPr>
              <w:ind w:left="60"/>
              <w:spacing w:after="0" w:line="146" w:lineRule="exact"/>
              <w:rPr>
                <w:sz w:val="20"/>
                <w:szCs w:val="20"/>
                <w:color w:val="auto"/>
              </w:rPr>
            </w:pPr>
            <w:r>
              <w:rPr>
                <w:rFonts w:ascii="Arial" w:cs="Arial" w:eastAsia="Arial" w:hAnsi="Arial"/>
                <w:sz w:val="15"/>
                <w:szCs w:val="15"/>
                <w:color w:val="auto"/>
              </w:rPr>
              <w:t>Female</w:t>
            </w:r>
          </w:p>
        </w:tc>
        <w:tc>
          <w:tcPr>
            <w:tcW w:w="1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6" w:lineRule="exact"/>
              <w:rPr>
                <w:sz w:val="20"/>
                <w:szCs w:val="20"/>
                <w:color w:val="auto"/>
              </w:rPr>
            </w:pPr>
            <w:r>
              <w:rPr>
                <w:rFonts w:ascii="Arial" w:cs="Arial" w:eastAsia="Arial" w:hAnsi="Arial"/>
                <w:sz w:val="15"/>
                <w:szCs w:val="15"/>
                <w:color w:val="auto"/>
                <w:w w:val="95"/>
              </w:rPr>
              <w:t>903</w:t>
            </w:r>
          </w:p>
        </w:tc>
      </w:tr>
      <w:tr>
        <w:trPr>
          <w:trHeight w:val="164"/>
        </w:trPr>
        <w:tc>
          <w:tcPr>
            <w:tcW w:w="4480" w:type="dxa"/>
            <w:vAlign w:val="bottom"/>
            <w:tcBorders>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Male</w:t>
            </w:r>
          </w:p>
        </w:tc>
        <w:tc>
          <w:tcPr>
            <w:tcW w:w="100" w:type="dxa"/>
            <w:vAlign w:val="bottom"/>
            <w:tcBorders>
              <w:right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617</w:t>
            </w:r>
          </w:p>
        </w:tc>
      </w:tr>
      <w:tr>
        <w:trPr>
          <w:trHeight w:val="164"/>
        </w:trPr>
        <w:tc>
          <w:tcPr>
            <w:tcW w:w="4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1,520</w:t>
            </w:r>
          </w:p>
        </w:tc>
      </w:tr>
    </w:tbl>
    <w:p>
      <w:pPr>
        <w:spacing w:after="0" w:line="166" w:lineRule="exact"/>
        <w:rPr>
          <w:rFonts w:ascii="Arial" w:cs="Arial" w:eastAsia="Arial" w:hAnsi="Arial"/>
          <w:sz w:val="12"/>
          <w:szCs w:val="12"/>
          <w:color w:val="auto"/>
        </w:rPr>
      </w:pPr>
    </w:p>
    <w:p>
      <w:pPr>
        <w:jc w:val="both"/>
        <w:ind w:left="60" w:right="220"/>
        <w:spacing w:after="0" w:line="253" w:lineRule="auto"/>
        <w:rPr>
          <w:sz w:val="20"/>
          <w:szCs w:val="20"/>
          <w:color w:val="auto"/>
        </w:rPr>
      </w:pPr>
      <w:r>
        <w:rPr>
          <w:rFonts w:ascii="Arial" w:cs="Arial" w:eastAsia="Arial" w:hAnsi="Arial"/>
          <w:sz w:val="15"/>
          <w:szCs w:val="15"/>
          <w:b w:val="1"/>
          <w:bCs w:val="1"/>
          <w:color w:val="auto"/>
        </w:rPr>
        <w:t>d. Total number of employees who have returned to work after having finished parental level and continue being employees 12 months after returning to work, by gender.</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3425825" cy="6953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5825" cy="69532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57"/>
        </w:trPr>
        <w:tc>
          <w:tcPr>
            <w:tcW w:w="4480" w:type="dxa"/>
            <w:vAlign w:val="bottom"/>
            <w:tcBorders>
              <w:top w:val="single" w:sz="8" w:color="auto"/>
              <w:bottom w:val="single" w:sz="8" w:color="auto"/>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Female</w:t>
            </w:r>
          </w:p>
        </w:tc>
        <w:tc>
          <w:tcPr>
            <w:tcW w:w="10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807</w:t>
            </w:r>
          </w:p>
        </w:tc>
      </w:tr>
      <w:tr>
        <w:trPr>
          <w:trHeight w:val="164"/>
        </w:trPr>
        <w:tc>
          <w:tcPr>
            <w:tcW w:w="4480" w:type="dxa"/>
            <w:vAlign w:val="bottom"/>
            <w:tcBorders>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Male</w:t>
            </w:r>
          </w:p>
        </w:tc>
        <w:tc>
          <w:tcPr>
            <w:tcW w:w="100" w:type="dxa"/>
            <w:vAlign w:val="bottom"/>
            <w:tcBorders>
              <w:right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567</w:t>
            </w:r>
          </w:p>
        </w:tc>
      </w:tr>
      <w:tr>
        <w:trPr>
          <w:trHeight w:val="164"/>
        </w:trPr>
        <w:tc>
          <w:tcPr>
            <w:tcW w:w="4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1,374</w:t>
            </w:r>
          </w:p>
        </w:tc>
      </w:tr>
      <w:tr>
        <w:trPr>
          <w:trHeight w:val="164"/>
        </w:trPr>
        <w:tc>
          <w:tcPr>
            <w:tcW w:w="4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4"/>
        </w:trPr>
        <w:tc>
          <w:tcPr>
            <w:tcW w:w="4580" w:type="dxa"/>
            <w:vAlign w:val="bottom"/>
            <w:tcBorders>
              <w:left w:val="single" w:sz="8" w:color="auto"/>
              <w:bottom w:val="single" w:sz="8" w:color="auto"/>
            </w:tcBorders>
            <w:gridSpan w:val="2"/>
          </w:tcPr>
          <w:p>
            <w:pPr>
              <w:ind w:left="60"/>
              <w:spacing w:after="0" w:line="164" w:lineRule="exact"/>
              <w:rPr>
                <w:sz w:val="20"/>
                <w:szCs w:val="20"/>
                <w:color w:val="auto"/>
              </w:rPr>
            </w:pPr>
            <w:r>
              <w:rPr>
                <w:rFonts w:ascii="Arial" w:cs="Arial" w:eastAsia="Arial" w:hAnsi="Arial"/>
                <w:sz w:val="15"/>
                <w:szCs w:val="15"/>
                <w:b w:val="1"/>
                <w:bCs w:val="1"/>
                <w:color w:val="auto"/>
              </w:rPr>
              <w:t>Rate of return to work</w:t>
            </w:r>
          </w:p>
        </w:tc>
        <w:tc>
          <w:tcPr>
            <w:tcW w:w="820" w:type="dxa"/>
            <w:vAlign w:val="bottom"/>
            <w:tcBorders>
              <w:bottom w:val="single" w:sz="8" w:color="auto"/>
              <w:right w:val="single" w:sz="8" w:color="auto"/>
            </w:tcBorders>
          </w:tcPr>
          <w:p>
            <w:pPr>
              <w:spacing w:after="0"/>
              <w:rPr>
                <w:sz w:val="14"/>
                <w:szCs w:val="14"/>
                <w:color w:val="auto"/>
              </w:rPr>
            </w:pPr>
          </w:p>
        </w:tc>
      </w:tr>
      <w:tr>
        <w:trPr>
          <w:trHeight w:val="164"/>
        </w:trPr>
        <w:tc>
          <w:tcPr>
            <w:tcW w:w="4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Female</w:t>
            </w:r>
          </w:p>
        </w:tc>
        <w:tc>
          <w:tcPr>
            <w:tcW w:w="100" w:type="dxa"/>
            <w:vAlign w:val="bottom"/>
            <w:tcBorders>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99%</w:t>
            </w:r>
          </w:p>
        </w:tc>
      </w:tr>
      <w:tr>
        <w:trPr>
          <w:trHeight w:val="164"/>
        </w:trPr>
        <w:tc>
          <w:tcPr>
            <w:tcW w:w="4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i w:val="1"/>
                <w:iCs w:val="1"/>
                <w:color w:val="auto"/>
              </w:rPr>
              <w:t>Male</w:t>
            </w:r>
          </w:p>
        </w:tc>
        <w:tc>
          <w:tcPr>
            <w:tcW w:w="1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100%</w:t>
            </w:r>
          </w:p>
        </w:tc>
      </w:tr>
      <w:tr>
        <w:trPr>
          <w:trHeight w:val="148"/>
        </w:trPr>
        <w:tc>
          <w:tcPr>
            <w:tcW w:w="4580" w:type="dxa"/>
            <w:vAlign w:val="bottom"/>
            <w:tcBorders>
              <w:left w:val="single" w:sz="8" w:color="auto"/>
            </w:tcBorders>
            <w:gridSpan w:val="2"/>
          </w:tcPr>
          <w:p>
            <w:pPr>
              <w:ind w:left="60"/>
              <w:spacing w:after="0" w:line="148" w:lineRule="exact"/>
              <w:rPr>
                <w:sz w:val="20"/>
                <w:szCs w:val="20"/>
                <w:color w:val="auto"/>
              </w:rPr>
            </w:pPr>
            <w:r>
              <w:rPr>
                <w:rFonts w:ascii="Arial" w:cs="Arial" w:eastAsia="Arial" w:hAnsi="Arial"/>
                <w:sz w:val="15"/>
                <w:szCs w:val="15"/>
                <w:i w:val="1"/>
                <w:iCs w:val="1"/>
                <w:color w:val="auto"/>
              </w:rPr>
              <w:t>Retention rate= (Total number of employees retained 12 months</w:t>
            </w:r>
          </w:p>
        </w:tc>
        <w:tc>
          <w:tcPr>
            <w:tcW w:w="820" w:type="dxa"/>
            <w:vAlign w:val="bottom"/>
          </w:tcPr>
          <w:p>
            <w:pPr>
              <w:spacing w:after="0"/>
              <w:rPr>
                <w:sz w:val="12"/>
                <w:szCs w:val="12"/>
                <w:color w:val="auto"/>
              </w:rPr>
            </w:pPr>
          </w:p>
        </w:tc>
      </w:tr>
      <w:tr>
        <w:trPr>
          <w:trHeight w:val="173"/>
        </w:trPr>
        <w:tc>
          <w:tcPr>
            <w:tcW w:w="4580" w:type="dxa"/>
            <w:vAlign w:val="bottom"/>
            <w:tcBorders>
              <w:left w:val="single" w:sz="8" w:color="auto"/>
            </w:tcBorders>
            <w:gridSpan w:val="2"/>
          </w:tcPr>
          <w:p>
            <w:pPr>
              <w:ind w:left="60"/>
              <w:spacing w:after="0"/>
              <w:rPr>
                <w:sz w:val="20"/>
                <w:szCs w:val="20"/>
                <w:color w:val="auto"/>
              </w:rPr>
            </w:pPr>
            <w:r>
              <w:rPr>
                <w:rFonts w:ascii="Arial" w:cs="Arial" w:eastAsia="Arial" w:hAnsi="Arial"/>
                <w:sz w:val="15"/>
                <w:szCs w:val="15"/>
                <w:i w:val="1"/>
                <w:iCs w:val="1"/>
                <w:color w:val="auto"/>
              </w:rPr>
              <w:t>after returning to work after parental level/total number of</w:t>
            </w:r>
          </w:p>
        </w:tc>
        <w:tc>
          <w:tcPr>
            <w:tcW w:w="820" w:type="dxa"/>
            <w:vAlign w:val="bottom"/>
          </w:tcPr>
          <w:p>
            <w:pPr>
              <w:spacing w:after="0"/>
              <w:rPr>
                <w:sz w:val="15"/>
                <w:szCs w:val="15"/>
                <w:color w:val="auto"/>
              </w:rPr>
            </w:pPr>
          </w:p>
        </w:tc>
      </w:tr>
      <w:tr>
        <w:trPr>
          <w:trHeight w:val="173"/>
        </w:trPr>
        <w:tc>
          <w:tcPr>
            <w:tcW w:w="4580" w:type="dxa"/>
            <w:vAlign w:val="bottom"/>
            <w:tcBorders>
              <w:left w:val="single" w:sz="8" w:color="auto"/>
            </w:tcBorders>
            <w:gridSpan w:val="2"/>
          </w:tcPr>
          <w:p>
            <w:pPr>
              <w:ind w:left="60"/>
              <w:spacing w:after="0"/>
              <w:rPr>
                <w:sz w:val="20"/>
                <w:szCs w:val="20"/>
                <w:color w:val="auto"/>
              </w:rPr>
            </w:pPr>
            <w:r>
              <w:rPr>
                <w:rFonts w:ascii="Arial" w:cs="Arial" w:eastAsia="Arial" w:hAnsi="Arial"/>
                <w:sz w:val="15"/>
                <w:szCs w:val="15"/>
                <w:i w:val="1"/>
                <w:iCs w:val="1"/>
                <w:color w:val="auto"/>
              </w:rPr>
              <w:t>employees that return from parental leave in the periods covered</w:t>
            </w:r>
          </w:p>
        </w:tc>
        <w:tc>
          <w:tcPr>
            <w:tcW w:w="820" w:type="dxa"/>
            <w:vAlign w:val="bottom"/>
          </w:tcPr>
          <w:p>
            <w:pPr>
              <w:spacing w:after="0"/>
              <w:rPr>
                <w:sz w:val="15"/>
                <w:szCs w:val="15"/>
                <w:color w:val="auto"/>
              </w:rPr>
            </w:pPr>
          </w:p>
        </w:tc>
      </w:tr>
      <w:tr>
        <w:trPr>
          <w:trHeight w:val="190"/>
        </w:trPr>
        <w:tc>
          <w:tcPr>
            <w:tcW w:w="4580" w:type="dxa"/>
            <w:vAlign w:val="bottom"/>
            <w:tcBorders>
              <w:left w:val="single" w:sz="8" w:color="auto"/>
              <w:bottom w:val="single" w:sz="8" w:color="auto"/>
            </w:tcBorders>
            <w:gridSpan w:val="2"/>
          </w:tcPr>
          <w:p>
            <w:pPr>
              <w:ind w:left="60"/>
              <w:spacing w:after="0"/>
              <w:rPr>
                <w:sz w:val="20"/>
                <w:szCs w:val="20"/>
                <w:color w:val="auto"/>
              </w:rPr>
            </w:pPr>
            <w:r>
              <w:rPr>
                <w:rFonts w:ascii="Arial" w:cs="Arial" w:eastAsia="Arial" w:hAnsi="Arial"/>
                <w:sz w:val="15"/>
                <w:szCs w:val="15"/>
                <w:i w:val="1"/>
                <w:iCs w:val="1"/>
                <w:color w:val="auto"/>
              </w:rPr>
              <w:t>by prior reports) *100</w:t>
            </w:r>
          </w:p>
        </w:tc>
        <w:tc>
          <w:tcPr>
            <w:tcW w:w="820" w:type="dxa"/>
            <w:vAlign w:val="bottom"/>
            <w:tcBorders>
              <w:bottom w:val="single" w:sz="8" w:color="auto"/>
            </w:tcBorders>
          </w:tcPr>
          <w:p>
            <w:pPr>
              <w:spacing w:after="0"/>
              <w:rPr>
                <w:sz w:val="16"/>
                <w:szCs w:val="16"/>
                <w:color w:val="auto"/>
              </w:rPr>
            </w:pPr>
          </w:p>
        </w:tc>
      </w:tr>
      <w:tr>
        <w:trPr>
          <w:trHeight w:val="164"/>
        </w:trPr>
        <w:tc>
          <w:tcPr>
            <w:tcW w:w="4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i w:val="1"/>
                <w:iCs w:val="1"/>
                <w:color w:val="auto"/>
              </w:rPr>
              <w:t>Female</w:t>
            </w:r>
          </w:p>
        </w:tc>
        <w:tc>
          <w:tcPr>
            <w:tcW w:w="100" w:type="dxa"/>
            <w:vAlign w:val="bottom"/>
            <w:tcBorders>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89%</w:t>
            </w:r>
          </w:p>
        </w:tc>
      </w:tr>
      <w:tr>
        <w:trPr>
          <w:trHeight w:val="164"/>
        </w:trPr>
        <w:tc>
          <w:tcPr>
            <w:tcW w:w="4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i w:val="1"/>
                <w:iCs w:val="1"/>
                <w:color w:val="auto"/>
              </w:rPr>
              <w:t>Male</w:t>
            </w:r>
          </w:p>
        </w:tc>
        <w:tc>
          <w:tcPr>
            <w:tcW w:w="100" w:type="dxa"/>
            <w:vAlign w:val="bottom"/>
            <w:tcBorders>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92%</w:t>
            </w:r>
          </w:p>
        </w:tc>
      </w:tr>
      <w:tr>
        <w:trPr>
          <w:trHeight w:val="164"/>
        </w:trPr>
        <w:tc>
          <w:tcPr>
            <w:tcW w:w="448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i w:val="1"/>
                <w:iCs w:val="1"/>
                <w:color w:val="auto"/>
              </w:rPr>
              <w:t>Total retention rate</w:t>
            </w:r>
          </w:p>
        </w:tc>
        <w:tc>
          <w:tcPr>
            <w:tcW w:w="100" w:type="dxa"/>
            <w:vAlign w:val="bottom"/>
            <w:tcBorders>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90%</w:t>
            </w: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03251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32510" cy="7620"/>
                    </a:xfrm>
                    <a:prstGeom prst="rect">
                      <a:avLst/>
                    </a:prstGeom>
                    <a:noFill/>
                  </pic:spPr>
                </pic:pic>
              </a:graphicData>
            </a:graphic>
          </wp:anchor>
        </w:drawing>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200" w:lineRule="exact"/>
        <w:rPr>
          <w:rFonts w:ascii="Arial" w:cs="Arial" w:eastAsia="Arial" w:hAnsi="Arial"/>
          <w:sz w:val="12"/>
          <w:szCs w:val="12"/>
          <w:color w:val="auto"/>
        </w:rPr>
      </w:pPr>
    </w:p>
    <w:p>
      <w:pPr>
        <w:spacing w:after="0" w:line="299" w:lineRule="exact"/>
        <w:rPr>
          <w:rFonts w:ascii="Arial" w:cs="Arial" w:eastAsia="Arial" w:hAnsi="Arial"/>
          <w:sz w:val="12"/>
          <w:szCs w:val="12"/>
          <w:color w:val="auto"/>
        </w:rPr>
      </w:pPr>
    </w:p>
    <w:p>
      <w:pPr>
        <w:spacing w:after="0" w:line="1" w:lineRule="exact"/>
        <w:rPr>
          <w:rFonts w:ascii="Arial" w:cs="Arial" w:eastAsia="Arial" w:hAnsi="Arial"/>
          <w:sz w:val="1"/>
          <w:szCs w:val="1"/>
          <w:color w:val="auto"/>
        </w:rPr>
      </w:pPr>
    </w:p>
    <w:tbl>
      <w:tblPr>
        <w:tblLayout w:type="fixed"/>
        <w:tblInd w:w="10" w:type="dxa"/>
        <w:tblCellMar>
          <w:top w:w="0" w:type="dxa"/>
          <w:left w:w="0" w:type="dxa"/>
          <w:bottom w:w="0" w:type="dxa"/>
          <w:right w:w="0" w:type="dxa"/>
        </w:tblCellMar>
      </w:tblPr>
      <w:tr>
        <w:trPr>
          <w:trHeight w:val="203"/>
        </w:trPr>
        <w:tc>
          <w:tcPr>
            <w:tcW w:w="1640" w:type="dxa"/>
            <w:vAlign w:val="bottom"/>
            <w:gridSpan w:val="2"/>
          </w:tcPr>
          <w:p>
            <w:pPr>
              <w:spacing w:after="0"/>
              <w:rPr>
                <w:sz w:val="20"/>
                <w:szCs w:val="20"/>
                <w:color w:val="auto"/>
              </w:rPr>
            </w:pPr>
            <w:r>
              <w:rPr>
                <w:rFonts w:ascii="Arial" w:cs="Arial" w:eastAsia="Arial" w:hAnsi="Arial"/>
                <w:sz w:val="15"/>
                <w:szCs w:val="15"/>
                <w:b w:val="1"/>
                <w:bCs w:val="1"/>
                <w:color w:val="2F5496"/>
              </w:rPr>
              <w:t>GRI 405-1</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00" w:type="dxa"/>
            <w:vAlign w:val="bottom"/>
            <w:tcBorders>
              <w:bottom w:val="single" w:sz="8" w:color="auto"/>
            </w:tcBorders>
          </w:tcPr>
          <w:p>
            <w:pPr>
              <w:spacing w:after="0"/>
              <w:rPr>
                <w:sz w:val="14"/>
                <w:szCs w:val="14"/>
                <w:color w:val="auto"/>
              </w:rPr>
            </w:pPr>
          </w:p>
        </w:tc>
        <w:tc>
          <w:tcPr>
            <w:tcW w:w="40" w:type="dxa"/>
            <w:vAlign w:val="bottom"/>
            <w:vMerge w:val="restart"/>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00" w:type="dxa"/>
            <w:vAlign w:val="bottom"/>
            <w:tcBorders>
              <w:left w:val="single" w:sz="8" w:color="auto"/>
              <w:right w:val="single" w:sz="8" w:color="auto"/>
            </w:tcBorders>
          </w:tcPr>
          <w:p>
            <w:pPr>
              <w:jc w:val="center"/>
              <w:ind w:left="3"/>
              <w:spacing w:after="0" w:line="146" w:lineRule="exact"/>
              <w:rPr>
                <w:sz w:val="20"/>
                <w:szCs w:val="20"/>
                <w:color w:val="auto"/>
              </w:rPr>
            </w:pPr>
            <w:r>
              <w:rPr>
                <w:rFonts w:ascii="Arial" w:cs="Arial" w:eastAsia="Arial" w:hAnsi="Arial"/>
                <w:sz w:val="15"/>
                <w:szCs w:val="15"/>
                <w:b w:val="1"/>
                <w:bCs w:val="1"/>
                <w:color w:val="auto"/>
              </w:rPr>
              <w:t>Diversity in bodies</w:t>
            </w:r>
          </w:p>
        </w:tc>
        <w:tc>
          <w:tcPr>
            <w:tcW w:w="40" w:type="dxa"/>
            <w:vAlign w:val="bottom"/>
            <w:vMerge w:val="continue"/>
          </w:tcPr>
          <w:p>
            <w:pPr>
              <w:spacing w:after="0"/>
              <w:rPr>
                <w:sz w:val="13"/>
                <w:szCs w:val="13"/>
                <w:color w:val="auto"/>
              </w:rPr>
            </w:pPr>
          </w:p>
        </w:tc>
        <w:tc>
          <w:tcPr>
            <w:tcW w:w="380" w:type="dxa"/>
            <w:vAlign w:val="bottom"/>
            <w:tcBorders>
              <w:left w:val="single" w:sz="8" w:color="auto"/>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280"/>
              <w:spacing w:after="0" w:line="146" w:lineRule="exact"/>
              <w:rPr>
                <w:sz w:val="20"/>
                <w:szCs w:val="20"/>
                <w:color w:val="auto"/>
              </w:rPr>
            </w:pPr>
            <w:r>
              <w:rPr>
                <w:rFonts w:ascii="Arial" w:cs="Arial" w:eastAsia="Arial" w:hAnsi="Arial"/>
                <w:sz w:val="15"/>
                <w:szCs w:val="15"/>
                <w:b w:val="1"/>
                <w:bCs w:val="1"/>
                <w:color w:val="auto"/>
              </w:rPr>
              <w:t>TOTAL</w:t>
            </w:r>
          </w:p>
        </w:tc>
        <w:tc>
          <w:tcPr>
            <w:tcW w:w="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0" w:type="dxa"/>
            <w:vAlign w:val="bottom"/>
            <w:tcBorders>
              <w:left w:val="single" w:sz="8" w:color="auto"/>
              <w:right w:val="single" w:sz="8" w:color="auto"/>
            </w:tcBorders>
          </w:tcPr>
          <w:p>
            <w:pPr>
              <w:jc w:val="center"/>
              <w:ind w:left="3"/>
              <w:spacing w:after="0" w:line="138" w:lineRule="exact"/>
              <w:rPr>
                <w:sz w:val="20"/>
                <w:szCs w:val="20"/>
                <w:color w:val="auto"/>
              </w:rPr>
            </w:pPr>
            <w:r>
              <w:rPr>
                <w:rFonts w:ascii="Arial" w:cs="Arial" w:eastAsia="Arial" w:hAnsi="Arial"/>
                <w:sz w:val="15"/>
                <w:szCs w:val="15"/>
                <w:b w:val="1"/>
                <w:bCs w:val="1"/>
                <w:color w:val="auto"/>
              </w:rPr>
              <w:t>of governance and</w:t>
            </w:r>
          </w:p>
        </w:tc>
        <w:tc>
          <w:tcPr>
            <w:tcW w:w="40" w:type="dxa"/>
            <w:vAlign w:val="bottom"/>
          </w:tcPr>
          <w:p>
            <w:pPr>
              <w:spacing w:after="0"/>
              <w:rPr>
                <w:sz w:val="12"/>
                <w:szCs w:val="12"/>
                <w:color w:val="auto"/>
              </w:rPr>
            </w:pPr>
          </w:p>
        </w:tc>
        <w:tc>
          <w:tcPr>
            <w:tcW w:w="820" w:type="dxa"/>
            <w:vAlign w:val="bottom"/>
            <w:tcBorders>
              <w:left w:val="single" w:sz="8" w:color="auto"/>
              <w:right w:val="single" w:sz="8" w:color="auto"/>
            </w:tcBorders>
            <w:gridSpan w:val="2"/>
          </w:tcPr>
          <w:p>
            <w:pPr>
              <w:jc w:val="right"/>
              <w:ind w:right="103"/>
              <w:spacing w:after="0" w:line="138" w:lineRule="exact"/>
              <w:rPr>
                <w:sz w:val="20"/>
                <w:szCs w:val="20"/>
                <w:color w:val="auto"/>
              </w:rPr>
            </w:pPr>
            <w:r>
              <w:rPr>
                <w:rFonts w:ascii="Arial" w:cs="Arial" w:eastAsia="Arial" w:hAnsi="Arial"/>
                <w:sz w:val="15"/>
                <w:szCs w:val="15"/>
                <w:b w:val="1"/>
                <w:bCs w:val="1"/>
                <w:color w:val="auto"/>
              </w:rPr>
              <w:t>Senior</w:t>
            </w:r>
          </w:p>
        </w:tc>
        <w:tc>
          <w:tcPr>
            <w:tcW w:w="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gridSpan w:val="2"/>
          </w:tcPr>
          <w:p>
            <w:pPr>
              <w:jc w:val="right"/>
              <w:ind w:right="83"/>
              <w:spacing w:after="0" w:line="138" w:lineRule="exact"/>
              <w:rPr>
                <w:sz w:val="20"/>
                <w:szCs w:val="20"/>
                <w:color w:val="auto"/>
              </w:rPr>
            </w:pPr>
            <w:r>
              <w:rPr>
                <w:rFonts w:ascii="Arial" w:cs="Arial" w:eastAsia="Arial" w:hAnsi="Arial"/>
                <w:sz w:val="15"/>
                <w:szCs w:val="15"/>
                <w:b w:val="1"/>
                <w:bCs w:val="1"/>
                <w:color w:val="auto"/>
              </w:rPr>
              <w:t>Mid-level</w:t>
            </w:r>
          </w:p>
        </w:tc>
        <w:tc>
          <w:tcPr>
            <w:tcW w:w="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gridSpan w:val="2"/>
          </w:tcPr>
          <w:p>
            <w:pPr>
              <w:jc w:val="right"/>
              <w:ind w:right="243"/>
              <w:spacing w:after="0" w:line="138" w:lineRule="exact"/>
              <w:rPr>
                <w:sz w:val="20"/>
                <w:szCs w:val="20"/>
                <w:color w:val="auto"/>
              </w:rPr>
            </w:pPr>
            <w:r>
              <w:rPr>
                <w:rFonts w:ascii="Arial" w:cs="Arial" w:eastAsia="Arial" w:hAnsi="Arial"/>
                <w:sz w:val="15"/>
                <w:szCs w:val="15"/>
                <w:b w:val="1"/>
                <w:bCs w:val="1"/>
                <w:color w:val="auto"/>
              </w:rPr>
              <w:t>Non-</w:t>
            </w:r>
          </w:p>
        </w:tc>
        <w:tc>
          <w:tcPr>
            <w:tcW w:w="90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7"/>
        </w:trPr>
        <w:tc>
          <w:tcPr>
            <w:tcW w:w="1600" w:type="dxa"/>
            <w:vAlign w:val="bottom"/>
            <w:tcBorders>
              <w:left w:val="single" w:sz="8" w:color="auto"/>
              <w:right w:val="single" w:sz="8" w:color="auto"/>
            </w:tcBorders>
            <w:vMerge w:val="restart"/>
          </w:tcPr>
          <w:p>
            <w:pPr>
              <w:jc w:val="center"/>
              <w:spacing w:after="0" w:line="207" w:lineRule="exact"/>
              <w:rPr>
                <w:sz w:val="20"/>
                <w:szCs w:val="20"/>
                <w:color w:val="auto"/>
              </w:rPr>
            </w:pPr>
            <w:r>
              <w:rPr>
                <w:rFonts w:ascii="Arial" w:cs="Arial" w:eastAsia="Arial" w:hAnsi="Arial"/>
                <w:sz w:val="15"/>
                <w:szCs w:val="15"/>
                <w:b w:val="1"/>
                <w:bCs w:val="1"/>
                <w:color w:val="auto"/>
                <w:w w:val="98"/>
              </w:rPr>
              <w:t>employees</w:t>
            </w:r>
            <w:r>
              <w:rPr>
                <w:rFonts w:ascii="Arial" w:cs="Arial" w:eastAsia="Arial" w:hAnsi="Arial"/>
                <w:sz w:val="24"/>
                <w:szCs w:val="24"/>
                <w:b w:val="1"/>
                <w:bCs w:val="1"/>
                <w:color w:val="auto"/>
                <w:w w:val="98"/>
                <w:vertAlign w:val="superscript"/>
              </w:rPr>
              <w:t>82</w:t>
            </w:r>
          </w:p>
        </w:tc>
        <w:tc>
          <w:tcPr>
            <w:tcW w:w="40" w:type="dxa"/>
            <w:vAlign w:val="bottom"/>
          </w:tcPr>
          <w:p>
            <w:pPr>
              <w:spacing w:after="0"/>
              <w:rPr>
                <w:sz w:val="11"/>
                <w:szCs w:val="11"/>
                <w:color w:val="auto"/>
              </w:rPr>
            </w:pPr>
          </w:p>
        </w:tc>
        <w:tc>
          <w:tcPr>
            <w:tcW w:w="820" w:type="dxa"/>
            <w:vAlign w:val="bottom"/>
            <w:tcBorders>
              <w:left w:val="single" w:sz="8" w:color="auto"/>
              <w:right w:val="single" w:sz="8" w:color="auto"/>
            </w:tcBorders>
            <w:gridSpan w:val="2"/>
            <w:vMerge w:val="restart"/>
          </w:tcPr>
          <w:p>
            <w:pPr>
              <w:jc w:val="right"/>
              <w:ind w:right="63"/>
              <w:spacing w:after="0"/>
              <w:rPr>
                <w:sz w:val="20"/>
                <w:szCs w:val="20"/>
                <w:color w:val="auto"/>
              </w:rPr>
            </w:pPr>
            <w:r>
              <w:rPr>
                <w:rFonts w:ascii="Arial" w:cs="Arial" w:eastAsia="Arial" w:hAnsi="Arial"/>
                <w:sz w:val="15"/>
                <w:szCs w:val="15"/>
                <w:b w:val="1"/>
                <w:bCs w:val="1"/>
                <w:color w:val="auto"/>
              </w:rPr>
              <w:t>leaders</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5"/>
                <w:szCs w:val="15"/>
                <w:b w:val="1"/>
                <w:bCs w:val="1"/>
                <w:color w:val="auto"/>
                <w:w w:val="99"/>
              </w:rPr>
              <w:t>management</w:t>
            </w:r>
          </w:p>
        </w:tc>
        <w:tc>
          <w:tcPr>
            <w:tcW w:w="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5"/>
                <w:szCs w:val="15"/>
                <w:b w:val="1"/>
                <w:bCs w:val="1"/>
                <w:color w:val="auto"/>
                <w:w w:val="99"/>
              </w:rPr>
              <w:t>management</w:t>
            </w: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20" w:type="dxa"/>
            <w:vAlign w:val="bottom"/>
            <w:tcBorders>
              <w:left w:val="single" w:sz="8" w:color="auto"/>
              <w:bottom w:val="single" w:sz="8" w:color="auto"/>
              <w:right w:val="single" w:sz="8" w:color="auto"/>
            </w:tcBorders>
            <w:gridSpan w:val="2"/>
            <w:vMerge w:val="continue"/>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gridSpan w:val="2"/>
            <w:vMerge w:val="continue"/>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gridSpan w:val="2"/>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640" w:type="dxa"/>
            <w:vAlign w:val="bottom"/>
            <w:tcBorders>
              <w:left w:val="single" w:sz="8" w:color="auto"/>
            </w:tcBorders>
            <w:gridSpan w:val="2"/>
          </w:tcPr>
          <w:p>
            <w:pPr>
              <w:ind w:left="80"/>
              <w:spacing w:after="0" w:line="146" w:lineRule="exact"/>
              <w:rPr>
                <w:sz w:val="20"/>
                <w:szCs w:val="20"/>
                <w:color w:val="auto"/>
              </w:rPr>
            </w:pPr>
            <w:r>
              <w:rPr>
                <w:rFonts w:ascii="Arial" w:cs="Arial" w:eastAsia="Arial" w:hAnsi="Arial"/>
                <w:sz w:val="15"/>
                <w:szCs w:val="15"/>
                <w:b w:val="1"/>
                <w:bCs w:val="1"/>
                <w:color w:val="auto"/>
              </w:rPr>
              <w:t>Employees by</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gender</w:t>
            </w: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60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Women</w:t>
            </w:r>
          </w:p>
        </w:tc>
        <w:tc>
          <w:tcPr>
            <w:tcW w:w="40" w:type="dxa"/>
            <w:vAlign w:val="bottom"/>
          </w:tcPr>
          <w:p>
            <w:pPr>
              <w:spacing w:after="0"/>
              <w:rPr>
                <w:sz w:val="14"/>
                <w:szCs w:val="14"/>
                <w:color w:val="auto"/>
              </w:rPr>
            </w:pPr>
          </w:p>
        </w:tc>
        <w:tc>
          <w:tcPr>
            <w:tcW w:w="38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66</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27%</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433</w:t>
            </w:r>
          </w:p>
        </w:tc>
        <w:tc>
          <w:tcPr>
            <w:tcW w:w="48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38%</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19,643</w:t>
            </w:r>
          </w:p>
        </w:tc>
        <w:tc>
          <w:tcPr>
            <w:tcW w:w="50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55%</w:t>
            </w:r>
          </w:p>
        </w:tc>
        <w:tc>
          <w:tcPr>
            <w:tcW w:w="460" w:type="dxa"/>
            <w:vAlign w:val="bottom"/>
            <w:tcBorders>
              <w:bottom w:val="single" w:sz="8" w:color="auto"/>
            </w:tcBorders>
          </w:tcPr>
          <w:p>
            <w:pPr>
              <w:spacing w:after="0" w:line="164" w:lineRule="exact"/>
              <w:rPr>
                <w:sz w:val="20"/>
                <w:szCs w:val="20"/>
                <w:color w:val="auto"/>
              </w:rPr>
            </w:pPr>
            <w:r>
              <w:rPr>
                <w:rFonts w:ascii="Arial" w:cs="Arial" w:eastAsia="Arial" w:hAnsi="Arial"/>
                <w:sz w:val="15"/>
                <w:szCs w:val="15"/>
                <w:b w:val="1"/>
                <w:bCs w:val="1"/>
                <w:color w:val="auto"/>
                <w:w w:val="95"/>
              </w:rPr>
              <w:t>20,142</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9"/>
              </w:rPr>
              <w:t>55%</w:t>
            </w:r>
          </w:p>
        </w:tc>
        <w:tc>
          <w:tcPr>
            <w:tcW w:w="0" w:type="dxa"/>
            <w:vAlign w:val="bottom"/>
          </w:tcPr>
          <w:p>
            <w:pPr>
              <w:spacing w:after="0"/>
              <w:rPr>
                <w:sz w:val="1"/>
                <w:szCs w:val="1"/>
                <w:color w:val="auto"/>
              </w:rPr>
            </w:pPr>
          </w:p>
        </w:tc>
      </w:tr>
      <w:tr>
        <w:trPr>
          <w:trHeight w:val="164"/>
        </w:trPr>
        <w:tc>
          <w:tcPr>
            <w:tcW w:w="160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Men</w:t>
            </w:r>
          </w:p>
        </w:tc>
        <w:tc>
          <w:tcPr>
            <w:tcW w:w="40" w:type="dxa"/>
            <w:vAlign w:val="bottom"/>
          </w:tcPr>
          <w:p>
            <w:pPr>
              <w:spacing w:after="0"/>
              <w:rPr>
                <w:sz w:val="14"/>
                <w:szCs w:val="14"/>
                <w:color w:val="auto"/>
              </w:rPr>
            </w:pPr>
          </w:p>
        </w:tc>
        <w:tc>
          <w:tcPr>
            <w:tcW w:w="38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176</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73%</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716</w:t>
            </w:r>
          </w:p>
        </w:tc>
        <w:tc>
          <w:tcPr>
            <w:tcW w:w="48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62%</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15,769</w:t>
            </w:r>
          </w:p>
        </w:tc>
        <w:tc>
          <w:tcPr>
            <w:tcW w:w="50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45%</w:t>
            </w:r>
          </w:p>
        </w:tc>
        <w:tc>
          <w:tcPr>
            <w:tcW w:w="460" w:type="dxa"/>
            <w:vAlign w:val="bottom"/>
            <w:tcBorders>
              <w:bottom w:val="single" w:sz="8" w:color="auto"/>
            </w:tcBorders>
          </w:tcPr>
          <w:p>
            <w:pPr>
              <w:spacing w:after="0" w:line="164" w:lineRule="exact"/>
              <w:rPr>
                <w:sz w:val="20"/>
                <w:szCs w:val="20"/>
                <w:color w:val="auto"/>
              </w:rPr>
            </w:pPr>
            <w:r>
              <w:rPr>
                <w:rFonts w:ascii="Arial" w:cs="Arial" w:eastAsia="Arial" w:hAnsi="Arial"/>
                <w:sz w:val="15"/>
                <w:szCs w:val="15"/>
                <w:b w:val="1"/>
                <w:bCs w:val="1"/>
                <w:color w:val="auto"/>
                <w:w w:val="95"/>
              </w:rPr>
              <w:t>16,661</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9"/>
              </w:rPr>
              <w:t>45%</w:t>
            </w:r>
          </w:p>
        </w:tc>
        <w:tc>
          <w:tcPr>
            <w:tcW w:w="0" w:type="dxa"/>
            <w:vAlign w:val="bottom"/>
          </w:tcPr>
          <w:p>
            <w:pPr>
              <w:spacing w:after="0"/>
              <w:rPr>
                <w:sz w:val="1"/>
                <w:szCs w:val="1"/>
                <w:color w:val="auto"/>
              </w:rPr>
            </w:pPr>
          </w:p>
        </w:tc>
      </w:tr>
      <w:tr>
        <w:trPr>
          <w:trHeight w:val="164"/>
        </w:trPr>
        <w:tc>
          <w:tcPr>
            <w:tcW w:w="1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242</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w w:val="98"/>
              </w:rPr>
              <w:t>100%</w:t>
            </w:r>
          </w:p>
        </w:tc>
        <w:tc>
          <w:tcPr>
            <w:tcW w:w="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1,149</w:t>
            </w:r>
          </w:p>
        </w:tc>
        <w:tc>
          <w:tcPr>
            <w:tcW w:w="48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rPr>
              <w:t>100%</w:t>
            </w:r>
          </w:p>
        </w:tc>
        <w:tc>
          <w:tcPr>
            <w:tcW w:w="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35,412</w:t>
            </w:r>
          </w:p>
        </w:tc>
        <w:tc>
          <w:tcPr>
            <w:tcW w:w="50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rPr>
              <w:t>100%</w:t>
            </w:r>
          </w:p>
        </w:tc>
        <w:tc>
          <w:tcPr>
            <w:tcW w:w="900" w:type="dxa"/>
            <w:vAlign w:val="bottom"/>
            <w:tcBorders>
              <w:bottom w:val="single" w:sz="8" w:color="auto"/>
              <w:right w:val="single" w:sz="8" w:color="auto"/>
            </w:tcBorders>
            <w:gridSpan w:val="2"/>
          </w:tcPr>
          <w:p>
            <w:pPr>
              <w:spacing w:after="0" w:line="164" w:lineRule="exact"/>
              <w:rPr>
                <w:sz w:val="20"/>
                <w:szCs w:val="20"/>
                <w:color w:val="auto"/>
              </w:rPr>
            </w:pPr>
            <w:r>
              <w:rPr>
                <w:rFonts w:ascii="Arial" w:cs="Arial" w:eastAsia="Arial" w:hAnsi="Arial"/>
                <w:sz w:val="15"/>
                <w:szCs w:val="15"/>
                <w:b w:val="1"/>
                <w:bCs w:val="1"/>
                <w:color w:val="auto"/>
              </w:rPr>
              <w:t>36,803100%</w:t>
            </w:r>
          </w:p>
        </w:tc>
        <w:tc>
          <w:tcPr>
            <w:tcW w:w="0" w:type="dxa"/>
            <w:vAlign w:val="bottom"/>
          </w:tcPr>
          <w:p>
            <w:pPr>
              <w:spacing w:after="0"/>
              <w:rPr>
                <w:sz w:val="1"/>
                <w:szCs w:val="1"/>
                <w:color w:val="auto"/>
              </w:rPr>
            </w:pPr>
          </w:p>
        </w:tc>
      </w:tr>
      <w:tr>
        <w:trPr>
          <w:trHeight w:val="164"/>
        </w:trPr>
        <w:tc>
          <w:tcPr>
            <w:tcW w:w="1640" w:type="dxa"/>
            <w:vAlign w:val="bottom"/>
            <w:tcBorders>
              <w:left w:val="single" w:sz="8" w:color="auto"/>
              <w:bottom w:val="single" w:sz="8" w:color="auto"/>
            </w:tcBorders>
            <w:gridSpan w:val="2"/>
          </w:tcPr>
          <w:p>
            <w:pPr>
              <w:ind w:left="80"/>
              <w:spacing w:after="0" w:line="164" w:lineRule="exact"/>
              <w:rPr>
                <w:sz w:val="20"/>
                <w:szCs w:val="20"/>
                <w:color w:val="auto"/>
              </w:rPr>
            </w:pPr>
            <w:r>
              <w:rPr>
                <w:rFonts w:ascii="Arial" w:cs="Arial" w:eastAsia="Arial" w:hAnsi="Arial"/>
                <w:sz w:val="15"/>
                <w:szCs w:val="15"/>
                <w:b w:val="1"/>
                <w:bCs w:val="1"/>
                <w:color w:val="auto"/>
              </w:rPr>
              <w:t>Employees by age</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0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Under 30</w:t>
            </w:r>
          </w:p>
        </w:tc>
        <w:tc>
          <w:tcPr>
            <w:tcW w:w="40" w:type="dxa"/>
            <w:vAlign w:val="bottom"/>
          </w:tcPr>
          <w:p>
            <w:pPr>
              <w:spacing w:after="0"/>
              <w:rPr>
                <w:sz w:val="14"/>
                <w:szCs w:val="14"/>
                <w:color w:val="auto"/>
              </w:rPr>
            </w:pPr>
          </w:p>
        </w:tc>
        <w:tc>
          <w:tcPr>
            <w:tcW w:w="38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0%</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16</w:t>
            </w:r>
          </w:p>
        </w:tc>
        <w:tc>
          <w:tcPr>
            <w:tcW w:w="48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1%</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13,224</w:t>
            </w:r>
          </w:p>
        </w:tc>
        <w:tc>
          <w:tcPr>
            <w:tcW w:w="50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37%</w:t>
            </w:r>
          </w:p>
        </w:tc>
        <w:tc>
          <w:tcPr>
            <w:tcW w:w="460" w:type="dxa"/>
            <w:vAlign w:val="bottom"/>
            <w:tcBorders>
              <w:bottom w:val="single" w:sz="8" w:color="auto"/>
            </w:tcBorders>
          </w:tcPr>
          <w:p>
            <w:pPr>
              <w:spacing w:after="0" w:line="164" w:lineRule="exact"/>
              <w:rPr>
                <w:sz w:val="20"/>
                <w:szCs w:val="20"/>
                <w:color w:val="auto"/>
              </w:rPr>
            </w:pPr>
            <w:r>
              <w:rPr>
                <w:rFonts w:ascii="Arial" w:cs="Arial" w:eastAsia="Arial" w:hAnsi="Arial"/>
                <w:sz w:val="15"/>
                <w:szCs w:val="15"/>
                <w:b w:val="1"/>
                <w:bCs w:val="1"/>
                <w:color w:val="auto"/>
                <w:w w:val="95"/>
              </w:rPr>
              <w:t>13,240</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9"/>
              </w:rPr>
              <w:t>36%</w:t>
            </w:r>
          </w:p>
        </w:tc>
        <w:tc>
          <w:tcPr>
            <w:tcW w:w="0" w:type="dxa"/>
            <w:vAlign w:val="bottom"/>
          </w:tcPr>
          <w:p>
            <w:pPr>
              <w:spacing w:after="0"/>
              <w:rPr>
                <w:sz w:val="1"/>
                <w:szCs w:val="1"/>
                <w:color w:val="auto"/>
              </w:rPr>
            </w:pPr>
          </w:p>
        </w:tc>
      </w:tr>
      <w:tr>
        <w:trPr>
          <w:trHeight w:val="164"/>
        </w:trPr>
        <w:tc>
          <w:tcPr>
            <w:tcW w:w="160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Between 30 and 50</w:t>
            </w:r>
          </w:p>
        </w:tc>
        <w:tc>
          <w:tcPr>
            <w:tcW w:w="40" w:type="dxa"/>
            <w:vAlign w:val="bottom"/>
          </w:tcPr>
          <w:p>
            <w:pPr>
              <w:spacing w:after="0"/>
              <w:rPr>
                <w:sz w:val="14"/>
                <w:szCs w:val="14"/>
                <w:color w:val="auto"/>
              </w:rPr>
            </w:pPr>
          </w:p>
        </w:tc>
        <w:tc>
          <w:tcPr>
            <w:tcW w:w="38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158</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65%</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986</w:t>
            </w:r>
          </w:p>
        </w:tc>
        <w:tc>
          <w:tcPr>
            <w:tcW w:w="48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86%</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20,682</w:t>
            </w:r>
          </w:p>
        </w:tc>
        <w:tc>
          <w:tcPr>
            <w:tcW w:w="50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58%</w:t>
            </w:r>
          </w:p>
        </w:tc>
        <w:tc>
          <w:tcPr>
            <w:tcW w:w="460" w:type="dxa"/>
            <w:vAlign w:val="bottom"/>
            <w:tcBorders>
              <w:bottom w:val="single" w:sz="8" w:color="auto"/>
            </w:tcBorders>
          </w:tcPr>
          <w:p>
            <w:pPr>
              <w:spacing w:after="0" w:line="164" w:lineRule="exact"/>
              <w:rPr>
                <w:sz w:val="20"/>
                <w:szCs w:val="20"/>
                <w:color w:val="auto"/>
              </w:rPr>
            </w:pPr>
            <w:r>
              <w:rPr>
                <w:rFonts w:ascii="Arial" w:cs="Arial" w:eastAsia="Arial" w:hAnsi="Arial"/>
                <w:sz w:val="15"/>
                <w:szCs w:val="15"/>
                <w:b w:val="1"/>
                <w:bCs w:val="1"/>
                <w:color w:val="auto"/>
                <w:w w:val="95"/>
              </w:rPr>
              <w:t>21,826</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9"/>
              </w:rPr>
              <w:t>59%</w:t>
            </w:r>
          </w:p>
        </w:tc>
        <w:tc>
          <w:tcPr>
            <w:tcW w:w="0" w:type="dxa"/>
            <w:vAlign w:val="bottom"/>
          </w:tcPr>
          <w:p>
            <w:pPr>
              <w:spacing w:after="0"/>
              <w:rPr>
                <w:sz w:val="1"/>
                <w:szCs w:val="1"/>
                <w:color w:val="auto"/>
              </w:rPr>
            </w:pPr>
          </w:p>
        </w:tc>
      </w:tr>
      <w:tr>
        <w:trPr>
          <w:trHeight w:val="164"/>
        </w:trPr>
        <w:tc>
          <w:tcPr>
            <w:tcW w:w="160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Over 50</w:t>
            </w:r>
          </w:p>
        </w:tc>
        <w:tc>
          <w:tcPr>
            <w:tcW w:w="40" w:type="dxa"/>
            <w:vAlign w:val="bottom"/>
          </w:tcPr>
          <w:p>
            <w:pPr>
              <w:spacing w:after="0"/>
              <w:rPr>
                <w:sz w:val="14"/>
                <w:szCs w:val="14"/>
                <w:color w:val="auto"/>
              </w:rPr>
            </w:pPr>
          </w:p>
        </w:tc>
        <w:tc>
          <w:tcPr>
            <w:tcW w:w="38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84</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35%</w:t>
            </w:r>
          </w:p>
        </w:tc>
        <w:tc>
          <w:tcPr>
            <w:tcW w:w="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147</w:t>
            </w:r>
          </w:p>
        </w:tc>
        <w:tc>
          <w:tcPr>
            <w:tcW w:w="48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13%</w:t>
            </w:r>
          </w:p>
        </w:tc>
        <w:tc>
          <w:tcPr>
            <w:tcW w:w="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1,506</w:t>
            </w:r>
          </w:p>
        </w:tc>
        <w:tc>
          <w:tcPr>
            <w:tcW w:w="50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4%</w:t>
            </w:r>
          </w:p>
        </w:tc>
        <w:tc>
          <w:tcPr>
            <w:tcW w:w="4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rPr>
              <w:t>1,737</w:t>
            </w:r>
          </w:p>
        </w:tc>
        <w:tc>
          <w:tcPr>
            <w:tcW w:w="4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242</w:t>
            </w:r>
          </w:p>
        </w:tc>
        <w:tc>
          <w:tcPr>
            <w:tcW w:w="44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w w:val="98"/>
              </w:rPr>
              <w:t>100%</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1,149</w:t>
            </w:r>
          </w:p>
        </w:tc>
        <w:tc>
          <w:tcPr>
            <w:tcW w:w="48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rPr>
              <w:t>100%</w:t>
            </w:r>
          </w:p>
        </w:tc>
        <w:tc>
          <w:tcPr>
            <w:tcW w:w="6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35,412</w:t>
            </w:r>
          </w:p>
        </w:tc>
        <w:tc>
          <w:tcPr>
            <w:tcW w:w="500" w:type="dxa"/>
            <w:vAlign w:val="bottom"/>
            <w:tcBorders>
              <w:bottom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rPr>
              <w:t>100%</w:t>
            </w:r>
          </w:p>
        </w:tc>
        <w:tc>
          <w:tcPr>
            <w:tcW w:w="900" w:type="dxa"/>
            <w:vAlign w:val="bottom"/>
            <w:tcBorders>
              <w:bottom w:val="single" w:sz="8" w:color="auto"/>
              <w:right w:val="single" w:sz="8" w:color="auto"/>
            </w:tcBorders>
            <w:gridSpan w:val="2"/>
          </w:tcPr>
          <w:p>
            <w:pPr>
              <w:spacing w:after="0" w:line="164" w:lineRule="exact"/>
              <w:rPr>
                <w:sz w:val="20"/>
                <w:szCs w:val="20"/>
                <w:color w:val="auto"/>
              </w:rPr>
            </w:pPr>
            <w:r>
              <w:rPr>
                <w:rFonts w:ascii="Arial" w:cs="Arial" w:eastAsia="Arial" w:hAnsi="Arial"/>
                <w:sz w:val="15"/>
                <w:szCs w:val="15"/>
                <w:b w:val="1"/>
                <w:bCs w:val="1"/>
                <w:color w:val="auto"/>
              </w:rPr>
              <w:t>36,803100%</w:t>
            </w:r>
          </w:p>
        </w:tc>
        <w:tc>
          <w:tcPr>
            <w:tcW w:w="0" w:type="dxa"/>
            <w:vAlign w:val="bottom"/>
          </w:tcPr>
          <w:p>
            <w:pPr>
              <w:spacing w:after="0"/>
              <w:rPr>
                <w:sz w:val="1"/>
                <w:szCs w:val="1"/>
                <w:color w:val="auto"/>
              </w:rPr>
            </w:pP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3161030</wp:posOffset>
            </wp:positionH>
            <wp:positionV relativeFrom="paragraph">
              <wp:posOffset>-474980</wp:posOffset>
            </wp:positionV>
            <wp:extent cx="7620" cy="4756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20" cy="47561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-943610</wp:posOffset>
            </wp:positionV>
            <wp:extent cx="7620" cy="3587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20" cy="358775"/>
                    </a:xfrm>
                    <a:prstGeom prst="rect">
                      <a:avLst/>
                    </a:prstGeom>
                    <a:noFill/>
                  </pic:spPr>
                </pic:pic>
              </a:graphicData>
            </a:graphic>
          </wp:anchor>
        </w:drawing>
      </w:r>
    </w:p>
    <w:p>
      <w:pPr>
        <w:spacing w:after="0" w:line="3693" w:lineRule="exact"/>
        <w:rPr>
          <w:rFonts w:ascii="Arial" w:cs="Arial" w:eastAsia="Arial" w:hAnsi="Arial"/>
          <w:sz w:val="12"/>
          <w:szCs w:val="12"/>
          <w:color w:val="auto"/>
        </w:rPr>
      </w:pPr>
    </w:p>
    <w:p>
      <w:pPr>
        <w:sectPr>
          <w:pgSz w:w="11900" w:h="16838" w:orient="portrait"/>
          <w:cols w:equalWidth="0" w:num="2">
            <w:col w:w="5380" w:space="460"/>
            <w:col w:w="5420"/>
          </w:cols>
          <w:pgMar w:left="320" w:top="294" w:right="319" w:bottom="1440" w:gutter="0" w:footer="0" w:header="0"/>
        </w:sectPr>
      </w:pPr>
    </w:p>
    <w:p>
      <w:pPr>
        <w:spacing w:after="0" w:line="260" w:lineRule="exact"/>
        <w:rPr>
          <w:rFonts w:ascii="Arial" w:cs="Arial" w:eastAsia="Arial" w:hAnsi="Arial"/>
          <w:sz w:val="12"/>
          <w:szCs w:val="12"/>
          <w:color w:val="auto"/>
        </w:rPr>
      </w:pPr>
    </w:p>
    <w:p>
      <w:pPr>
        <w:ind w:left="400"/>
        <w:spacing w:after="0"/>
        <w:rPr>
          <w:sz w:val="20"/>
          <w:szCs w:val="20"/>
          <w:color w:val="auto"/>
        </w:rPr>
      </w:pPr>
      <w:r>
        <w:rPr>
          <w:rFonts w:ascii="Arial" w:cs="Arial" w:eastAsia="Arial" w:hAnsi="Arial"/>
          <w:sz w:val="15"/>
          <w:szCs w:val="15"/>
          <w:color w:val="auto"/>
        </w:rPr>
        <w:t>Consolidated data at Credicorp level based on the following companies:</w:t>
      </w:r>
    </w:p>
    <w:p>
      <w:pPr>
        <w:spacing w:after="0"/>
        <w:rPr>
          <w:sz w:val="20"/>
          <w:szCs w:val="20"/>
          <w:color w:val="auto"/>
        </w:rPr>
      </w:pPr>
      <w:r>
        <w:rPr>
          <w:rFonts w:ascii="Arial" w:cs="Arial" w:eastAsia="Arial" w:hAnsi="Arial"/>
          <w:sz w:val="15"/>
          <w:szCs w:val="15"/>
          <w:color w:val="auto"/>
        </w:rPr>
        <w:t>BCP Perú, Pacífico Seguros, Prima AFP, MiBanco Perú, Credicorp Capital,</w:t>
      </w:r>
    </w:p>
    <w:p>
      <w:pPr>
        <w:spacing w:after="0"/>
        <w:rPr>
          <w:sz w:val="20"/>
          <w:szCs w:val="20"/>
          <w:color w:val="auto"/>
        </w:rPr>
      </w:pPr>
      <w:r>
        <w:rPr>
          <w:rFonts w:ascii="Arial" w:cs="Arial" w:eastAsia="Arial" w:hAnsi="Arial"/>
          <w:sz w:val="15"/>
          <w:szCs w:val="15"/>
          <w:color w:val="auto"/>
        </w:rPr>
        <w:t>BCP Bolivia, MiBanco Colombia.</w:t>
      </w:r>
    </w:p>
    <w:p>
      <w:pPr>
        <w:spacing w:after="0" w:line="200" w:lineRule="exact"/>
        <w:rPr>
          <w:rFonts w:ascii="Arial" w:cs="Arial" w:eastAsia="Arial" w:hAnsi="Arial"/>
          <w:sz w:val="12"/>
          <w:szCs w:val="12"/>
          <w:color w:val="auto"/>
        </w:rPr>
      </w:pPr>
    </w:p>
    <w:p>
      <w:pPr>
        <w:spacing w:after="0" w:line="342" w:lineRule="exact"/>
        <w:rPr>
          <w:rFonts w:ascii="Arial" w:cs="Arial" w:eastAsia="Arial" w:hAnsi="Arial"/>
          <w:sz w:val="12"/>
          <w:szCs w:val="12"/>
          <w:color w:val="auto"/>
        </w:rPr>
      </w:pPr>
    </w:p>
    <w:p>
      <w:pPr>
        <w:jc w:val="right"/>
        <w:spacing w:after="0"/>
        <w:rPr>
          <w:sz w:val="20"/>
          <w:szCs w:val="20"/>
          <w:color w:val="auto"/>
        </w:rPr>
      </w:pPr>
      <w:r>
        <w:rPr>
          <w:rFonts w:ascii="Arial" w:cs="Arial" w:eastAsia="Arial" w:hAnsi="Arial"/>
          <w:sz w:val="15"/>
          <w:szCs w:val="15"/>
          <w:color w:val="auto"/>
        </w:rPr>
        <w:t>166</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94" w:right="31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25"/>
          <w:szCs w:val="25"/>
          <w:b w:val="1"/>
          <w:bCs w:val="1"/>
          <w:color w:val="auto"/>
        </w:rPr>
        <w:t>Education and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343344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 </w:t>
      </w:r>
      <w:r>
        <w:rPr>
          <w:rFonts w:ascii="Arial" w:cs="Arial" w:eastAsia="Arial" w:hAnsi="Arial"/>
          <w:sz w:val="15"/>
          <w:szCs w:val="15"/>
          <w:color w:val="auto"/>
        </w:rPr>
        <w:t>Employment and Talent Retention</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56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GRI </w:t>
            </w:r>
            <w:r>
              <w:rPr>
                <w:rFonts w:ascii="Arial" w:cs="Arial" w:eastAsia="Arial" w:hAnsi="Arial"/>
                <w:sz w:val="15"/>
                <w:szCs w:val="15"/>
                <w:i w:val="1"/>
                <w:iCs w:val="1"/>
                <w:color w:val="auto"/>
              </w:rPr>
              <w:t>404-1, 404-2</w:t>
            </w: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356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20" w:type="dxa"/>
            <w:vAlign w:val="bottom"/>
            <w:tcBorders>
              <w:bottom w:val="single" w:sz="8" w:color="auto"/>
            </w:tcBorders>
          </w:tcPr>
          <w:p>
            <w:pPr>
              <w:spacing w:after="0"/>
              <w:rPr>
                <w:sz w:val="14"/>
                <w:szCs w:val="14"/>
                <w:color w:val="auto"/>
              </w:rPr>
            </w:pPr>
          </w:p>
        </w:tc>
        <w:tc>
          <w:tcPr>
            <w:tcW w:w="140" w:type="dxa"/>
            <w:vAlign w:val="bottom"/>
            <w:vMerge w:val="restart"/>
          </w:tcPr>
          <w:p>
            <w:pPr>
              <w:spacing w:after="0"/>
              <w:rPr>
                <w:sz w:val="14"/>
                <w:szCs w:val="14"/>
                <w:color w:val="auto"/>
              </w:rPr>
            </w:pPr>
          </w:p>
        </w:tc>
        <w:tc>
          <w:tcPr>
            <w:tcW w:w="182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tcBorders>
              <w:left w:val="single" w:sz="8" w:color="auto"/>
              <w:right w:val="single" w:sz="8" w:color="auto"/>
            </w:tcBorders>
          </w:tcPr>
          <w:p>
            <w:pPr>
              <w:ind w:left="60"/>
              <w:spacing w:after="0" w:line="136" w:lineRule="exact"/>
              <w:rPr>
                <w:sz w:val="20"/>
                <w:szCs w:val="20"/>
                <w:color w:val="auto"/>
              </w:rPr>
            </w:pPr>
            <w:r>
              <w:rPr>
                <w:rFonts w:ascii="Arial" w:cs="Arial" w:eastAsia="Arial" w:hAnsi="Arial"/>
                <w:sz w:val="15"/>
                <w:szCs w:val="15"/>
                <w:b w:val="1"/>
                <w:bCs w:val="1"/>
                <w:color w:val="auto"/>
              </w:rPr>
              <w:t>Average of hours of training a year by</w:t>
            </w:r>
          </w:p>
        </w:tc>
        <w:tc>
          <w:tcPr>
            <w:tcW w:w="140" w:type="dxa"/>
            <w:vAlign w:val="bottom"/>
            <w:vMerge w:val="continue"/>
          </w:tcPr>
          <w:p>
            <w:pPr>
              <w:spacing w:after="0"/>
              <w:rPr>
                <w:sz w:val="11"/>
                <w:szCs w:val="11"/>
                <w:color w:val="auto"/>
              </w:rPr>
            </w:pPr>
          </w:p>
        </w:tc>
        <w:tc>
          <w:tcPr>
            <w:tcW w:w="1820" w:type="dxa"/>
            <w:vAlign w:val="bottom"/>
            <w:tcBorders>
              <w:left w:val="single" w:sz="8" w:color="auto"/>
            </w:tcBorders>
            <w:gridSpan w:val="2"/>
          </w:tcPr>
          <w:p>
            <w:pPr>
              <w:jc w:val="center"/>
              <w:spacing w:after="0" w:line="136" w:lineRule="exact"/>
              <w:rPr>
                <w:sz w:val="20"/>
                <w:szCs w:val="20"/>
                <w:color w:val="auto"/>
              </w:rPr>
            </w:pPr>
            <w:r>
              <w:rPr>
                <w:rFonts w:ascii="Arial" w:cs="Arial" w:eastAsia="Arial" w:hAnsi="Arial"/>
                <w:sz w:val="15"/>
                <w:szCs w:val="15"/>
                <w:b w:val="1"/>
                <w:bCs w:val="1"/>
                <w:color w:val="auto"/>
                <w:w w:val="99"/>
              </w:rPr>
              <w:t>TOTAL</w:t>
            </w:r>
          </w:p>
        </w:tc>
        <w:tc>
          <w:tcPr>
            <w:tcW w:w="0" w:type="dxa"/>
            <w:vAlign w:val="bottom"/>
          </w:tcPr>
          <w:p>
            <w:pPr>
              <w:spacing w:after="0"/>
              <w:rPr>
                <w:sz w:val="1"/>
                <w:szCs w:val="1"/>
                <w:color w:val="auto"/>
              </w:rPr>
            </w:pPr>
          </w:p>
        </w:tc>
      </w:tr>
      <w:tr>
        <w:trPr>
          <w:trHeight w:val="28"/>
        </w:trPr>
        <w:tc>
          <w:tcPr>
            <w:tcW w:w="3420" w:type="dxa"/>
            <w:vAlign w:val="bottom"/>
            <w:tcBorders>
              <w:left w:val="single" w:sz="8" w:color="auto"/>
              <w:right w:val="single" w:sz="8" w:color="auto"/>
            </w:tcBorders>
            <w:vMerge w:val="restart"/>
          </w:tcPr>
          <w:p>
            <w:pPr>
              <w:ind w:left="60"/>
              <w:spacing w:after="0" w:line="193" w:lineRule="exact"/>
              <w:rPr>
                <w:sz w:val="20"/>
                <w:szCs w:val="20"/>
                <w:color w:val="auto"/>
              </w:rPr>
            </w:pPr>
            <w:r>
              <w:rPr>
                <w:rFonts w:ascii="Arial" w:cs="Arial" w:eastAsia="Arial" w:hAnsi="Arial"/>
                <w:sz w:val="14"/>
                <w:szCs w:val="14"/>
                <w:b w:val="1"/>
                <w:bCs w:val="1"/>
                <w:color w:val="auto"/>
              </w:rPr>
              <w:t>employee</w:t>
            </w:r>
            <w:r>
              <w:rPr>
                <w:rFonts w:ascii="Arial" w:cs="Arial" w:eastAsia="Arial" w:hAnsi="Arial"/>
                <w:sz w:val="22"/>
                <w:szCs w:val="22"/>
                <w:b w:val="1"/>
                <w:bCs w:val="1"/>
                <w:color w:val="auto"/>
                <w:vertAlign w:val="superscript"/>
              </w:rPr>
              <w:t>83</w:t>
            </w:r>
          </w:p>
        </w:tc>
        <w:tc>
          <w:tcPr>
            <w:tcW w:w="140" w:type="dxa"/>
            <w:vAlign w:val="bottom"/>
            <w:vMerge w:val="restart"/>
          </w:tcPr>
          <w:p>
            <w:pPr>
              <w:spacing w:after="0"/>
              <w:rPr>
                <w:sz w:val="2"/>
                <w:szCs w:val="2"/>
                <w:color w:val="auto"/>
              </w:rPr>
            </w:pPr>
          </w:p>
        </w:tc>
        <w:tc>
          <w:tcPr>
            <w:tcW w:w="9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420" w:type="dxa"/>
            <w:vAlign w:val="bottom"/>
            <w:tcBorders>
              <w:left w:val="single" w:sz="8" w:color="auto"/>
              <w:right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Hours</w:t>
            </w:r>
          </w:p>
        </w:tc>
        <w:tc>
          <w:tcPr>
            <w:tcW w:w="9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rPr>
              <w:t>Average of</w:t>
            </w:r>
          </w:p>
        </w:tc>
        <w:tc>
          <w:tcPr>
            <w:tcW w:w="0" w:type="dxa"/>
            <w:vAlign w:val="bottom"/>
          </w:tcPr>
          <w:p>
            <w:pPr>
              <w:spacing w:after="0"/>
              <w:rPr>
                <w:sz w:val="1"/>
                <w:szCs w:val="1"/>
                <w:color w:val="auto"/>
              </w:rPr>
            </w:pPr>
          </w:p>
        </w:tc>
      </w:tr>
      <w:tr>
        <w:trPr>
          <w:trHeight w:val="111"/>
        </w:trPr>
        <w:tc>
          <w:tcPr>
            <w:tcW w:w="3420" w:type="dxa"/>
            <w:vAlign w:val="bottom"/>
            <w:tcBorders>
              <w:left w:val="single" w:sz="8" w:color="auto"/>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left w:val="single" w:sz="8" w:color="auto"/>
              <w:right w:val="single" w:sz="8" w:color="auto"/>
            </w:tcBorders>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hours</w:t>
            </w:r>
          </w:p>
        </w:tc>
        <w:tc>
          <w:tcPr>
            <w:tcW w:w="0" w:type="dxa"/>
            <w:vAlign w:val="bottom"/>
          </w:tcPr>
          <w:p>
            <w:pPr>
              <w:spacing w:after="0"/>
              <w:rPr>
                <w:sz w:val="1"/>
                <w:szCs w:val="1"/>
                <w:color w:val="auto"/>
              </w:rPr>
            </w:pPr>
          </w:p>
        </w:tc>
      </w:tr>
      <w:tr>
        <w:trPr>
          <w:trHeight w:val="81"/>
        </w:trPr>
        <w:tc>
          <w:tcPr>
            <w:tcW w:w="342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560" w:type="dxa"/>
            <w:vAlign w:val="bottom"/>
            <w:tcBorders>
              <w:left w:val="single" w:sz="8" w:color="auto"/>
            </w:tcBorders>
            <w:gridSpan w:val="2"/>
          </w:tcPr>
          <w:p>
            <w:pPr>
              <w:ind w:left="60"/>
              <w:spacing w:after="0" w:line="146" w:lineRule="exact"/>
              <w:rPr>
                <w:sz w:val="20"/>
                <w:szCs w:val="20"/>
                <w:color w:val="auto"/>
              </w:rPr>
            </w:pPr>
            <w:r>
              <w:rPr>
                <w:rFonts w:ascii="Arial" w:cs="Arial" w:eastAsia="Arial" w:hAnsi="Arial"/>
                <w:sz w:val="15"/>
                <w:szCs w:val="15"/>
                <w:b w:val="1"/>
                <w:bCs w:val="1"/>
                <w:color w:val="auto"/>
              </w:rPr>
              <w:t>Average number of hours of training by</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60" w:type="dxa"/>
            <w:vAlign w:val="bottom"/>
            <w:tcBorders>
              <w:left w:val="single" w:sz="8" w:color="auto"/>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gender</w:t>
            </w:r>
          </w:p>
        </w:tc>
        <w:tc>
          <w:tcPr>
            <w:tcW w:w="9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4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Women</w:t>
            </w:r>
          </w:p>
        </w:tc>
        <w:tc>
          <w:tcPr>
            <w:tcW w:w="140" w:type="dxa"/>
            <w:vAlign w:val="bottom"/>
          </w:tcPr>
          <w:p>
            <w:pPr>
              <w:spacing w:after="0"/>
              <w:rPr>
                <w:sz w:val="14"/>
                <w:szCs w:val="14"/>
                <w:color w:val="auto"/>
              </w:rPr>
            </w:pPr>
          </w:p>
        </w:tc>
        <w:tc>
          <w:tcPr>
            <w:tcW w:w="92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873,051</w:t>
            </w:r>
          </w:p>
        </w:tc>
        <w:tc>
          <w:tcPr>
            <w:tcW w:w="9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41.1</w:t>
            </w:r>
          </w:p>
        </w:tc>
        <w:tc>
          <w:tcPr>
            <w:tcW w:w="0" w:type="dxa"/>
            <w:vAlign w:val="bottom"/>
          </w:tcPr>
          <w:p>
            <w:pPr>
              <w:spacing w:after="0"/>
              <w:rPr>
                <w:sz w:val="1"/>
                <w:szCs w:val="1"/>
                <w:color w:val="auto"/>
              </w:rPr>
            </w:pPr>
          </w:p>
        </w:tc>
      </w:tr>
      <w:tr>
        <w:trPr>
          <w:trHeight w:val="164"/>
        </w:trPr>
        <w:tc>
          <w:tcPr>
            <w:tcW w:w="34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Men</w:t>
            </w:r>
          </w:p>
        </w:tc>
        <w:tc>
          <w:tcPr>
            <w:tcW w:w="140" w:type="dxa"/>
            <w:vAlign w:val="bottom"/>
          </w:tcPr>
          <w:p>
            <w:pPr>
              <w:spacing w:after="0"/>
              <w:rPr>
                <w:sz w:val="14"/>
                <w:szCs w:val="14"/>
                <w:color w:val="auto"/>
              </w:rPr>
            </w:pPr>
          </w:p>
        </w:tc>
        <w:tc>
          <w:tcPr>
            <w:tcW w:w="92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630,198</w:t>
            </w:r>
          </w:p>
        </w:tc>
        <w:tc>
          <w:tcPr>
            <w:tcW w:w="90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left w:val="single" w:sz="8" w:color="auto"/>
              <w:bottom w:val="single" w:sz="8" w:color="auto"/>
            </w:tcBorders>
            <w:gridSpan w:val="2"/>
          </w:tcPr>
          <w:p>
            <w:pPr>
              <w:jc w:val="right"/>
              <w:ind w:right="483"/>
              <w:spacing w:after="0" w:line="164" w:lineRule="exact"/>
              <w:rPr>
                <w:sz w:val="20"/>
                <w:szCs w:val="20"/>
                <w:color w:val="auto"/>
              </w:rPr>
            </w:pPr>
            <w:r>
              <w:rPr>
                <w:rFonts w:ascii="Arial" w:cs="Arial" w:eastAsia="Arial" w:hAnsi="Arial"/>
                <w:sz w:val="15"/>
                <w:szCs w:val="15"/>
                <w:b w:val="1"/>
                <w:bCs w:val="1"/>
                <w:color w:val="auto"/>
              </w:rPr>
              <w:t>1,503,249</w:t>
            </w:r>
          </w:p>
        </w:tc>
        <w:tc>
          <w:tcPr>
            <w:tcW w:w="0" w:type="dxa"/>
            <w:vAlign w:val="bottom"/>
          </w:tcPr>
          <w:p>
            <w:pPr>
              <w:spacing w:after="0"/>
              <w:rPr>
                <w:sz w:val="1"/>
                <w:szCs w:val="1"/>
                <w:color w:val="auto"/>
              </w:rPr>
            </w:pPr>
          </w:p>
        </w:tc>
      </w:tr>
      <w:tr>
        <w:trPr>
          <w:trHeight w:val="146"/>
        </w:trPr>
        <w:tc>
          <w:tcPr>
            <w:tcW w:w="3560" w:type="dxa"/>
            <w:vAlign w:val="bottom"/>
            <w:gridSpan w:val="2"/>
          </w:tcPr>
          <w:p>
            <w:pPr>
              <w:ind w:left="60"/>
              <w:spacing w:after="0" w:line="146" w:lineRule="exact"/>
              <w:rPr>
                <w:sz w:val="20"/>
                <w:szCs w:val="20"/>
                <w:color w:val="auto"/>
              </w:rPr>
            </w:pPr>
            <w:r>
              <w:rPr>
                <w:rFonts w:ascii="Arial" w:cs="Arial" w:eastAsia="Arial" w:hAnsi="Arial"/>
                <w:sz w:val="15"/>
                <w:szCs w:val="15"/>
                <w:b w:val="1"/>
                <w:bCs w:val="1"/>
                <w:color w:val="auto"/>
              </w:rPr>
              <w:t>Average number of hours of training by job</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ind w:left="60"/>
              <w:spacing w:after="0"/>
              <w:rPr>
                <w:sz w:val="20"/>
                <w:szCs w:val="20"/>
                <w:color w:val="auto"/>
              </w:rPr>
            </w:pPr>
            <w:r>
              <w:rPr>
                <w:rFonts w:ascii="Arial" w:cs="Arial" w:eastAsia="Arial" w:hAnsi="Arial"/>
                <w:sz w:val="15"/>
                <w:szCs w:val="15"/>
                <w:b w:val="1"/>
                <w:bCs w:val="1"/>
                <w:color w:val="auto"/>
              </w:rPr>
              <w:t>category</w:t>
            </w: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-1155700</wp:posOffset>
            </wp:positionV>
            <wp:extent cx="3425825" cy="17424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5825" cy="1742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Performance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343344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Material Issue </w:t>
      </w:r>
      <w:r>
        <w:rPr>
          <w:rFonts w:ascii="Arial" w:cs="Arial" w:eastAsia="Arial" w:hAnsi="Arial"/>
          <w:sz w:val="15"/>
          <w:szCs w:val="15"/>
          <w:color w:val="auto"/>
        </w:rPr>
        <w:t>Employment and Talent Retention</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GRI </w:t>
            </w:r>
            <w:r>
              <w:rPr>
                <w:rFonts w:ascii="Arial" w:cs="Arial" w:eastAsia="Arial" w:hAnsi="Arial"/>
                <w:sz w:val="15"/>
                <w:szCs w:val="15"/>
                <w:color w:val="auto"/>
              </w:rPr>
              <w:t>404-3</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36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Pillar </w:t>
            </w:r>
            <w:r>
              <w:rPr>
                <w:rFonts w:ascii="Arial" w:cs="Arial" w:eastAsia="Arial" w:hAnsi="Arial"/>
                <w:sz w:val="15"/>
                <w:szCs w:val="15"/>
                <w:color w:val="auto"/>
              </w:rPr>
              <w:t>3</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spacing w:after="0"/>
              <w:rPr>
                <w:sz w:val="14"/>
                <w:szCs w:val="14"/>
                <w:color w:val="auto"/>
              </w:rPr>
            </w:pPr>
          </w:p>
        </w:tc>
        <w:tc>
          <w:tcPr>
            <w:tcW w:w="116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20" w:type="dxa"/>
            <w:vAlign w:val="bottom"/>
            <w:tcBorders>
              <w:top w:val="single" w:sz="8" w:color="auto"/>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Percentage of employees that receive regular</w:t>
            </w:r>
          </w:p>
        </w:tc>
        <w:tc>
          <w:tcPr>
            <w:tcW w:w="180" w:type="dxa"/>
            <w:vAlign w:val="bottom"/>
            <w:tcBorders>
              <w:right w:val="single" w:sz="8" w:color="auto"/>
            </w:tcBorders>
          </w:tcPr>
          <w:p>
            <w:pPr>
              <w:spacing w:after="0"/>
              <w:rPr>
                <w:sz w:val="14"/>
                <w:szCs w:val="14"/>
                <w:color w:val="auto"/>
              </w:rPr>
            </w:pPr>
          </w:p>
        </w:tc>
        <w:tc>
          <w:tcPr>
            <w:tcW w:w="1160" w:type="dxa"/>
            <w:vAlign w:val="bottom"/>
            <w:tcBorders>
              <w:top w:val="single" w:sz="8" w:color="auto"/>
              <w:bottom w:val="single" w:sz="8" w:color="auto"/>
            </w:tcBorders>
            <w:gridSpan w:val="2"/>
          </w:tcPr>
          <w:p>
            <w:pPr>
              <w:ind w:left="640"/>
              <w:spacing w:after="0" w:line="164" w:lineRule="exact"/>
              <w:rPr>
                <w:sz w:val="20"/>
                <w:szCs w:val="20"/>
                <w:color w:val="auto"/>
              </w:rPr>
            </w:pPr>
            <w:r>
              <w:rPr>
                <w:rFonts w:ascii="Arial" w:cs="Arial" w:eastAsia="Arial" w:hAnsi="Arial"/>
                <w:sz w:val="15"/>
                <w:szCs w:val="15"/>
                <w:b w:val="1"/>
                <w:bCs w:val="1"/>
                <w:color w:val="auto"/>
                <w:w w:val="99"/>
              </w:rPr>
              <w:t>TOTAL</w:t>
            </w:r>
          </w:p>
        </w:tc>
        <w:tc>
          <w:tcPr>
            <w:tcW w:w="6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tcBorders>
              <w:left w:val="single" w:sz="8" w:color="auto"/>
              <w:right w:val="single" w:sz="8" w:color="auto"/>
            </w:tcBorders>
          </w:tcPr>
          <w:p>
            <w:pPr>
              <w:ind w:left="80"/>
              <w:spacing w:after="0" w:line="136" w:lineRule="exact"/>
              <w:rPr>
                <w:sz w:val="20"/>
                <w:szCs w:val="20"/>
                <w:color w:val="auto"/>
              </w:rPr>
            </w:pPr>
            <w:r>
              <w:rPr>
                <w:rFonts w:ascii="Arial" w:cs="Arial" w:eastAsia="Arial" w:hAnsi="Arial"/>
                <w:sz w:val="15"/>
                <w:szCs w:val="15"/>
                <w:b w:val="1"/>
                <w:bCs w:val="1"/>
                <w:color w:val="auto"/>
              </w:rPr>
              <w:t>assessment of performance and professional</w:t>
            </w:r>
          </w:p>
        </w:tc>
        <w:tc>
          <w:tcPr>
            <w:tcW w:w="1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420" w:type="dxa"/>
            <w:vAlign w:val="bottom"/>
            <w:tcBorders>
              <w:left w:val="single" w:sz="8" w:color="auto"/>
              <w:right w:val="single" w:sz="8" w:color="auto"/>
            </w:tcBorders>
            <w:vMerge w:val="restart"/>
          </w:tcPr>
          <w:p>
            <w:pPr>
              <w:ind w:left="1200"/>
              <w:spacing w:after="0" w:line="212" w:lineRule="exact"/>
              <w:rPr>
                <w:sz w:val="20"/>
                <w:szCs w:val="20"/>
                <w:color w:val="auto"/>
              </w:rPr>
            </w:pPr>
            <w:r>
              <w:rPr>
                <w:rFonts w:ascii="Arial" w:cs="Arial" w:eastAsia="Arial" w:hAnsi="Arial"/>
                <w:sz w:val="15"/>
                <w:szCs w:val="15"/>
                <w:b w:val="1"/>
                <w:bCs w:val="1"/>
                <w:color w:val="auto"/>
              </w:rPr>
              <w:t>development</w:t>
            </w:r>
            <w:r>
              <w:rPr>
                <w:rFonts w:ascii="Arial" w:cs="Arial" w:eastAsia="Arial" w:hAnsi="Arial"/>
                <w:sz w:val="24"/>
                <w:szCs w:val="24"/>
                <w:b w:val="1"/>
                <w:bCs w:val="1"/>
                <w:color w:val="auto"/>
                <w:vertAlign w:val="superscript"/>
              </w:rPr>
              <w:t>84</w:t>
            </w:r>
          </w:p>
        </w:tc>
        <w:tc>
          <w:tcPr>
            <w:tcW w:w="180" w:type="dxa"/>
            <w:vAlign w:val="bottom"/>
            <w:tcBorders>
              <w:right w:val="single" w:sz="8" w:color="auto"/>
            </w:tcBorders>
            <w:vMerge w:val="restart"/>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4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Q</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ind w:right="203"/>
              <w:spacing w:after="0" w:line="16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6"/>
        </w:trPr>
        <w:tc>
          <w:tcPr>
            <w:tcW w:w="3600" w:type="dxa"/>
            <w:vAlign w:val="bottom"/>
            <w:tcBorders>
              <w:left w:val="single" w:sz="8" w:color="auto"/>
            </w:tcBorders>
            <w:gridSpan w:val="2"/>
          </w:tcPr>
          <w:p>
            <w:pPr>
              <w:ind w:left="80"/>
              <w:spacing w:after="0" w:line="146" w:lineRule="exact"/>
              <w:rPr>
                <w:sz w:val="20"/>
                <w:szCs w:val="20"/>
                <w:color w:val="auto"/>
              </w:rPr>
            </w:pPr>
            <w:r>
              <w:rPr>
                <w:rFonts w:ascii="Arial" w:cs="Arial" w:eastAsia="Arial" w:hAnsi="Arial"/>
                <w:sz w:val="15"/>
                <w:szCs w:val="15"/>
                <w:b w:val="1"/>
                <w:bCs w:val="1"/>
                <w:color w:val="auto"/>
              </w:rPr>
              <w:t>Employees by gender that receive a</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0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performance assessment</w:t>
            </w: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4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Women</w:t>
            </w:r>
          </w:p>
        </w:tc>
        <w:tc>
          <w:tcPr>
            <w:tcW w:w="18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17,118</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ind w:right="223"/>
              <w:spacing w:after="0" w:line="164" w:lineRule="exact"/>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64"/>
        </w:trPr>
        <w:tc>
          <w:tcPr>
            <w:tcW w:w="34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Men</w:t>
            </w:r>
          </w:p>
        </w:tc>
        <w:tc>
          <w:tcPr>
            <w:tcW w:w="18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14,639</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ind w:right="223"/>
              <w:spacing w:after="0" w:line="164" w:lineRule="exact"/>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64"/>
        </w:trPr>
        <w:tc>
          <w:tcPr>
            <w:tcW w:w="34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31,757</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ind w:right="223"/>
              <w:spacing w:after="0" w:line="164" w:lineRule="exact"/>
              <w:rPr>
                <w:sz w:val="20"/>
                <w:szCs w:val="20"/>
                <w:color w:val="auto"/>
              </w:rPr>
            </w:pPr>
            <w:r>
              <w:rPr>
                <w:rFonts w:ascii="Arial" w:cs="Arial" w:eastAsia="Arial" w:hAnsi="Arial"/>
                <w:sz w:val="15"/>
                <w:szCs w:val="15"/>
                <w:b w:val="1"/>
                <w:bCs w:val="1"/>
                <w:color w:val="auto"/>
              </w:rPr>
              <w:t>98%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Employees by job category that receive a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3425825" cy="5930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5825" cy="59309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380" w:space="460"/>
            <w:col w:w="5420"/>
          </w:cols>
          <w:pgMar w:left="320" w:top="279" w:right="319" w:bottom="1440" w:gutter="0" w:footer="0" w:header="0"/>
        </w:sectPr>
      </w:pPr>
    </w:p>
    <w:p>
      <w:pPr>
        <w:ind w:left="60"/>
        <w:spacing w:after="0"/>
        <w:rPr>
          <w:sz w:val="20"/>
          <w:szCs w:val="20"/>
          <w:color w:val="auto"/>
        </w:rPr>
      </w:pPr>
      <w:r>
        <w:rPr>
          <w:rFonts w:ascii="Arial" w:cs="Arial" w:eastAsia="Arial" w:hAnsi="Arial"/>
          <w:sz w:val="15"/>
          <w:szCs w:val="15"/>
          <w:color w:val="auto"/>
        </w:rPr>
        <w:t>Leaders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5"/>
          <w:szCs w:val="15"/>
          <w:color w:val="auto"/>
        </w:rPr>
        <w:t>Mid-level management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5"/>
          <w:szCs w:val="15"/>
          <w:color w:val="auto"/>
        </w:rPr>
        <w:t>Non-management employees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TOTAL TRAINING HOURS</w:t>
      </w:r>
    </w:p>
    <w:p>
      <w:pPr>
        <w:spacing w:after="0" w:line="20" w:lineRule="exact"/>
        <w:rPr>
          <w:sz w:val="20"/>
          <w:szCs w:val="20"/>
          <w:color w:val="auto"/>
        </w:rPr>
      </w:pPr>
      <w:r>
        <w:rPr>
          <w:sz w:val="20"/>
          <w:szCs w:val="20"/>
          <w:color w:val="auto"/>
        </w:rPr>
        <w:br w:type="column"/>
      </w:r>
    </w:p>
    <w:p>
      <w:pPr>
        <w:jc w:val="both"/>
        <w:ind w:left="140"/>
        <w:spacing w:after="0"/>
        <w:tabs>
          <w:tab w:leader="none" w:pos="1080" w:val="left"/>
        </w:tabs>
        <w:rPr>
          <w:sz w:val="20"/>
          <w:szCs w:val="20"/>
          <w:color w:val="auto"/>
        </w:rPr>
      </w:pPr>
      <w:r>
        <w:rPr>
          <w:rFonts w:ascii="Arial" w:cs="Arial" w:eastAsia="Arial" w:hAnsi="Arial"/>
          <w:sz w:val="15"/>
          <w:szCs w:val="15"/>
          <w:color w:val="auto"/>
        </w:rPr>
        <w:t>3,313</w:t>
      </w:r>
      <w:r>
        <w:rPr>
          <w:sz w:val="20"/>
          <w:szCs w:val="20"/>
          <w:color w:val="auto"/>
        </w:rPr>
        <w:tab/>
      </w:r>
      <w:r>
        <w:rPr>
          <w:rFonts w:ascii="Arial" w:cs="Arial" w:eastAsia="Arial" w:hAnsi="Arial"/>
          <w:sz w:val="15"/>
          <w:szCs w:val="15"/>
          <w:color w:val="auto"/>
        </w:rPr>
        <w:t>12.0</w:t>
      </w:r>
    </w:p>
    <w:p>
      <w:pPr>
        <w:spacing w:after="0" w:line="12"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5"/>
          <w:szCs w:val="15"/>
          <w:color w:val="auto"/>
        </w:rPr>
        <w:t>74,482</w:t>
      </w:r>
      <w:r>
        <w:rPr>
          <w:sz w:val="20"/>
          <w:szCs w:val="20"/>
          <w:color w:val="auto"/>
        </w:rPr>
        <w:tab/>
      </w:r>
      <w:r>
        <w:rPr>
          <w:rFonts w:ascii="Arial" w:cs="Arial" w:eastAsia="Arial" w:hAnsi="Arial"/>
          <w:sz w:val="15"/>
          <w:szCs w:val="15"/>
          <w:color w:val="auto"/>
        </w:rPr>
        <w:t>49.6</w:t>
      </w:r>
    </w:p>
    <w:p>
      <w:pPr>
        <w:spacing w:after="0" w:line="12"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color w:val="auto"/>
        </w:rPr>
        <w:t>1,425,454</w:t>
      </w:r>
      <w:r>
        <w:rPr>
          <w:sz w:val="20"/>
          <w:szCs w:val="20"/>
          <w:color w:val="auto"/>
        </w:rPr>
        <w:tab/>
      </w:r>
      <w:r>
        <w:rPr>
          <w:rFonts w:ascii="Arial" w:cs="Arial" w:eastAsia="Arial" w:hAnsi="Arial"/>
          <w:sz w:val="15"/>
          <w:szCs w:val="15"/>
          <w:color w:val="auto"/>
        </w:rPr>
        <w:t>39.0</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1,503,249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i w:val="1"/>
                <w:iCs w:val="1"/>
                <w:color w:val="auto"/>
              </w:rPr>
              <w:t>Leaders</w:t>
            </w:r>
          </w:p>
        </w:tc>
        <w:tc>
          <w:tcPr>
            <w:tcW w:w="18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217</w:t>
            </w:r>
          </w:p>
        </w:tc>
        <w:tc>
          <w:tcPr>
            <w:tcW w:w="9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rPr>
              <w:t>95%</w:t>
            </w:r>
          </w:p>
        </w:tc>
      </w:tr>
      <w:tr>
        <w:trPr>
          <w:trHeight w:val="164"/>
        </w:trPr>
        <w:tc>
          <w:tcPr>
            <w:tcW w:w="3420" w:type="dxa"/>
            <w:vAlign w:val="bottom"/>
            <w:tcBorders>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Mid-level management</w:t>
            </w:r>
          </w:p>
        </w:tc>
        <w:tc>
          <w:tcPr>
            <w:tcW w:w="18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1,069</w:t>
            </w:r>
          </w:p>
        </w:tc>
        <w:tc>
          <w:tcPr>
            <w:tcW w:w="900" w:type="dxa"/>
            <w:vAlign w:val="bottom"/>
            <w:tcBorders>
              <w:bottom w:val="single" w:sz="8" w:color="auto"/>
            </w:tcBorders>
          </w:tcPr>
          <w:p>
            <w:pPr>
              <w:jc w:val="right"/>
              <w:ind w:right="223"/>
              <w:spacing w:after="0" w:line="164" w:lineRule="exact"/>
              <w:rPr>
                <w:sz w:val="20"/>
                <w:szCs w:val="20"/>
                <w:color w:val="auto"/>
              </w:rPr>
            </w:pPr>
            <w:r>
              <w:rPr>
                <w:rFonts w:ascii="Arial" w:cs="Arial" w:eastAsia="Arial" w:hAnsi="Arial"/>
                <w:sz w:val="15"/>
                <w:szCs w:val="15"/>
                <w:color w:val="auto"/>
              </w:rPr>
              <w:t>98%</w:t>
            </w:r>
          </w:p>
        </w:tc>
      </w:tr>
      <w:tr>
        <w:trPr>
          <w:trHeight w:val="164"/>
        </w:trPr>
        <w:tc>
          <w:tcPr>
            <w:tcW w:w="3420" w:type="dxa"/>
            <w:vAlign w:val="bottom"/>
            <w:tcBorders>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Non-management employees</w:t>
            </w:r>
          </w:p>
        </w:tc>
        <w:tc>
          <w:tcPr>
            <w:tcW w:w="18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30,471</w:t>
            </w:r>
          </w:p>
        </w:tc>
        <w:tc>
          <w:tcPr>
            <w:tcW w:w="900" w:type="dxa"/>
            <w:vAlign w:val="bottom"/>
            <w:tcBorders>
              <w:bottom w:val="single" w:sz="8" w:color="auto"/>
            </w:tcBorders>
          </w:tcPr>
          <w:p>
            <w:pPr>
              <w:jc w:val="right"/>
              <w:ind w:right="223"/>
              <w:spacing w:after="0" w:line="164" w:lineRule="exact"/>
              <w:rPr>
                <w:sz w:val="20"/>
                <w:szCs w:val="20"/>
                <w:color w:val="auto"/>
              </w:rPr>
            </w:pPr>
            <w:r>
              <w:rPr>
                <w:rFonts w:ascii="Arial" w:cs="Arial" w:eastAsia="Arial" w:hAnsi="Arial"/>
                <w:sz w:val="15"/>
                <w:szCs w:val="15"/>
                <w:color w:val="auto"/>
              </w:rPr>
              <w:t>98%</w:t>
            </w:r>
          </w:p>
        </w:tc>
      </w:tr>
      <w:tr>
        <w:trPr>
          <w:trHeight w:val="164"/>
        </w:trPr>
        <w:tc>
          <w:tcPr>
            <w:tcW w:w="34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31,757</w:t>
            </w:r>
          </w:p>
        </w:tc>
        <w:tc>
          <w:tcPr>
            <w:tcW w:w="900" w:type="dxa"/>
            <w:vAlign w:val="bottom"/>
            <w:tcBorders>
              <w:bottom w:val="single" w:sz="8" w:color="auto"/>
            </w:tcBorders>
          </w:tcPr>
          <w:p>
            <w:pPr>
              <w:jc w:val="right"/>
              <w:ind w:right="223"/>
              <w:spacing w:after="0" w:line="164" w:lineRule="exact"/>
              <w:rPr>
                <w:sz w:val="20"/>
                <w:szCs w:val="20"/>
                <w:color w:val="auto"/>
              </w:rPr>
            </w:pPr>
            <w:r>
              <w:rPr>
                <w:rFonts w:ascii="Arial" w:cs="Arial" w:eastAsia="Arial" w:hAnsi="Arial"/>
                <w:sz w:val="15"/>
                <w:szCs w:val="15"/>
                <w:b w:val="1"/>
                <w:bCs w:val="1"/>
                <w:color w:val="auto"/>
              </w:rPr>
              <w:t>98%</w:t>
            </w:r>
          </w:p>
        </w:tc>
      </w:tr>
    </w:tbl>
    <w:p>
      <w:pPr>
        <w:spacing w:after="0" w:line="20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Employees by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3425825" cy="1178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5825" cy="11785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3">
            <w:col w:w="2960" w:space="720"/>
            <w:col w:w="1440" w:space="720"/>
            <w:col w:w="5420"/>
          </w:cols>
          <w:pgMar w:left="320" w:top="279" w:right="319" w:bottom="1440" w:gutter="0" w:footer="0" w:header="0"/>
          <w:type w:val="continuous"/>
        </w:sectPr>
      </w:pPr>
    </w:p>
    <w:p>
      <w:pPr>
        <w:spacing w:after="0" w:line="10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Employees trained by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3425825" cy="4756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5825" cy="47561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4"/>
        </w:trPr>
        <w:tc>
          <w:tcPr>
            <w:tcW w:w="3420" w:type="dxa"/>
            <w:vAlign w:val="bottom"/>
            <w:tcBorders>
              <w:top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Women</w:t>
            </w:r>
          </w:p>
        </w:tc>
        <w:tc>
          <w:tcPr>
            <w:tcW w:w="16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21,230</w:t>
            </w:r>
          </w:p>
        </w:tc>
      </w:tr>
      <w:tr>
        <w:trPr>
          <w:trHeight w:val="164"/>
        </w:trPr>
        <w:tc>
          <w:tcPr>
            <w:tcW w:w="3420" w:type="dxa"/>
            <w:vAlign w:val="bottom"/>
            <w:tcBorders>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Men</w:t>
            </w:r>
          </w:p>
        </w:tc>
        <w:tc>
          <w:tcPr>
            <w:tcW w:w="160" w:type="dxa"/>
            <w:vAlign w:val="bottom"/>
            <w:tcBorders>
              <w:right w:val="single" w:sz="8" w:color="auto"/>
            </w:tcBorders>
          </w:tcPr>
          <w:p>
            <w:pPr>
              <w:spacing w:after="0"/>
              <w:rPr>
                <w:sz w:val="14"/>
                <w:szCs w:val="14"/>
                <w:color w:val="auto"/>
              </w:rPr>
            </w:pPr>
          </w:p>
        </w:tc>
        <w:tc>
          <w:tcPr>
            <w:tcW w:w="182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17,144</w:t>
            </w:r>
          </w:p>
        </w:tc>
      </w:tr>
      <w:tr>
        <w:trPr>
          <w:trHeight w:val="164"/>
        </w:trPr>
        <w:tc>
          <w:tcPr>
            <w:tcW w:w="3420" w:type="dxa"/>
            <w:vAlign w:val="bottom"/>
            <w:tcBorders>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TOTAL EMPLOYEES TRAINED</w:t>
            </w:r>
          </w:p>
        </w:tc>
        <w:tc>
          <w:tcPr>
            <w:tcW w:w="16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38,374</w:t>
            </w:r>
          </w:p>
        </w:tc>
      </w:tr>
      <w:tr>
        <w:trPr>
          <w:trHeight w:val="164"/>
        </w:trPr>
        <w:tc>
          <w:tcPr>
            <w:tcW w:w="3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164"/>
        </w:trPr>
        <w:tc>
          <w:tcPr>
            <w:tcW w:w="3580" w:type="dxa"/>
            <w:vAlign w:val="bottom"/>
            <w:tcBorders>
              <w:left w:val="single" w:sz="8" w:color="auto"/>
              <w:bottom w:val="single" w:sz="8" w:color="auto"/>
            </w:tcBorders>
            <w:gridSpan w:val="2"/>
          </w:tcPr>
          <w:p>
            <w:pPr>
              <w:ind w:left="60"/>
              <w:spacing w:after="0" w:line="164" w:lineRule="exact"/>
              <w:rPr>
                <w:sz w:val="20"/>
                <w:szCs w:val="20"/>
                <w:color w:val="auto"/>
              </w:rPr>
            </w:pPr>
            <w:r>
              <w:rPr>
                <w:rFonts w:ascii="Arial" w:cs="Arial" w:eastAsia="Arial" w:hAnsi="Arial"/>
                <w:sz w:val="15"/>
                <w:szCs w:val="15"/>
                <w:b w:val="1"/>
                <w:bCs w:val="1"/>
                <w:color w:val="auto"/>
              </w:rPr>
              <w:t>Employees trained by job category</w:t>
            </w:r>
          </w:p>
        </w:tc>
        <w:tc>
          <w:tcPr>
            <w:tcW w:w="1820" w:type="dxa"/>
            <w:vAlign w:val="bottom"/>
            <w:tcBorders>
              <w:bottom w:val="single" w:sz="8" w:color="auto"/>
              <w:right w:val="single" w:sz="8" w:color="auto"/>
            </w:tcBorders>
          </w:tcPr>
          <w:p>
            <w:pPr>
              <w:spacing w:after="0"/>
              <w:rPr>
                <w:sz w:val="14"/>
                <w:szCs w:val="14"/>
                <w:color w:val="auto"/>
              </w:rPr>
            </w:pPr>
          </w:p>
        </w:tc>
      </w:tr>
      <w:tr>
        <w:trPr>
          <w:trHeight w:val="164"/>
        </w:trPr>
        <w:tc>
          <w:tcPr>
            <w:tcW w:w="34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Leaders</w:t>
            </w:r>
          </w:p>
        </w:tc>
        <w:tc>
          <w:tcPr>
            <w:tcW w:w="160" w:type="dxa"/>
            <w:vAlign w:val="bottom"/>
            <w:tcBorders>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276</w:t>
            </w:r>
          </w:p>
        </w:tc>
      </w:tr>
      <w:tr>
        <w:trPr>
          <w:trHeight w:val="164"/>
        </w:trPr>
        <w:tc>
          <w:tcPr>
            <w:tcW w:w="34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Mid-level management</w:t>
            </w:r>
          </w:p>
        </w:tc>
        <w:tc>
          <w:tcPr>
            <w:tcW w:w="160" w:type="dxa"/>
            <w:vAlign w:val="bottom"/>
            <w:tcBorders>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1,502</w:t>
            </w:r>
          </w:p>
        </w:tc>
      </w:tr>
      <w:tr>
        <w:trPr>
          <w:trHeight w:val="164"/>
        </w:trPr>
        <w:tc>
          <w:tcPr>
            <w:tcW w:w="34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Non-management employees</w:t>
            </w:r>
          </w:p>
        </w:tc>
        <w:tc>
          <w:tcPr>
            <w:tcW w:w="16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36,596</w:t>
            </w:r>
          </w:p>
        </w:tc>
      </w:tr>
      <w:tr>
        <w:trPr>
          <w:trHeight w:val="164"/>
        </w:trPr>
        <w:tc>
          <w:tcPr>
            <w:tcW w:w="34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TOTAL NUMBER OF EMPLOYEES TRAINED</w:t>
            </w:r>
          </w:p>
        </w:tc>
        <w:tc>
          <w:tcPr>
            <w:tcW w:w="16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38,374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241300</wp:posOffset>
            </wp:positionV>
            <wp:extent cx="214503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18" w:lineRule="auto"/>
        <w:rPr>
          <w:sz w:val="20"/>
          <w:szCs w:val="20"/>
          <w:color w:val="auto"/>
        </w:rPr>
      </w:pPr>
      <w:r>
        <w:rPr>
          <w:rFonts w:ascii="Arial" w:cs="Arial" w:eastAsia="Arial" w:hAnsi="Arial"/>
          <w:sz w:val="25"/>
          <w:szCs w:val="25"/>
          <w:color w:val="auto"/>
          <w:vertAlign w:val="superscript"/>
        </w:rPr>
        <w:t>83</w:t>
      </w:r>
      <w:r>
        <w:rPr>
          <w:rFonts w:ascii="Arial" w:cs="Arial" w:eastAsia="Arial" w:hAnsi="Arial"/>
          <w:sz w:val="15"/>
          <w:szCs w:val="15"/>
          <w:color w:val="auto"/>
        </w:rPr>
        <w:t>Consolidated data at Credicorp level based on the following companies: BCP Perú, Pacífico Seguros, Prima AFP, MiBanco Perú, Credicorp Capital, BCP Bolivia, MiBanco Colombia. For the total number of trained employees, some of the subsidiaries are considering both active and retired employees who have received certain types of training.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3420" w:type="dxa"/>
            <w:vAlign w:val="bottom"/>
            <w:tcBorders>
              <w:top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Women</w:t>
            </w:r>
          </w:p>
        </w:tc>
        <w:tc>
          <w:tcPr>
            <w:tcW w:w="160" w:type="dxa"/>
            <w:vAlign w:val="bottom"/>
            <w:tcBorders>
              <w:top w:val="single" w:sz="8" w:color="auto"/>
            </w:tcBorders>
          </w:tcPr>
          <w:p>
            <w:pPr>
              <w:spacing w:after="0"/>
              <w:rPr>
                <w:sz w:val="14"/>
                <w:szCs w:val="14"/>
                <w:color w:val="auto"/>
              </w:rPr>
            </w:pPr>
          </w:p>
        </w:tc>
        <w:tc>
          <w:tcPr>
            <w:tcW w:w="1840" w:type="dxa"/>
            <w:vAlign w:val="bottom"/>
            <w:tcBorders>
              <w:top w:val="single" w:sz="8" w:color="auto"/>
              <w:left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17,463</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i w:val="1"/>
                <w:iCs w:val="1"/>
                <w:color w:val="auto"/>
              </w:rPr>
              <w:t>Men</w:t>
            </w:r>
          </w:p>
        </w:tc>
        <w:tc>
          <w:tcPr>
            <w:tcW w:w="160" w:type="dxa"/>
            <w:vAlign w:val="bottom"/>
          </w:tcPr>
          <w:p>
            <w:pPr>
              <w:spacing w:after="0"/>
              <w:rPr>
                <w:sz w:val="14"/>
                <w:szCs w:val="14"/>
                <w:color w:val="auto"/>
              </w:rPr>
            </w:pPr>
          </w:p>
        </w:tc>
        <w:tc>
          <w:tcPr>
            <w:tcW w:w="1840" w:type="dxa"/>
            <w:vAlign w:val="bottom"/>
            <w:tcBorders>
              <w:left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14,947</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right w:val="single" w:sz="8" w:color="auto"/>
            </w:tcBorders>
          </w:tcPr>
          <w:p>
            <w:pPr>
              <w:ind w:left="1000"/>
              <w:spacing w:after="0" w:line="164" w:lineRule="exact"/>
              <w:rPr>
                <w:sz w:val="20"/>
                <w:szCs w:val="20"/>
                <w:color w:val="auto"/>
              </w:rPr>
            </w:pPr>
            <w:r>
              <w:rPr>
                <w:rFonts w:ascii="Arial" w:cs="Arial" w:eastAsia="Arial" w:hAnsi="Arial"/>
                <w:sz w:val="15"/>
                <w:szCs w:val="15"/>
                <w:b w:val="1"/>
                <w:bCs w:val="1"/>
                <w:color w:val="auto"/>
              </w:rPr>
              <w:t>TOTAL EMPLOYEES</w:t>
            </w:r>
          </w:p>
        </w:tc>
        <w:tc>
          <w:tcPr>
            <w:tcW w:w="160" w:type="dxa"/>
            <w:vAlign w:val="bottom"/>
            <w:tcBorders>
              <w:bottom w:val="single" w:sz="8" w:color="auto"/>
            </w:tcBorders>
          </w:tcPr>
          <w:p>
            <w:pPr>
              <w:spacing w:after="0"/>
              <w:rPr>
                <w:sz w:val="14"/>
                <w:szCs w:val="14"/>
                <w:color w:val="auto"/>
              </w:rPr>
            </w:pPr>
          </w:p>
        </w:tc>
        <w:tc>
          <w:tcPr>
            <w:tcW w:w="1840" w:type="dxa"/>
            <w:vAlign w:val="bottom"/>
            <w:tcBorders>
              <w:left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32,410</w:t>
            </w:r>
          </w:p>
        </w:tc>
        <w:tc>
          <w:tcPr>
            <w:tcW w:w="0" w:type="dxa"/>
            <w:vAlign w:val="bottom"/>
          </w:tcPr>
          <w:p>
            <w:pPr>
              <w:spacing w:after="0"/>
              <w:rPr>
                <w:sz w:val="1"/>
                <w:szCs w:val="1"/>
                <w:color w:val="auto"/>
              </w:rPr>
            </w:pPr>
          </w:p>
        </w:tc>
      </w:tr>
      <w:tr>
        <w:trPr>
          <w:trHeight w:val="164"/>
        </w:trPr>
        <w:tc>
          <w:tcPr>
            <w:tcW w:w="3580" w:type="dxa"/>
            <w:vAlign w:val="bottom"/>
            <w:tcBorders>
              <w:bottom w:val="single" w:sz="8" w:color="auto"/>
            </w:tcBorders>
            <w:gridSpan w:val="2"/>
          </w:tcPr>
          <w:p>
            <w:pPr>
              <w:ind w:left="80"/>
              <w:spacing w:after="0" w:line="164" w:lineRule="exact"/>
              <w:rPr>
                <w:sz w:val="20"/>
                <w:szCs w:val="20"/>
                <w:color w:val="auto"/>
              </w:rPr>
            </w:pPr>
            <w:r>
              <w:rPr>
                <w:rFonts w:ascii="Arial" w:cs="Arial" w:eastAsia="Arial" w:hAnsi="Arial"/>
                <w:sz w:val="15"/>
                <w:szCs w:val="15"/>
                <w:b w:val="1"/>
                <w:bCs w:val="1"/>
                <w:color w:val="auto"/>
              </w:rPr>
              <w:t>Employees trained by job category</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Leaders</w:t>
            </w:r>
          </w:p>
        </w:tc>
        <w:tc>
          <w:tcPr>
            <w:tcW w:w="160" w:type="dxa"/>
            <w:vAlign w:val="bottom"/>
          </w:tcPr>
          <w:p>
            <w:pPr>
              <w:spacing w:after="0"/>
              <w:rPr>
                <w:sz w:val="14"/>
                <w:szCs w:val="14"/>
                <w:color w:val="auto"/>
              </w:rPr>
            </w:pPr>
          </w:p>
        </w:tc>
        <w:tc>
          <w:tcPr>
            <w:tcW w:w="1840" w:type="dxa"/>
            <w:vAlign w:val="bottom"/>
            <w:tcBorders>
              <w:left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Mid-level management</w:t>
            </w:r>
          </w:p>
        </w:tc>
        <w:tc>
          <w:tcPr>
            <w:tcW w:w="160" w:type="dxa"/>
            <w:vAlign w:val="bottom"/>
          </w:tcPr>
          <w:p>
            <w:pPr>
              <w:spacing w:after="0"/>
              <w:rPr>
                <w:sz w:val="14"/>
                <w:szCs w:val="14"/>
                <w:color w:val="auto"/>
              </w:rPr>
            </w:pPr>
          </w:p>
        </w:tc>
        <w:tc>
          <w:tcPr>
            <w:tcW w:w="1840" w:type="dxa"/>
            <w:vAlign w:val="bottom"/>
            <w:tcBorders>
              <w:left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1,087</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Non-management employees</w:t>
            </w:r>
          </w:p>
        </w:tc>
        <w:tc>
          <w:tcPr>
            <w:tcW w:w="160" w:type="dxa"/>
            <w:vAlign w:val="bottom"/>
          </w:tcPr>
          <w:p>
            <w:pPr>
              <w:spacing w:after="0"/>
              <w:rPr>
                <w:sz w:val="14"/>
                <w:szCs w:val="14"/>
                <w:color w:val="auto"/>
              </w:rPr>
            </w:pPr>
          </w:p>
        </w:tc>
        <w:tc>
          <w:tcPr>
            <w:tcW w:w="1840" w:type="dxa"/>
            <w:vAlign w:val="bottom"/>
            <w:tcBorders>
              <w:left w:val="single" w:sz="8" w:color="auto"/>
              <w:bottom w:val="single" w:sz="8" w:color="auto"/>
            </w:tcBorders>
          </w:tcPr>
          <w:p>
            <w:pPr>
              <w:jc w:val="center"/>
              <w:spacing w:after="0" w:line="164" w:lineRule="exact"/>
              <w:rPr>
                <w:sz w:val="20"/>
                <w:szCs w:val="20"/>
                <w:color w:val="auto"/>
              </w:rPr>
            </w:pPr>
            <w:r>
              <w:rPr>
                <w:rFonts w:ascii="Arial" w:cs="Arial" w:eastAsia="Arial" w:hAnsi="Arial"/>
                <w:sz w:val="15"/>
                <w:szCs w:val="15"/>
                <w:color w:val="auto"/>
              </w:rPr>
              <w:t>31,094</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right w:val="single" w:sz="8" w:color="auto"/>
            </w:tcBorders>
          </w:tcPr>
          <w:p>
            <w:pPr>
              <w:spacing w:after="0"/>
              <w:rPr>
                <w:sz w:val="14"/>
                <w:szCs w:val="14"/>
                <w:color w:val="auto"/>
              </w:rPr>
            </w:pPr>
          </w:p>
        </w:tc>
        <w:tc>
          <w:tcPr>
            <w:tcW w:w="160" w:type="dxa"/>
            <w:vAlign w:val="bottom"/>
            <w:vMerge w:val="restart"/>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right w:val="single" w:sz="8" w:color="auto"/>
            </w:tcBorders>
          </w:tcPr>
          <w:p>
            <w:pPr>
              <w:ind w:left="1000"/>
              <w:spacing w:after="0" w:line="164" w:lineRule="exact"/>
              <w:rPr>
                <w:sz w:val="20"/>
                <w:szCs w:val="20"/>
                <w:color w:val="auto"/>
              </w:rPr>
            </w:pPr>
            <w:r>
              <w:rPr>
                <w:rFonts w:ascii="Arial" w:cs="Arial" w:eastAsia="Arial" w:hAnsi="Arial"/>
                <w:sz w:val="15"/>
                <w:szCs w:val="15"/>
                <w:b w:val="1"/>
                <w:bCs w:val="1"/>
                <w:color w:val="auto"/>
              </w:rPr>
              <w:t>TOTAL EMPLOYEES</w:t>
            </w:r>
          </w:p>
        </w:tc>
        <w:tc>
          <w:tcPr>
            <w:tcW w:w="160" w:type="dxa"/>
            <w:vAlign w:val="bottom"/>
            <w:vMerge w:val="continue"/>
          </w:tcPr>
          <w:p>
            <w:pPr>
              <w:spacing w:after="0"/>
              <w:rPr>
                <w:sz w:val="14"/>
                <w:szCs w:val="14"/>
                <w:color w:val="auto"/>
              </w:rPr>
            </w:pPr>
          </w:p>
        </w:tc>
        <w:tc>
          <w:tcPr>
            <w:tcW w:w="184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32,410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0" w:firstLine="9"/>
        <w:spacing w:after="0" w:line="229" w:lineRule="auto"/>
        <w:tabs>
          <w:tab w:leader="none" w:pos="178" w:val="left"/>
        </w:tabs>
        <w:numPr>
          <w:ilvl w:val="0"/>
          <w:numId w:val="132"/>
        </w:numPr>
        <w:rPr>
          <w:rFonts w:ascii="Arial" w:cs="Arial" w:eastAsia="Arial" w:hAnsi="Arial"/>
          <w:sz w:val="22"/>
          <w:szCs w:val="22"/>
          <w:color w:val="auto"/>
          <w:vertAlign w:val="superscript"/>
        </w:rPr>
      </w:pPr>
      <w:r>
        <w:rPr>
          <w:rFonts w:ascii="Arial" w:cs="Arial" w:eastAsia="Arial" w:hAnsi="Arial"/>
          <w:sz w:val="14"/>
          <w:szCs w:val="14"/>
          <w:color w:val="auto"/>
        </w:rPr>
        <w:t>Consolidated data at Credicorp level based on the following companies: BCP Perú, Pacífico Seguros, Prima AFP, MiBanco Perú, Credicorp Capital, MiBanco Colombia. In some subsidiaries, the performance evaluation and feedback processes applie to certain segments of the employee population.</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380" w:space="460"/>
            <w:col w:w="5420"/>
          </w:cols>
          <w:pgMar w:left="320" w:top="279" w:right="319" w:bottom="1440" w:gutter="0" w:footer="0" w:header="0"/>
          <w:type w:val="continuous"/>
        </w:sectPr>
      </w:pPr>
    </w:p>
    <w:bookmarkStart w:id="170" w:name="page171"/>
    <w:bookmarkEnd w:id="170"/>
    <w:p>
      <w:pPr>
        <w:ind w:right="400" w:hanging="7"/>
        <w:spacing w:after="0" w:line="273" w:lineRule="auto"/>
        <w:rPr>
          <w:sz w:val="20"/>
          <w:szCs w:val="20"/>
          <w:color w:val="auto"/>
        </w:rPr>
      </w:pPr>
      <w:r>
        <w:rPr>
          <w:rFonts w:ascii="Arial" w:cs="Arial" w:eastAsia="Arial" w:hAnsi="Arial"/>
          <w:sz w:val="25"/>
          <w:szCs w:val="25"/>
          <w:b w:val="1"/>
          <w:bCs w:val="1"/>
          <w:color w:val="auto"/>
        </w:rPr>
        <w:t>Suppliers Management: Table of Expenses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433445" cy="18592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33445" cy="185928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6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b w:val="1"/>
                <w:bCs w:val="1"/>
                <w:color w:val="auto"/>
              </w:rPr>
              <w:t>Company</w:t>
            </w:r>
          </w:p>
        </w:tc>
        <w:tc>
          <w:tcPr>
            <w:tcW w:w="2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5"/>
                <w:szCs w:val="15"/>
                <w:b w:val="1"/>
                <w:bCs w:val="1"/>
                <w:color w:val="auto"/>
              </w:rPr>
              <w:t>Expenses category Suppliers</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Location</w:t>
            </w:r>
          </w:p>
        </w:tc>
        <w:tc>
          <w:tcPr>
            <w:tcW w:w="132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rPr>
              <w:t>Estimated</w:t>
            </w:r>
          </w:p>
        </w:tc>
        <w:tc>
          <w:tcPr>
            <w:tcW w:w="0" w:type="dxa"/>
            <w:vAlign w:val="bottom"/>
          </w:tcPr>
          <w:p>
            <w:pPr>
              <w:spacing w:after="0"/>
              <w:rPr>
                <w:sz w:val="1"/>
                <w:szCs w:val="1"/>
                <w:color w:val="auto"/>
              </w:rPr>
            </w:pPr>
          </w:p>
        </w:tc>
      </w:tr>
      <w:tr>
        <w:trPr>
          <w:trHeight w:val="111"/>
        </w:trPr>
        <w:tc>
          <w:tcPr>
            <w:tcW w:w="960" w:type="dxa"/>
            <w:vAlign w:val="bottom"/>
            <w:vMerge w:val="continue"/>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Payment (Million)</w:t>
            </w:r>
          </w:p>
        </w:tc>
        <w:tc>
          <w:tcPr>
            <w:tcW w:w="0" w:type="dxa"/>
            <w:vAlign w:val="bottom"/>
          </w:tcPr>
          <w:p>
            <w:pPr>
              <w:spacing w:after="0"/>
              <w:rPr>
                <w:sz w:val="1"/>
                <w:szCs w:val="1"/>
                <w:color w:val="auto"/>
              </w:rPr>
            </w:pPr>
          </w:p>
        </w:tc>
      </w:tr>
      <w:tr>
        <w:trPr>
          <w:trHeight w:val="81"/>
        </w:trPr>
        <w:tc>
          <w:tcPr>
            <w:tcW w:w="9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9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Software (19%)</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Fidelity programs</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w w:val="99"/>
              </w:rPr>
              <w:t>(14%)</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Data center (14%)</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960" w:type="dxa"/>
            <w:vAlign w:val="bottom"/>
          </w:tcPr>
          <w:p>
            <w:pPr>
              <w:ind w:left="40"/>
              <w:spacing w:after="0"/>
              <w:rPr>
                <w:sz w:val="20"/>
                <w:szCs w:val="20"/>
                <w:color w:val="auto"/>
              </w:rPr>
            </w:pPr>
            <w:r>
              <w:rPr>
                <w:rFonts w:ascii="Arial" w:cs="Arial" w:eastAsia="Arial" w:hAnsi="Arial"/>
                <w:sz w:val="15"/>
                <w:szCs w:val="15"/>
                <w:color w:val="auto"/>
              </w:rPr>
              <w:t>Consolidated</w:t>
            </w:r>
          </w:p>
        </w:tc>
        <w:tc>
          <w:tcPr>
            <w:tcW w:w="1460" w:type="dxa"/>
            <w:vAlign w:val="bottom"/>
          </w:tcPr>
          <w:p>
            <w:pPr>
              <w:jc w:val="center"/>
              <w:spacing w:after="0"/>
              <w:rPr>
                <w:sz w:val="20"/>
                <w:szCs w:val="20"/>
                <w:color w:val="auto"/>
              </w:rPr>
            </w:pPr>
            <w:r>
              <w:rPr>
                <w:rFonts w:ascii="Arial" w:cs="Arial" w:eastAsia="Arial" w:hAnsi="Arial"/>
                <w:sz w:val="15"/>
                <w:szCs w:val="15"/>
                <w:color w:val="auto"/>
              </w:rPr>
              <w:t>Payment methods</w:t>
            </w:r>
          </w:p>
        </w:tc>
        <w:tc>
          <w:tcPr>
            <w:tcW w:w="740" w:type="dxa"/>
            <w:vAlign w:val="bottom"/>
            <w:vMerge w:val="restart"/>
          </w:tcPr>
          <w:p>
            <w:pPr>
              <w:jc w:val="right"/>
              <w:ind w:right="83"/>
              <w:spacing w:after="0"/>
              <w:rPr>
                <w:sz w:val="20"/>
                <w:szCs w:val="20"/>
                <w:color w:val="auto"/>
              </w:rPr>
            </w:pPr>
            <w:r>
              <w:rPr>
                <w:rFonts w:ascii="Arial" w:cs="Arial" w:eastAsia="Arial" w:hAnsi="Arial"/>
                <w:sz w:val="15"/>
                <w:szCs w:val="15"/>
                <w:color w:val="auto"/>
              </w:rPr>
              <w:t>12,921</w:t>
            </w:r>
          </w:p>
        </w:tc>
        <w:tc>
          <w:tcPr>
            <w:tcW w:w="900" w:type="dxa"/>
            <w:vAlign w:val="bottom"/>
          </w:tcPr>
          <w:p>
            <w:pPr>
              <w:jc w:val="center"/>
              <w:spacing w:after="0"/>
              <w:rPr>
                <w:sz w:val="20"/>
                <w:szCs w:val="20"/>
                <w:color w:val="auto"/>
              </w:rPr>
            </w:pPr>
            <w:r>
              <w:rPr>
                <w:rFonts w:ascii="Arial" w:cs="Arial" w:eastAsia="Arial" w:hAnsi="Arial"/>
                <w:sz w:val="15"/>
                <w:szCs w:val="15"/>
                <w:color w:val="auto"/>
              </w:rPr>
              <w:t>Local: 96%</w:t>
            </w:r>
          </w:p>
        </w:tc>
        <w:tc>
          <w:tcPr>
            <w:tcW w:w="1320" w:type="dxa"/>
            <w:vAlign w:val="bottom"/>
            <w:vMerge w:val="restart"/>
          </w:tcPr>
          <w:p>
            <w:pPr>
              <w:jc w:val="center"/>
              <w:spacing w:after="0"/>
              <w:rPr>
                <w:sz w:val="20"/>
                <w:szCs w:val="20"/>
                <w:color w:val="auto"/>
              </w:rPr>
            </w:pPr>
            <w:r>
              <w:rPr>
                <w:rFonts w:ascii="Arial" w:cs="Arial" w:eastAsia="Arial" w:hAnsi="Arial"/>
                <w:sz w:val="15"/>
                <w:szCs w:val="15"/>
                <w:color w:val="auto"/>
              </w:rPr>
              <w:t>S/ 4,423</w:t>
            </w:r>
          </w:p>
        </w:tc>
        <w:tc>
          <w:tcPr>
            <w:tcW w:w="0" w:type="dxa"/>
            <w:vAlign w:val="bottom"/>
          </w:tcPr>
          <w:p>
            <w:pPr>
              <w:spacing w:after="0"/>
              <w:rPr>
                <w:sz w:val="1"/>
                <w:szCs w:val="1"/>
                <w:color w:val="auto"/>
              </w:rPr>
            </w:pPr>
          </w:p>
        </w:tc>
      </w:tr>
      <w:tr>
        <w:trPr>
          <w:trHeight w:val="126"/>
        </w:trPr>
        <w:tc>
          <w:tcPr>
            <w:tcW w:w="960" w:type="dxa"/>
            <w:vAlign w:val="bottom"/>
            <w:vMerge w:val="restart"/>
          </w:tcPr>
          <w:p>
            <w:pPr>
              <w:ind w:left="40"/>
              <w:spacing w:after="0"/>
              <w:rPr>
                <w:sz w:val="20"/>
                <w:szCs w:val="20"/>
                <w:color w:val="auto"/>
              </w:rPr>
            </w:pPr>
            <w:r>
              <w:rPr>
                <w:rFonts w:ascii="Arial" w:cs="Arial" w:eastAsia="Arial" w:hAnsi="Arial"/>
                <w:sz w:val="15"/>
                <w:szCs w:val="15"/>
                <w:color w:val="auto"/>
              </w:rPr>
              <w:t>Total*</w:t>
            </w:r>
          </w:p>
        </w:tc>
        <w:tc>
          <w:tcPr>
            <w:tcW w:w="1460" w:type="dxa"/>
            <w:vAlign w:val="bottom"/>
          </w:tcPr>
          <w:p>
            <w:pPr>
              <w:jc w:val="center"/>
              <w:spacing w:after="0" w:line="126" w:lineRule="exact"/>
              <w:rPr>
                <w:sz w:val="20"/>
                <w:szCs w:val="20"/>
                <w:color w:val="auto"/>
              </w:rPr>
            </w:pPr>
            <w:r>
              <w:rPr>
                <w:rFonts w:ascii="Arial" w:cs="Arial" w:eastAsia="Arial" w:hAnsi="Arial"/>
                <w:sz w:val="14"/>
                <w:szCs w:val="14"/>
                <w:color w:val="auto"/>
              </w:rPr>
              <w:t>(12%)</w:t>
            </w:r>
          </w:p>
        </w:tc>
        <w:tc>
          <w:tcPr>
            <w:tcW w:w="74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Foreign: 4%</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96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Arial" w:cs="Arial" w:eastAsia="Arial" w:hAnsi="Arial"/>
                <w:sz w:val="15"/>
                <w:szCs w:val="15"/>
                <w:color w:val="auto"/>
              </w:rPr>
              <w:t>Building</w:t>
            </w:r>
          </w:p>
        </w:tc>
        <w:tc>
          <w:tcPr>
            <w:tcW w:w="7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maintenance and</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remodeling (6%)</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Marketing (5%)</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Rent (5%)</w:t>
            </w: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680"/>
        <w:spacing w:after="0" w:line="258" w:lineRule="auto"/>
        <w:rPr>
          <w:sz w:val="20"/>
          <w:szCs w:val="20"/>
          <w:color w:val="auto"/>
        </w:rPr>
      </w:pPr>
      <w:r>
        <w:rPr>
          <w:rFonts w:ascii="Arial" w:cs="Arial" w:eastAsia="Arial" w:hAnsi="Arial"/>
          <w:sz w:val="15"/>
          <w:szCs w:val="15"/>
          <w:color w:val="auto"/>
        </w:rPr>
        <w:t>*Information from BCP Perú, Mibanco Perú, Pacífico Seguros, Prima, Credicorp Capital Perú</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Environmental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343344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Carbon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3433445"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305-1, 305-2, 305-3, 305-5</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820" w:type="dxa"/>
            <w:vAlign w:val="bottom"/>
            <w:tcBorders>
              <w:top w:val="single" w:sz="8" w:color="auto"/>
              <w:left w:val="single" w:sz="8" w:color="auto"/>
              <w:right w:val="single" w:sz="8" w:color="auto"/>
            </w:tcBorders>
            <w:vMerge w:val="restart"/>
            <w:shd w:val="clear" w:color="auto" w:fill="F2F2F2"/>
          </w:tcPr>
          <w:p>
            <w:pPr>
              <w:ind w:left="1660"/>
              <w:spacing w:after="0"/>
              <w:rPr>
                <w:sz w:val="20"/>
                <w:szCs w:val="20"/>
                <w:color w:val="auto"/>
              </w:rPr>
            </w:pPr>
            <w:r>
              <w:rPr>
                <w:rFonts w:ascii="Arial" w:cs="Arial" w:eastAsia="Arial" w:hAnsi="Arial"/>
                <w:sz w:val="15"/>
                <w:szCs w:val="15"/>
                <w:b w:val="1"/>
                <w:bCs w:val="1"/>
                <w:color w:val="auto"/>
              </w:rPr>
              <w:t>Scopes</w:t>
            </w:r>
          </w:p>
        </w:tc>
        <w:tc>
          <w:tcPr>
            <w:tcW w:w="880" w:type="dxa"/>
            <w:vAlign w:val="bottom"/>
            <w:tcBorders>
              <w:top w:val="single" w:sz="8" w:color="auto"/>
              <w:right w:val="single" w:sz="8" w:color="auto"/>
            </w:tcBorders>
            <w:shd w:val="clear" w:color="auto" w:fill="F2F2F2"/>
          </w:tcPr>
          <w:p>
            <w:pPr>
              <w:ind w:left="240"/>
              <w:spacing w:after="0" w:line="166" w:lineRule="exact"/>
              <w:rPr>
                <w:sz w:val="20"/>
                <w:szCs w:val="20"/>
                <w:color w:val="auto"/>
              </w:rPr>
            </w:pPr>
            <w:r>
              <w:rPr>
                <w:rFonts w:ascii="Arial" w:cs="Arial" w:eastAsia="Arial" w:hAnsi="Arial"/>
                <w:sz w:val="15"/>
                <w:szCs w:val="15"/>
                <w:b w:val="1"/>
                <w:bCs w:val="1"/>
                <w:color w:val="auto"/>
              </w:rPr>
              <w:t>Total</w:t>
            </w:r>
          </w:p>
        </w:tc>
        <w:tc>
          <w:tcPr>
            <w:tcW w:w="620" w:type="dxa"/>
            <w:vAlign w:val="bottom"/>
            <w:tcBorders>
              <w:top w:val="single" w:sz="8" w:color="auto"/>
              <w:right w:val="single" w:sz="8" w:color="auto"/>
            </w:tcBorders>
            <w:shd w:val="clear" w:color="auto" w:fill="F2F2F2"/>
          </w:tcPr>
          <w:p>
            <w:pPr>
              <w:ind w:left="140"/>
              <w:spacing w:after="0" w:line="166" w:lineRule="exact"/>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11"/>
        </w:trPr>
        <w:tc>
          <w:tcPr>
            <w:tcW w:w="382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8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(tCO2eq)</w:t>
            </w:r>
          </w:p>
        </w:tc>
        <w:tc>
          <w:tcPr>
            <w:tcW w:w="620" w:type="dxa"/>
            <w:vAlign w:val="bottom"/>
            <w:tcBorders>
              <w:right w:val="single" w:sz="8" w:color="auto"/>
            </w:tcBorders>
            <w:vMerge w:val="restart"/>
            <w:shd w:val="clear" w:color="auto" w:fill="F2F2F2"/>
          </w:tcPr>
          <w:p>
            <w:pPr>
              <w:ind w:left="1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81"/>
        </w:trPr>
        <w:tc>
          <w:tcPr>
            <w:tcW w:w="382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880" w:type="dxa"/>
            <w:vAlign w:val="bottom"/>
            <w:tcBorders>
              <w:bottom w:val="single" w:sz="8" w:color="auto"/>
              <w:right w:val="single" w:sz="8" w:color="auto"/>
            </w:tcBorders>
            <w:vMerge w:val="continue"/>
            <w:shd w:val="clear" w:color="auto" w:fill="F2F2F2"/>
          </w:tcPr>
          <w:p>
            <w:pPr>
              <w:spacing w:after="0"/>
              <w:rPr>
                <w:sz w:val="7"/>
                <w:szCs w:val="7"/>
                <w:color w:val="auto"/>
              </w:rPr>
            </w:pPr>
          </w:p>
        </w:tc>
        <w:tc>
          <w:tcPr>
            <w:tcW w:w="620" w:type="dxa"/>
            <w:vAlign w:val="bottom"/>
            <w:tcBorders>
              <w:bottom w:val="single" w:sz="8" w:color="auto"/>
              <w:right w:val="single" w:sz="8" w:color="auto"/>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shd w:val="clear" w:color="auto" w:fill="F2F2F2"/>
          </w:tcPr>
          <w:p>
            <w:pPr>
              <w:ind w:left="80"/>
              <w:spacing w:after="0" w:line="164" w:lineRule="exact"/>
              <w:rPr>
                <w:sz w:val="20"/>
                <w:szCs w:val="20"/>
                <w:color w:val="auto"/>
              </w:rPr>
            </w:pPr>
            <w:r>
              <w:rPr>
                <w:rFonts w:ascii="Arial" w:cs="Arial" w:eastAsia="Arial" w:hAnsi="Arial"/>
                <w:sz w:val="15"/>
                <w:szCs w:val="15"/>
                <w:b w:val="1"/>
                <w:bCs w:val="1"/>
                <w:color w:val="auto"/>
              </w:rPr>
              <w:t>Scope 1: Direct emissions</w:t>
            </w:r>
          </w:p>
        </w:tc>
        <w:tc>
          <w:tcPr>
            <w:tcW w:w="88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2,066.33</w:t>
            </w:r>
          </w:p>
        </w:tc>
        <w:tc>
          <w:tcPr>
            <w:tcW w:w="62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4.77%</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Air conditioning</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1,095.35</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Transportation in own vehicles</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595.13</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Fuel consumption of stationary equipment</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211.22</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0.49%</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Kitchen</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150.96</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0.35%</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Extinguishers</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13.01</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Fertilizers</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0.67</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shd w:val="clear" w:color="auto" w:fill="F2F2F2"/>
          </w:tcPr>
          <w:p>
            <w:pPr>
              <w:ind w:left="80"/>
              <w:spacing w:after="0" w:line="164" w:lineRule="exact"/>
              <w:rPr>
                <w:sz w:val="20"/>
                <w:szCs w:val="20"/>
                <w:color w:val="auto"/>
              </w:rPr>
            </w:pPr>
            <w:r>
              <w:rPr>
                <w:rFonts w:ascii="Arial" w:cs="Arial" w:eastAsia="Arial" w:hAnsi="Arial"/>
                <w:sz w:val="15"/>
                <w:szCs w:val="15"/>
                <w:b w:val="1"/>
                <w:bCs w:val="1"/>
                <w:color w:val="auto"/>
              </w:rPr>
              <w:t>Scope 2: Emissions for electricity consumption</w:t>
            </w:r>
          </w:p>
        </w:tc>
        <w:tc>
          <w:tcPr>
            <w:tcW w:w="88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16,078.64</w:t>
            </w:r>
          </w:p>
        </w:tc>
        <w:tc>
          <w:tcPr>
            <w:tcW w:w="62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37.14%</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Electricity Consumption</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16,078.64</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37.14%</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shd w:val="clear" w:color="auto" w:fill="F2F2F2"/>
          </w:tcPr>
          <w:p>
            <w:pPr>
              <w:ind w:left="80"/>
              <w:spacing w:after="0" w:line="164" w:lineRule="exact"/>
              <w:rPr>
                <w:sz w:val="20"/>
                <w:szCs w:val="20"/>
                <w:color w:val="auto"/>
              </w:rPr>
            </w:pPr>
            <w:r>
              <w:rPr>
                <w:rFonts w:ascii="Arial" w:cs="Arial" w:eastAsia="Arial" w:hAnsi="Arial"/>
                <w:sz w:val="15"/>
                <w:szCs w:val="15"/>
                <w:b w:val="1"/>
                <w:bCs w:val="1"/>
                <w:color w:val="auto"/>
              </w:rPr>
              <w:t>Scope 3: Indirect emissions</w:t>
            </w:r>
          </w:p>
        </w:tc>
        <w:tc>
          <w:tcPr>
            <w:tcW w:w="88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25,150.51</w:t>
            </w:r>
          </w:p>
        </w:tc>
        <w:tc>
          <w:tcPr>
            <w:tcW w:w="62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58.09%</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Trips by plane</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3,251.29</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7.51%</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Personnel travel to work</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15,817.76</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36.53%</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Consumption of electricity when working from home</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656.54</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Taxi service</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165.90</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0.38%</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Waste generation</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1,534.28</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Consumption of paper and cardboard</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1,210.24</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Water consumption</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212.55</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0.49%</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Messengers</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219.80</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Personnel transportation in buses or vans hired by the</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268.95</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0.62%</w:t>
            </w:r>
          </w:p>
        </w:tc>
        <w:tc>
          <w:tcPr>
            <w:tcW w:w="0" w:type="dxa"/>
            <w:vAlign w:val="bottom"/>
          </w:tcPr>
          <w:p>
            <w:pPr>
              <w:spacing w:after="0"/>
              <w:rPr>
                <w:sz w:val="1"/>
                <w:szCs w:val="1"/>
                <w:color w:val="auto"/>
              </w:rPr>
            </w:pPr>
          </w:p>
        </w:tc>
      </w:tr>
      <w:tr>
        <w:trPr>
          <w:trHeight w:val="93"/>
        </w:trPr>
        <w:tc>
          <w:tcPr>
            <w:tcW w:w="3820" w:type="dxa"/>
            <w:vAlign w:val="bottom"/>
            <w:tcBorders>
              <w:left w:val="single" w:sz="8" w:color="97888F"/>
              <w:right w:val="single" w:sz="8" w:color="97888F"/>
            </w:tcBorders>
            <w:vMerge w:val="restart"/>
          </w:tcPr>
          <w:p>
            <w:pPr>
              <w:ind w:left="80"/>
              <w:spacing w:after="0"/>
              <w:rPr>
                <w:sz w:val="20"/>
                <w:szCs w:val="20"/>
                <w:color w:val="auto"/>
              </w:rPr>
            </w:pPr>
            <w:r>
              <w:rPr>
                <w:rFonts w:ascii="Arial" w:cs="Arial" w:eastAsia="Arial" w:hAnsi="Arial"/>
                <w:sz w:val="15"/>
                <w:szCs w:val="15"/>
                <w:color w:val="auto"/>
              </w:rPr>
              <w:t>company</w:t>
            </w:r>
          </w:p>
        </w:tc>
        <w:tc>
          <w:tcPr>
            <w:tcW w:w="88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20" w:type="dxa"/>
            <w:vAlign w:val="bottom"/>
            <w:tcBorders>
              <w:left w:val="single" w:sz="8" w:color="97888F"/>
              <w:bottom w:val="single" w:sz="8" w:color="97888F"/>
              <w:right w:val="single" w:sz="8" w:color="97888F"/>
            </w:tcBorders>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Cash transportation</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287.34</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0.66%</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Third-party electricity consumption</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387.81</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Housing</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457.27</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Trips in national territory</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266.91</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0.62%</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Card imports</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220.55</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Waste transportation</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18.56</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0.62%</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Outsourced transportation (card delivery)</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0.10</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Ambulances</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170.67</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Transportation by boat</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0.06</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64"/>
        </w:trPr>
        <w:tc>
          <w:tcPr>
            <w:tcW w:w="3820" w:type="dxa"/>
            <w:vAlign w:val="bottom"/>
            <w:tcBorders>
              <w:left w:val="single" w:sz="8" w:color="97888F"/>
              <w:bottom w:val="single" w:sz="8" w:color="97888F"/>
              <w:right w:val="single" w:sz="8" w:color="97888F"/>
            </w:tcBorders>
          </w:tcPr>
          <w:p>
            <w:pPr>
              <w:ind w:left="80"/>
              <w:spacing w:after="0" w:line="164" w:lineRule="exact"/>
              <w:rPr>
                <w:sz w:val="20"/>
                <w:szCs w:val="20"/>
                <w:color w:val="auto"/>
              </w:rPr>
            </w:pPr>
            <w:r>
              <w:rPr>
                <w:rFonts w:ascii="Arial" w:cs="Arial" w:eastAsia="Arial" w:hAnsi="Arial"/>
                <w:sz w:val="15"/>
                <w:szCs w:val="15"/>
                <w:color w:val="auto"/>
              </w:rPr>
              <w:t>Transportation between missions</w:t>
            </w:r>
          </w:p>
        </w:tc>
        <w:tc>
          <w:tcPr>
            <w:tcW w:w="88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3.93</w:t>
            </w:r>
          </w:p>
        </w:tc>
        <w:tc>
          <w:tcPr>
            <w:tcW w:w="6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64"/>
        </w:trPr>
        <w:tc>
          <w:tcPr>
            <w:tcW w:w="3820" w:type="dxa"/>
            <w:vAlign w:val="bottom"/>
            <w:tcBorders>
              <w:left w:val="single" w:sz="8" w:color="auto"/>
              <w:bottom w:val="single" w:sz="8" w:color="auto"/>
              <w:right w:val="single" w:sz="8" w:color="auto"/>
            </w:tcBorders>
            <w:shd w:val="clear" w:color="auto" w:fill="F2F2F2"/>
          </w:tcPr>
          <w:p>
            <w:pPr>
              <w:ind w:left="2040"/>
              <w:spacing w:after="0" w:line="164" w:lineRule="exact"/>
              <w:rPr>
                <w:sz w:val="20"/>
                <w:szCs w:val="20"/>
                <w:color w:val="auto"/>
              </w:rPr>
            </w:pPr>
            <w:r>
              <w:rPr>
                <w:rFonts w:ascii="Arial" w:cs="Arial" w:eastAsia="Arial" w:hAnsi="Arial"/>
                <w:sz w:val="15"/>
                <w:szCs w:val="15"/>
                <w:b w:val="1"/>
                <w:bCs w:val="1"/>
                <w:color w:val="auto"/>
              </w:rPr>
              <w:t>Total Carbon Footprint</w:t>
            </w:r>
          </w:p>
        </w:tc>
        <w:tc>
          <w:tcPr>
            <w:tcW w:w="88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43,295.48</w:t>
            </w:r>
          </w:p>
        </w:tc>
        <w:tc>
          <w:tcPr>
            <w:tcW w:w="62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29845</wp:posOffset>
            </wp:positionV>
            <wp:extent cx="7152640" cy="146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380" w:space="460"/>
            <w:col w:w="5420"/>
          </w:cols>
          <w:pgMar w:left="320" w:top="279" w:right="319" w:bottom="1440" w:gutter="0" w:footer="0" w:header="0"/>
        </w:sectPr>
      </w:pPr>
    </w:p>
    <w:bookmarkStart w:id="171" w:name="page172"/>
    <w:bookmarkEnd w:id="171"/>
    <w:p>
      <w:pPr>
        <w:spacing w:after="0"/>
        <w:rPr>
          <w:sz w:val="20"/>
          <w:szCs w:val="20"/>
          <w:color w:val="auto"/>
        </w:rPr>
      </w:pPr>
      <w:r>
        <w:rPr>
          <w:rFonts w:ascii="Arial" w:cs="Arial" w:eastAsia="Arial" w:hAnsi="Arial"/>
          <w:sz w:val="25"/>
          <w:szCs w:val="25"/>
          <w:b w:val="1"/>
          <w:bCs w:val="1"/>
          <w:color w:val="auto"/>
        </w:rPr>
        <w:t>Energy: Electricity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343344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302-1, 302-2</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260" w:type="dxa"/>
            <w:vAlign w:val="bottom"/>
            <w:tcBorders>
              <w:top w:val="single" w:sz="8" w:color="auto"/>
              <w:left w:val="single" w:sz="8" w:color="auto"/>
              <w:right w:val="single" w:sz="8" w:color="auto"/>
            </w:tcBorders>
            <w:vMerge w:val="restart"/>
            <w:shd w:val="clear" w:color="auto" w:fill="F2F2F2"/>
          </w:tcPr>
          <w:p>
            <w:pPr>
              <w:ind w:left="1580"/>
              <w:spacing w:after="0"/>
              <w:rPr>
                <w:sz w:val="20"/>
                <w:szCs w:val="20"/>
                <w:color w:val="auto"/>
              </w:rPr>
            </w:pPr>
            <w:r>
              <w:rPr>
                <w:rFonts w:ascii="Arial" w:cs="Arial" w:eastAsia="Arial" w:hAnsi="Arial"/>
                <w:sz w:val="15"/>
                <w:szCs w:val="15"/>
                <w:b w:val="1"/>
                <w:bCs w:val="1"/>
                <w:color w:val="auto"/>
              </w:rPr>
              <w:t>Energy sources</w:t>
            </w:r>
          </w:p>
        </w:tc>
        <w:tc>
          <w:tcPr>
            <w:tcW w:w="1140" w:type="dxa"/>
            <w:vAlign w:val="bottom"/>
            <w:tcBorders>
              <w:top w:val="single" w:sz="8" w:color="auto"/>
              <w:right w:val="single" w:sz="8" w:color="auto"/>
            </w:tcBorders>
            <w:shd w:val="clear" w:color="auto" w:fill="F2F2F2"/>
          </w:tcPr>
          <w:p>
            <w:pPr>
              <w:jc w:val="center"/>
              <w:spacing w:after="0" w:line="166" w:lineRule="exact"/>
              <w:rPr>
                <w:sz w:val="20"/>
                <w:szCs w:val="20"/>
                <w:color w:val="auto"/>
              </w:rPr>
            </w:pPr>
            <w:r>
              <w:rPr>
                <w:rFonts w:ascii="Arial" w:cs="Arial" w:eastAsia="Arial" w:hAnsi="Arial"/>
                <w:sz w:val="15"/>
                <w:szCs w:val="15"/>
                <w:b w:val="1"/>
                <w:bCs w:val="1"/>
                <w:color w:val="auto"/>
              </w:rPr>
              <w:t>Consumption</w:t>
            </w:r>
          </w:p>
        </w:tc>
        <w:tc>
          <w:tcPr>
            <w:tcW w:w="0" w:type="dxa"/>
            <w:vAlign w:val="bottom"/>
          </w:tcPr>
          <w:p>
            <w:pPr>
              <w:spacing w:after="0"/>
              <w:rPr>
                <w:sz w:val="1"/>
                <w:szCs w:val="1"/>
                <w:color w:val="auto"/>
              </w:rPr>
            </w:pPr>
          </w:p>
        </w:tc>
      </w:tr>
      <w:tr>
        <w:trPr>
          <w:trHeight w:val="111"/>
        </w:trPr>
        <w:tc>
          <w:tcPr>
            <w:tcW w:w="426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11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(MWh)</w:t>
            </w:r>
          </w:p>
        </w:tc>
        <w:tc>
          <w:tcPr>
            <w:tcW w:w="0" w:type="dxa"/>
            <w:vAlign w:val="bottom"/>
          </w:tcPr>
          <w:p>
            <w:pPr>
              <w:spacing w:after="0"/>
              <w:rPr>
                <w:sz w:val="1"/>
                <w:szCs w:val="1"/>
                <w:color w:val="auto"/>
              </w:rPr>
            </w:pPr>
          </w:p>
        </w:tc>
      </w:tr>
      <w:tr>
        <w:trPr>
          <w:trHeight w:val="81"/>
        </w:trPr>
        <w:tc>
          <w:tcPr>
            <w:tcW w:w="426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1140" w:type="dxa"/>
            <w:vAlign w:val="bottom"/>
            <w:tcBorders>
              <w:bottom w:val="single" w:sz="8" w:color="auto"/>
              <w:right w:val="single" w:sz="8" w:color="auto"/>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shd w:val="clear" w:color="auto" w:fill="F2F2F2"/>
          </w:tcPr>
          <w:p>
            <w:pPr>
              <w:ind w:left="60"/>
              <w:spacing w:after="0" w:line="164" w:lineRule="exact"/>
              <w:rPr>
                <w:sz w:val="20"/>
                <w:szCs w:val="20"/>
                <w:color w:val="auto"/>
              </w:rPr>
            </w:pPr>
            <w:r>
              <w:rPr>
                <w:rFonts w:ascii="Arial" w:cs="Arial" w:eastAsia="Arial" w:hAnsi="Arial"/>
                <w:sz w:val="15"/>
                <w:szCs w:val="15"/>
                <w:b w:val="1"/>
                <w:bCs w:val="1"/>
                <w:color w:val="auto"/>
              </w:rPr>
              <w:t>Non-renewable sources</w:t>
            </w:r>
          </w:p>
        </w:tc>
        <w:tc>
          <w:tcPr>
            <w:tcW w:w="114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3,713.47</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tcPr>
          <w:p>
            <w:pPr>
              <w:ind w:left="220"/>
              <w:spacing w:after="0" w:line="164" w:lineRule="exact"/>
              <w:rPr>
                <w:sz w:val="20"/>
                <w:szCs w:val="20"/>
                <w:color w:val="auto"/>
              </w:rPr>
            </w:pPr>
            <w:r>
              <w:rPr>
                <w:rFonts w:ascii="Arial" w:cs="Arial" w:eastAsia="Arial" w:hAnsi="Arial"/>
                <w:sz w:val="15"/>
                <w:szCs w:val="15"/>
                <w:color w:val="auto"/>
              </w:rPr>
              <w:t>Diesel</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2,417.61</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tcPr>
          <w:p>
            <w:pPr>
              <w:ind w:left="220"/>
              <w:spacing w:after="0" w:line="164" w:lineRule="exact"/>
              <w:rPr>
                <w:sz w:val="20"/>
                <w:szCs w:val="20"/>
                <w:color w:val="auto"/>
              </w:rPr>
            </w:pPr>
            <w:r>
              <w:rPr>
                <w:rFonts w:ascii="Arial" w:cs="Arial" w:eastAsia="Arial" w:hAnsi="Arial"/>
                <w:sz w:val="15"/>
                <w:szCs w:val="15"/>
                <w:color w:val="auto"/>
              </w:rPr>
              <w:t>GLP</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249.37</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tcPr>
          <w:p>
            <w:pPr>
              <w:ind w:left="220"/>
              <w:spacing w:after="0" w:line="164" w:lineRule="exact"/>
              <w:rPr>
                <w:sz w:val="20"/>
                <w:szCs w:val="20"/>
                <w:color w:val="auto"/>
              </w:rPr>
            </w:pPr>
            <w:r>
              <w:rPr>
                <w:rFonts w:ascii="Arial" w:cs="Arial" w:eastAsia="Arial" w:hAnsi="Arial"/>
                <w:sz w:val="15"/>
                <w:szCs w:val="15"/>
                <w:color w:val="auto"/>
              </w:rPr>
              <w:t>Natural gas</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455.22</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tcPr>
          <w:p>
            <w:pPr>
              <w:ind w:left="220"/>
              <w:spacing w:after="0" w:line="164" w:lineRule="exact"/>
              <w:rPr>
                <w:sz w:val="20"/>
                <w:szCs w:val="20"/>
                <w:color w:val="auto"/>
              </w:rPr>
            </w:pPr>
            <w:r>
              <w:rPr>
                <w:rFonts w:ascii="Arial" w:cs="Arial" w:eastAsia="Arial" w:hAnsi="Arial"/>
                <w:sz w:val="15"/>
                <w:szCs w:val="15"/>
                <w:color w:val="auto"/>
              </w:rPr>
              <w:t>Gasoline</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591.27</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tcPr>
          <w:p>
            <w:pPr>
              <w:ind w:left="220"/>
              <w:spacing w:after="0" w:line="164" w:lineRule="exact"/>
              <w:rPr>
                <w:sz w:val="20"/>
                <w:szCs w:val="20"/>
                <w:color w:val="auto"/>
              </w:rPr>
            </w:pPr>
            <w:r>
              <w:rPr>
                <w:rFonts w:ascii="Arial" w:cs="Arial" w:eastAsia="Arial" w:hAnsi="Arial"/>
                <w:sz w:val="15"/>
                <w:szCs w:val="15"/>
                <w:color w:val="auto"/>
              </w:rPr>
              <w:t>Other</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shd w:val="clear" w:color="auto" w:fill="F2F2F2"/>
          </w:tcPr>
          <w:p>
            <w:pPr>
              <w:ind w:left="60"/>
              <w:spacing w:after="0" w:line="164" w:lineRule="exact"/>
              <w:rPr>
                <w:sz w:val="20"/>
                <w:szCs w:val="20"/>
                <w:color w:val="auto"/>
              </w:rPr>
            </w:pPr>
            <w:r>
              <w:rPr>
                <w:rFonts w:ascii="Arial" w:cs="Arial" w:eastAsia="Arial" w:hAnsi="Arial"/>
                <w:sz w:val="15"/>
                <w:szCs w:val="15"/>
                <w:b w:val="1"/>
                <w:bCs w:val="1"/>
                <w:color w:val="auto"/>
              </w:rPr>
              <w:t>Renewable sources (biofuel, biomass, etc.)</w:t>
            </w:r>
          </w:p>
        </w:tc>
        <w:tc>
          <w:tcPr>
            <w:tcW w:w="114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181.44</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shd w:val="clear" w:color="auto" w:fill="F2F2F2"/>
          </w:tcPr>
          <w:p>
            <w:pPr>
              <w:ind w:left="60"/>
              <w:spacing w:after="0" w:line="164" w:lineRule="exact"/>
              <w:rPr>
                <w:sz w:val="20"/>
                <w:szCs w:val="20"/>
                <w:color w:val="auto"/>
              </w:rPr>
            </w:pPr>
            <w:r>
              <w:rPr>
                <w:rFonts w:ascii="Arial" w:cs="Arial" w:eastAsia="Arial" w:hAnsi="Arial"/>
                <w:sz w:val="15"/>
                <w:szCs w:val="15"/>
                <w:b w:val="1"/>
                <w:bCs w:val="1"/>
                <w:color w:val="auto"/>
              </w:rPr>
              <w:t>Electricity consumption</w:t>
            </w:r>
          </w:p>
        </w:tc>
        <w:tc>
          <w:tcPr>
            <w:tcW w:w="114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74,476.38</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Total non-renewable energy consumption</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34,681.87</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Total renewable energy consumption</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43,689.42</w:t>
            </w:r>
          </w:p>
        </w:tc>
        <w:tc>
          <w:tcPr>
            <w:tcW w:w="0" w:type="dxa"/>
            <w:vAlign w:val="bottom"/>
          </w:tcPr>
          <w:p>
            <w:pPr>
              <w:spacing w:after="0"/>
              <w:rPr>
                <w:sz w:val="1"/>
                <w:szCs w:val="1"/>
                <w:color w:val="auto"/>
              </w:rPr>
            </w:pPr>
          </w:p>
        </w:tc>
      </w:tr>
      <w:tr>
        <w:trPr>
          <w:trHeight w:val="164"/>
        </w:trPr>
        <w:tc>
          <w:tcPr>
            <w:tcW w:w="4260" w:type="dxa"/>
            <w:vAlign w:val="bottom"/>
            <w:tcBorders>
              <w:left w:val="single" w:sz="8" w:color="auto"/>
              <w:bottom w:val="single" w:sz="8" w:color="auto"/>
              <w:right w:val="single" w:sz="8" w:color="auto"/>
            </w:tcBorders>
            <w:shd w:val="clear" w:color="auto" w:fill="F2F2F2"/>
          </w:tcPr>
          <w:p>
            <w:pPr>
              <w:ind w:left="60"/>
              <w:spacing w:after="0" w:line="164" w:lineRule="exact"/>
              <w:rPr>
                <w:sz w:val="20"/>
                <w:szCs w:val="20"/>
                <w:color w:val="auto"/>
              </w:rPr>
            </w:pPr>
            <w:r>
              <w:rPr>
                <w:rFonts w:ascii="Arial" w:cs="Arial" w:eastAsia="Arial" w:hAnsi="Arial"/>
                <w:sz w:val="15"/>
                <w:szCs w:val="15"/>
                <w:b w:val="1"/>
                <w:bCs w:val="1"/>
                <w:color w:val="auto"/>
              </w:rPr>
              <w:t>Total energy consumption</w:t>
            </w:r>
          </w:p>
        </w:tc>
        <w:tc>
          <w:tcPr>
            <w:tcW w:w="1140" w:type="dxa"/>
            <w:vAlign w:val="bottom"/>
            <w:tcBorders>
              <w:bottom w:val="single" w:sz="8" w:color="auto"/>
              <w:right w:val="single" w:sz="8" w:color="auto"/>
            </w:tcBorders>
            <w:shd w:val="clear" w:color="auto" w:fill="F2F2F2"/>
          </w:tcPr>
          <w:p>
            <w:pPr>
              <w:jc w:val="center"/>
              <w:spacing w:after="0" w:line="164" w:lineRule="exact"/>
              <w:rPr>
                <w:sz w:val="20"/>
                <w:szCs w:val="20"/>
                <w:color w:val="auto"/>
              </w:rPr>
            </w:pPr>
            <w:r>
              <w:rPr>
                <w:rFonts w:ascii="Arial" w:cs="Arial" w:eastAsia="Arial" w:hAnsi="Arial"/>
                <w:sz w:val="15"/>
                <w:szCs w:val="15"/>
                <w:color w:val="auto"/>
              </w:rPr>
              <w:t>78,371.29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Water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3433445"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303-5</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1660" w:type="dxa"/>
            <w:vAlign w:val="bottom"/>
            <w:tcBorders>
              <w:top w:val="single" w:sz="8" w:color="BFBFBF"/>
              <w:left w:val="single" w:sz="8" w:color="BFBFBF"/>
              <w:right w:val="single" w:sz="8" w:color="BFBFBF"/>
            </w:tcBorders>
            <w:vMerge w:val="restart"/>
            <w:shd w:val="clear" w:color="auto" w:fill="F2F2F2"/>
          </w:tcPr>
          <w:p>
            <w:pPr>
              <w:ind w:left="480"/>
              <w:spacing w:after="0"/>
              <w:rPr>
                <w:sz w:val="20"/>
                <w:szCs w:val="20"/>
                <w:color w:val="auto"/>
              </w:rPr>
            </w:pPr>
            <w:r>
              <w:rPr>
                <w:rFonts w:ascii="Arial" w:cs="Arial" w:eastAsia="Arial" w:hAnsi="Arial"/>
                <w:sz w:val="15"/>
                <w:szCs w:val="15"/>
                <w:b w:val="1"/>
                <w:bCs w:val="1"/>
                <w:color w:val="auto"/>
              </w:rPr>
              <w:t>Company</w:t>
            </w:r>
          </w:p>
        </w:tc>
        <w:tc>
          <w:tcPr>
            <w:tcW w:w="3220" w:type="dxa"/>
            <w:vAlign w:val="bottom"/>
            <w:tcBorders>
              <w:top w:val="single" w:sz="8" w:color="BFBFBF"/>
              <w:right w:val="single" w:sz="8" w:color="BFBFBF"/>
            </w:tcBorders>
            <w:shd w:val="clear" w:color="auto" w:fill="F2F2F2"/>
          </w:tcPr>
          <w:p>
            <w:pPr>
              <w:jc w:val="center"/>
              <w:spacing w:after="0" w:line="156" w:lineRule="exact"/>
              <w:rPr>
                <w:sz w:val="20"/>
                <w:szCs w:val="20"/>
                <w:color w:val="auto"/>
              </w:rPr>
            </w:pPr>
            <w:r>
              <w:rPr>
                <w:rFonts w:ascii="Arial" w:cs="Arial" w:eastAsia="Arial" w:hAnsi="Arial"/>
                <w:sz w:val="15"/>
                <w:szCs w:val="15"/>
                <w:b w:val="1"/>
                <w:bCs w:val="1"/>
                <w:color w:val="auto"/>
              </w:rPr>
              <w:t>Water consumption 2022</w:t>
            </w:r>
          </w:p>
        </w:tc>
        <w:tc>
          <w:tcPr>
            <w:tcW w:w="0" w:type="dxa"/>
            <w:vAlign w:val="bottom"/>
          </w:tcPr>
          <w:p>
            <w:pPr>
              <w:spacing w:after="0"/>
              <w:rPr>
                <w:sz w:val="1"/>
                <w:szCs w:val="1"/>
                <w:color w:val="auto"/>
              </w:rPr>
            </w:pPr>
          </w:p>
        </w:tc>
      </w:tr>
      <w:tr>
        <w:trPr>
          <w:trHeight w:val="120"/>
        </w:trPr>
        <w:tc>
          <w:tcPr>
            <w:tcW w:w="1660" w:type="dxa"/>
            <w:vAlign w:val="bottom"/>
            <w:tcBorders>
              <w:left w:val="single" w:sz="8" w:color="BFBFBF"/>
              <w:right w:val="single" w:sz="8" w:color="BFBFBF"/>
            </w:tcBorders>
            <w:vMerge w:val="continue"/>
            <w:shd w:val="clear" w:color="auto" w:fill="F2F2F2"/>
          </w:tcPr>
          <w:p>
            <w:pPr>
              <w:spacing w:after="0"/>
              <w:rPr>
                <w:sz w:val="10"/>
                <w:szCs w:val="10"/>
                <w:color w:val="auto"/>
              </w:rPr>
            </w:pPr>
          </w:p>
        </w:tc>
        <w:tc>
          <w:tcPr>
            <w:tcW w:w="3220" w:type="dxa"/>
            <w:vAlign w:val="bottom"/>
            <w:tcBorders>
              <w:right w:val="single" w:sz="8" w:color="BFBFBF"/>
            </w:tcBorders>
            <w:vMerge w:val="restart"/>
            <w:shd w:val="clear" w:color="auto" w:fill="F2F2F2"/>
          </w:tcPr>
          <w:p>
            <w:pPr>
              <w:jc w:val="center"/>
              <w:spacing w:after="0" w:line="201" w:lineRule="exact"/>
              <w:rPr>
                <w:sz w:val="20"/>
                <w:szCs w:val="20"/>
                <w:color w:val="auto"/>
              </w:rPr>
            </w:pPr>
            <w:r>
              <w:rPr>
                <w:rFonts w:ascii="Arial" w:cs="Arial" w:eastAsia="Arial" w:hAnsi="Arial"/>
                <w:sz w:val="14"/>
                <w:szCs w:val="14"/>
                <w:b w:val="1"/>
                <w:bCs w:val="1"/>
                <w:color w:val="auto"/>
              </w:rPr>
              <w:t>(in m</w:t>
            </w:r>
            <w:r>
              <w:rPr>
                <w:rFonts w:ascii="Arial" w:cs="Arial" w:eastAsia="Arial" w:hAnsi="Arial"/>
                <w:sz w:val="23"/>
                <w:szCs w:val="23"/>
                <w:b w:val="1"/>
                <w:bCs w:val="1"/>
                <w:color w:val="auto"/>
                <w:vertAlign w:val="superscript"/>
              </w:rPr>
              <w:t>3</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1660" w:type="dxa"/>
            <w:vAlign w:val="bottom"/>
            <w:tcBorders>
              <w:left w:val="single" w:sz="8" w:color="BFBFBF"/>
              <w:bottom w:val="single" w:sz="8" w:color="BFBFBF"/>
              <w:right w:val="single" w:sz="8" w:color="BFBFBF"/>
            </w:tcBorders>
            <w:shd w:val="clear" w:color="auto" w:fill="F2F2F2"/>
          </w:tcPr>
          <w:p>
            <w:pPr>
              <w:spacing w:after="0"/>
              <w:rPr>
                <w:sz w:val="7"/>
                <w:szCs w:val="7"/>
                <w:color w:val="auto"/>
              </w:rPr>
            </w:pPr>
          </w:p>
        </w:tc>
        <w:tc>
          <w:tcPr>
            <w:tcW w:w="3220" w:type="dxa"/>
            <w:vAlign w:val="bottom"/>
            <w:tcBorders>
              <w:bottom w:val="single" w:sz="8" w:color="BFBFBF"/>
              <w:right w:val="single" w:sz="8" w:color="BFBFBF"/>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60" w:type="dxa"/>
            <w:vAlign w:val="bottom"/>
            <w:tcBorders>
              <w:left w:val="single" w:sz="8" w:color="BFBFBF"/>
              <w:bottom w:val="single" w:sz="8" w:color="BFBFBF"/>
              <w:right w:val="single" w:sz="8" w:color="BFBFBF"/>
            </w:tcBorders>
          </w:tcPr>
          <w:p>
            <w:pPr>
              <w:ind w:left="20"/>
              <w:spacing w:after="0" w:line="164" w:lineRule="exact"/>
              <w:rPr>
                <w:sz w:val="20"/>
                <w:szCs w:val="20"/>
                <w:color w:val="auto"/>
              </w:rPr>
            </w:pPr>
            <w:r>
              <w:rPr>
                <w:rFonts w:ascii="Arial" w:cs="Arial" w:eastAsia="Arial" w:hAnsi="Arial"/>
                <w:sz w:val="15"/>
                <w:szCs w:val="15"/>
                <w:color w:val="auto"/>
              </w:rPr>
              <w:t>Credicorp</w:t>
            </w:r>
          </w:p>
        </w:tc>
        <w:tc>
          <w:tcPr>
            <w:tcW w:w="3220" w:type="dxa"/>
            <w:vAlign w:val="bottom"/>
            <w:tcBorders>
              <w:bottom w:val="single" w:sz="8" w:color="BFBFBF"/>
              <w:right w:val="single" w:sz="8" w:color="BFBFBF"/>
            </w:tcBorders>
          </w:tcPr>
          <w:p>
            <w:pPr>
              <w:jc w:val="center"/>
              <w:spacing w:after="0" w:line="164" w:lineRule="exact"/>
              <w:rPr>
                <w:sz w:val="20"/>
                <w:szCs w:val="20"/>
                <w:color w:val="auto"/>
              </w:rPr>
            </w:pPr>
            <w:r>
              <w:rPr>
                <w:rFonts w:ascii="Arial" w:cs="Arial" w:eastAsia="Arial" w:hAnsi="Arial"/>
                <w:sz w:val="15"/>
                <w:szCs w:val="15"/>
                <w:color w:val="auto"/>
              </w:rPr>
              <w:t>632,801</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3433445"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306-3, 306-4, 306-5</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380" w:type="dxa"/>
            <w:vAlign w:val="bottom"/>
            <w:tcBorders>
              <w:top w:val="single" w:sz="8" w:color="auto"/>
              <w:left w:val="single" w:sz="8" w:color="auto"/>
              <w:right w:val="single" w:sz="8" w:color="auto"/>
            </w:tcBorders>
            <w:shd w:val="clear" w:color="auto" w:fill="F2F2F2"/>
          </w:tcPr>
          <w:p>
            <w:pPr>
              <w:spacing w:after="0"/>
              <w:rPr>
                <w:sz w:val="14"/>
                <w:szCs w:val="14"/>
                <w:color w:val="auto"/>
              </w:rPr>
            </w:pPr>
          </w:p>
        </w:tc>
        <w:tc>
          <w:tcPr>
            <w:tcW w:w="260" w:type="dxa"/>
            <w:vAlign w:val="bottom"/>
            <w:tcBorders>
              <w:top w:val="single" w:sz="8" w:color="auto"/>
              <w:right w:val="single" w:sz="8" w:color="F2F2F2"/>
            </w:tcBorders>
            <w:shd w:val="clear" w:color="auto" w:fill="F2F2F2"/>
          </w:tcPr>
          <w:p>
            <w:pPr>
              <w:spacing w:after="0"/>
              <w:rPr>
                <w:sz w:val="14"/>
                <w:szCs w:val="14"/>
                <w:color w:val="auto"/>
              </w:rPr>
            </w:pPr>
          </w:p>
        </w:tc>
        <w:tc>
          <w:tcPr>
            <w:tcW w:w="40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right w:val="single" w:sz="8" w:color="auto"/>
            </w:tcBorders>
            <w:shd w:val="clear" w:color="auto" w:fill="F2F2F2"/>
          </w:tcPr>
          <w:p>
            <w:pPr>
              <w:spacing w:after="0"/>
              <w:rPr>
                <w:sz w:val="14"/>
                <w:szCs w:val="14"/>
                <w:color w:val="auto"/>
              </w:rPr>
            </w:pPr>
          </w:p>
        </w:tc>
        <w:tc>
          <w:tcPr>
            <w:tcW w:w="8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w w:val="99"/>
              </w:rPr>
              <w:t>Non-</w:t>
            </w:r>
          </w:p>
        </w:tc>
        <w:tc>
          <w:tcPr>
            <w:tcW w:w="800" w:type="dxa"/>
            <w:vAlign w:val="bottom"/>
            <w:tcBorders>
              <w:top w:val="single" w:sz="8" w:color="auto"/>
              <w:right w:val="single" w:sz="8" w:color="auto"/>
            </w:tcBorders>
            <w:shd w:val="clear" w:color="auto" w:fill="F2F2F2"/>
          </w:tcPr>
          <w:p>
            <w:pPr>
              <w:spacing w:after="0"/>
              <w:rPr>
                <w:sz w:val="14"/>
                <w:szCs w:val="14"/>
                <w:color w:val="auto"/>
              </w:rPr>
            </w:pPr>
          </w:p>
        </w:tc>
        <w:tc>
          <w:tcPr>
            <w:tcW w:w="780" w:type="dxa"/>
            <w:vAlign w:val="bottom"/>
            <w:tcBorders>
              <w:top w:val="single" w:sz="8" w:color="auto"/>
              <w:right w:val="single" w:sz="8" w:color="auto"/>
            </w:tcBorders>
            <w:gridSpan w:val="2"/>
            <w:shd w:val="clear" w:color="auto" w:fill="F2F2F2"/>
          </w:tcPr>
          <w:p>
            <w:pPr>
              <w:jc w:val="center"/>
              <w:ind w:right="20"/>
              <w:spacing w:after="0" w:line="166" w:lineRule="exact"/>
              <w:rPr>
                <w:sz w:val="20"/>
                <w:szCs w:val="20"/>
                <w:color w:val="auto"/>
              </w:rPr>
            </w:pPr>
            <w:r>
              <w:rPr>
                <w:rFonts w:ascii="Arial" w:cs="Arial" w:eastAsia="Arial" w:hAnsi="Arial"/>
                <w:sz w:val="15"/>
                <w:szCs w:val="15"/>
                <w:b w:val="1"/>
                <w:bCs w:val="1"/>
                <w:color w:val="auto"/>
              </w:rPr>
              <w:t>Total</w:t>
            </w:r>
          </w:p>
        </w:tc>
        <w:tc>
          <w:tcPr>
            <w:tcW w:w="840" w:type="dxa"/>
            <w:vAlign w:val="bottom"/>
            <w:tcBorders>
              <w:top w:val="single" w:sz="8" w:color="auto"/>
              <w:right w:val="single" w:sz="8" w:color="auto"/>
            </w:tcBorders>
            <w:shd w:val="clear" w:color="auto" w:fill="F2F2F2"/>
          </w:tcPr>
          <w:p>
            <w:pPr>
              <w:jc w:val="center"/>
              <w:spacing w:after="0" w:line="16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right w:val="single" w:sz="8" w:color="auto"/>
            </w:tcBorders>
            <w:shd w:val="clear" w:color="auto" w:fill="F2F2F2"/>
          </w:tcPr>
          <w:p>
            <w:pPr>
              <w:spacing w:after="0"/>
              <w:rPr>
                <w:sz w:val="7"/>
                <w:szCs w:val="7"/>
                <w:color w:val="auto"/>
              </w:rPr>
            </w:pPr>
          </w:p>
        </w:tc>
        <w:tc>
          <w:tcPr>
            <w:tcW w:w="800" w:type="dxa"/>
            <w:vAlign w:val="bottom"/>
            <w:tcBorders>
              <w:right w:val="single" w:sz="8" w:color="auto"/>
            </w:tcBorders>
            <w:gridSpan w:val="3"/>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Hazardous</w:t>
            </w:r>
          </w:p>
        </w:tc>
        <w:tc>
          <w:tcPr>
            <w:tcW w:w="820" w:type="dxa"/>
            <w:vAlign w:val="bottom"/>
            <w:tcBorders>
              <w:right w:val="single" w:sz="8" w:color="auto"/>
            </w:tcBorders>
            <w:vMerge w:val="continue"/>
            <w:shd w:val="clear" w:color="auto" w:fill="F2F2F2"/>
          </w:tcPr>
          <w:p>
            <w:pPr>
              <w:spacing w:after="0"/>
              <w:rPr>
                <w:sz w:val="7"/>
                <w:szCs w:val="7"/>
                <w:color w:val="auto"/>
              </w:rPr>
            </w:pP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Total</w:t>
            </w:r>
          </w:p>
        </w:tc>
        <w:tc>
          <w:tcPr>
            <w:tcW w:w="780" w:type="dxa"/>
            <w:vAlign w:val="bottom"/>
            <w:tcBorders>
              <w:right w:val="single" w:sz="8" w:color="auto"/>
            </w:tcBorders>
            <w:gridSpan w:val="2"/>
            <w:vMerge w:val="restart"/>
            <w:shd w:val="clear" w:color="auto" w:fill="F2F2F2"/>
          </w:tcPr>
          <w:p>
            <w:pPr>
              <w:jc w:val="center"/>
              <w:ind w:right="20"/>
              <w:spacing w:after="0"/>
              <w:rPr>
                <w:sz w:val="20"/>
                <w:szCs w:val="20"/>
                <w:color w:val="auto"/>
              </w:rPr>
            </w:pPr>
            <w:r>
              <w:rPr>
                <w:rFonts w:ascii="Arial" w:cs="Arial" w:eastAsia="Arial" w:hAnsi="Arial"/>
                <w:sz w:val="15"/>
                <w:szCs w:val="15"/>
                <w:b w:val="1"/>
                <w:bCs w:val="1"/>
                <w:color w:val="auto"/>
              </w:rPr>
              <w:t>waste</w:t>
            </w:r>
          </w:p>
        </w:tc>
        <w:tc>
          <w:tcPr>
            <w:tcW w:w="8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waste</w:t>
            </w:r>
          </w:p>
        </w:tc>
        <w:tc>
          <w:tcPr>
            <w:tcW w:w="0" w:type="dxa"/>
            <w:vAlign w:val="bottom"/>
          </w:tcPr>
          <w:p>
            <w:pPr>
              <w:spacing w:after="0"/>
              <w:rPr>
                <w:sz w:val="1"/>
                <w:szCs w:val="1"/>
                <w:color w:val="auto"/>
              </w:rPr>
            </w:pPr>
          </w:p>
        </w:tc>
      </w:tr>
      <w:tr>
        <w:trPr>
          <w:trHeight w:val="157"/>
        </w:trPr>
        <w:tc>
          <w:tcPr>
            <w:tcW w:w="1380" w:type="dxa"/>
            <w:vAlign w:val="bottom"/>
            <w:tcBorders>
              <w:left w:val="single" w:sz="8" w:color="auto"/>
              <w:right w:val="single" w:sz="8" w:color="auto"/>
            </w:tcBorders>
            <w:vMerge w:val="restart"/>
            <w:shd w:val="clear" w:color="auto" w:fill="F2F2F2"/>
          </w:tcPr>
          <w:p>
            <w:pPr>
              <w:ind w:left="280"/>
              <w:spacing w:after="0"/>
              <w:rPr>
                <w:sz w:val="20"/>
                <w:szCs w:val="20"/>
                <w:color w:val="auto"/>
              </w:rPr>
            </w:pPr>
            <w:r>
              <w:rPr>
                <w:rFonts w:ascii="Arial" w:cs="Arial" w:eastAsia="Arial" w:hAnsi="Arial"/>
                <w:sz w:val="15"/>
                <w:szCs w:val="15"/>
                <w:b w:val="1"/>
                <w:bCs w:val="1"/>
                <w:color w:val="auto"/>
              </w:rPr>
              <w:t>Waste type</w:t>
            </w:r>
          </w:p>
        </w:tc>
        <w:tc>
          <w:tcPr>
            <w:tcW w:w="800" w:type="dxa"/>
            <w:vAlign w:val="bottom"/>
            <w:tcBorders>
              <w:right w:val="single" w:sz="8" w:color="auto"/>
            </w:tcBorders>
            <w:gridSpan w:val="3"/>
            <w:vMerge w:val="continue"/>
            <w:shd w:val="clear" w:color="auto" w:fill="F2F2F2"/>
          </w:tcPr>
          <w:p>
            <w:pPr>
              <w:spacing w:after="0"/>
              <w:rPr>
                <w:sz w:val="13"/>
                <w:szCs w:val="13"/>
                <w:color w:val="auto"/>
              </w:rPr>
            </w:pPr>
          </w:p>
        </w:tc>
        <w:tc>
          <w:tcPr>
            <w:tcW w:w="820" w:type="dxa"/>
            <w:vAlign w:val="bottom"/>
            <w:tcBorders>
              <w:right w:val="single" w:sz="8" w:color="auto"/>
            </w:tcBorders>
            <w:shd w:val="clear" w:color="auto" w:fill="F2F2F2"/>
          </w:tcPr>
          <w:p>
            <w:pPr>
              <w:jc w:val="center"/>
              <w:spacing w:after="0" w:line="157" w:lineRule="exact"/>
              <w:rPr>
                <w:sz w:val="20"/>
                <w:szCs w:val="20"/>
                <w:color w:val="auto"/>
              </w:rPr>
            </w:pPr>
            <w:r>
              <w:rPr>
                <w:rFonts w:ascii="Arial" w:cs="Arial" w:eastAsia="Arial" w:hAnsi="Arial"/>
                <w:sz w:val="15"/>
                <w:szCs w:val="15"/>
                <w:b w:val="1"/>
                <w:bCs w:val="1"/>
                <w:color w:val="auto"/>
              </w:rPr>
              <w:t>hazardous</w:t>
            </w:r>
          </w:p>
        </w:tc>
        <w:tc>
          <w:tcPr>
            <w:tcW w:w="800" w:type="dxa"/>
            <w:vAlign w:val="bottom"/>
            <w:tcBorders>
              <w:right w:val="single" w:sz="8" w:color="auto"/>
            </w:tcBorders>
            <w:vMerge w:val="continue"/>
            <w:shd w:val="clear" w:color="auto" w:fill="F2F2F2"/>
          </w:tcPr>
          <w:p>
            <w:pPr>
              <w:spacing w:after="0"/>
              <w:rPr>
                <w:sz w:val="13"/>
                <w:szCs w:val="13"/>
                <w:color w:val="auto"/>
              </w:rPr>
            </w:pPr>
          </w:p>
        </w:tc>
        <w:tc>
          <w:tcPr>
            <w:tcW w:w="780" w:type="dxa"/>
            <w:vAlign w:val="bottom"/>
            <w:tcBorders>
              <w:right w:val="single" w:sz="8" w:color="auto"/>
            </w:tcBorders>
            <w:gridSpan w:val="2"/>
            <w:vMerge w:val="continue"/>
            <w:shd w:val="clear" w:color="auto" w:fill="F2F2F2"/>
          </w:tcPr>
          <w:p>
            <w:pPr>
              <w:spacing w:after="0"/>
              <w:rPr>
                <w:sz w:val="13"/>
                <w:szCs w:val="13"/>
                <w:color w:val="auto"/>
              </w:rPr>
            </w:pPr>
          </w:p>
        </w:tc>
        <w:tc>
          <w:tcPr>
            <w:tcW w:w="840" w:type="dxa"/>
            <w:vAlign w:val="bottom"/>
            <w:tcBorders>
              <w:right w:val="single" w:sz="8" w:color="auto"/>
            </w:tcBorders>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660" w:type="dxa"/>
            <w:vAlign w:val="bottom"/>
            <w:gridSpan w:val="2"/>
            <w:shd w:val="clear" w:color="auto" w:fill="F2F2F2"/>
          </w:tcPr>
          <w:p>
            <w:pPr>
              <w:jc w:val="center"/>
              <w:ind w:left="27"/>
              <w:spacing w:after="0" w:line="108" w:lineRule="exact"/>
              <w:rPr>
                <w:sz w:val="20"/>
                <w:szCs w:val="20"/>
                <w:color w:val="auto"/>
              </w:rPr>
            </w:pPr>
            <w:r>
              <w:rPr>
                <w:rFonts w:ascii="Arial" w:cs="Arial" w:eastAsia="Arial" w:hAnsi="Arial"/>
                <w:sz w:val="12"/>
                <w:szCs w:val="12"/>
                <w:b w:val="1"/>
                <w:bCs w:val="1"/>
                <w:color w:val="auto"/>
              </w:rPr>
              <w:t>solid</w:t>
            </w:r>
          </w:p>
        </w:tc>
        <w:tc>
          <w:tcPr>
            <w:tcW w:w="140" w:type="dxa"/>
            <w:vAlign w:val="bottom"/>
            <w:tcBorders>
              <w:right w:val="single" w:sz="8" w:color="auto"/>
            </w:tcBorders>
            <w:shd w:val="clear" w:color="auto" w:fill="F2F2F2"/>
          </w:tcPr>
          <w:p>
            <w:pPr>
              <w:spacing w:after="0"/>
              <w:rPr>
                <w:sz w:val="9"/>
                <w:szCs w:val="9"/>
                <w:color w:val="auto"/>
              </w:rPr>
            </w:pPr>
          </w:p>
        </w:tc>
        <w:tc>
          <w:tcPr>
            <w:tcW w:w="8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solid</w:t>
            </w:r>
          </w:p>
        </w:tc>
        <w:tc>
          <w:tcPr>
            <w:tcW w:w="800" w:type="dxa"/>
            <w:vAlign w:val="bottom"/>
            <w:tcBorders>
              <w:right w:val="single" w:sz="8" w:color="auto"/>
            </w:tcBorders>
            <w:shd w:val="clear" w:color="auto" w:fill="F2F2F2"/>
          </w:tcPr>
          <w:p>
            <w:pPr>
              <w:jc w:val="center"/>
              <w:spacing w:after="0" w:line="108" w:lineRule="exact"/>
              <w:rPr>
                <w:sz w:val="20"/>
                <w:szCs w:val="20"/>
                <w:color w:val="auto"/>
              </w:rPr>
            </w:pPr>
            <w:r>
              <w:rPr>
                <w:rFonts w:ascii="Arial" w:cs="Arial" w:eastAsia="Arial" w:hAnsi="Arial"/>
                <w:sz w:val="12"/>
                <w:szCs w:val="12"/>
                <w:b w:val="1"/>
                <w:bCs w:val="1"/>
                <w:color w:val="auto"/>
              </w:rPr>
              <w:t>waste</w:t>
            </w:r>
          </w:p>
        </w:tc>
        <w:tc>
          <w:tcPr>
            <w:tcW w:w="780" w:type="dxa"/>
            <w:vAlign w:val="bottom"/>
            <w:tcBorders>
              <w:right w:val="single" w:sz="8" w:color="auto"/>
            </w:tcBorders>
            <w:gridSpan w:val="2"/>
            <w:shd w:val="clear" w:color="auto" w:fill="F2F2F2"/>
          </w:tcPr>
          <w:p>
            <w:pPr>
              <w:jc w:val="center"/>
              <w:ind w:right="20"/>
              <w:spacing w:after="0" w:line="108" w:lineRule="exact"/>
              <w:rPr>
                <w:sz w:val="20"/>
                <w:szCs w:val="20"/>
                <w:color w:val="auto"/>
              </w:rPr>
            </w:pPr>
            <w:r>
              <w:rPr>
                <w:rFonts w:ascii="Arial" w:cs="Arial" w:eastAsia="Arial" w:hAnsi="Arial"/>
                <w:sz w:val="12"/>
                <w:szCs w:val="12"/>
                <w:b w:val="1"/>
                <w:bCs w:val="1"/>
                <w:color w:val="auto"/>
              </w:rPr>
              <w:t>reused /</w:t>
            </w:r>
          </w:p>
        </w:tc>
        <w:tc>
          <w:tcPr>
            <w:tcW w:w="840" w:type="dxa"/>
            <w:vAlign w:val="bottom"/>
            <w:tcBorders>
              <w:right w:val="single" w:sz="8" w:color="auto"/>
            </w:tcBorders>
            <w:shd w:val="clear" w:color="auto" w:fill="F2F2F2"/>
          </w:tcPr>
          <w:p>
            <w:pPr>
              <w:jc w:val="center"/>
              <w:spacing w:after="0" w:line="108" w:lineRule="exact"/>
              <w:rPr>
                <w:sz w:val="20"/>
                <w:szCs w:val="20"/>
                <w:color w:val="auto"/>
              </w:rPr>
            </w:pPr>
            <w:r>
              <w:rPr>
                <w:rFonts w:ascii="Arial" w:cs="Arial" w:eastAsia="Arial" w:hAnsi="Arial"/>
                <w:sz w:val="12"/>
                <w:szCs w:val="12"/>
                <w:b w:val="1"/>
                <w:bCs w:val="1"/>
                <w:color w:val="auto"/>
              </w:rPr>
              <w:t>destinated</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right w:val="single" w:sz="8" w:color="auto"/>
            </w:tcBorders>
            <w:shd w:val="clear" w:color="auto" w:fill="F2F2F2"/>
          </w:tcPr>
          <w:p>
            <w:pPr>
              <w:spacing w:after="0"/>
              <w:rPr>
                <w:sz w:val="7"/>
                <w:szCs w:val="7"/>
                <w:color w:val="auto"/>
              </w:rPr>
            </w:pPr>
          </w:p>
        </w:tc>
        <w:tc>
          <w:tcPr>
            <w:tcW w:w="660" w:type="dxa"/>
            <w:vAlign w:val="bottom"/>
            <w:gridSpan w:val="2"/>
            <w:vMerge w:val="restart"/>
            <w:shd w:val="clear" w:color="auto" w:fill="F2F2F2"/>
          </w:tcPr>
          <w:p>
            <w:pPr>
              <w:jc w:val="center"/>
              <w:ind w:left="47"/>
              <w:spacing w:after="0"/>
              <w:rPr>
                <w:sz w:val="20"/>
                <w:szCs w:val="20"/>
                <w:color w:val="auto"/>
              </w:rPr>
            </w:pPr>
            <w:r>
              <w:rPr>
                <w:rFonts w:ascii="Arial" w:cs="Arial" w:eastAsia="Arial" w:hAnsi="Arial"/>
                <w:sz w:val="15"/>
                <w:szCs w:val="15"/>
                <w:b w:val="1"/>
                <w:bCs w:val="1"/>
                <w:color w:val="auto"/>
                <w:w w:val="99"/>
              </w:rPr>
              <w:t>wastes</w:t>
            </w:r>
          </w:p>
        </w:tc>
        <w:tc>
          <w:tcPr>
            <w:tcW w:w="140" w:type="dxa"/>
            <w:vAlign w:val="bottom"/>
            <w:tcBorders>
              <w:right w:val="single" w:sz="8" w:color="auto"/>
            </w:tcBorders>
            <w:shd w:val="clear" w:color="auto" w:fill="F2F2F2"/>
          </w:tcPr>
          <w:p>
            <w:pPr>
              <w:spacing w:after="0"/>
              <w:rPr>
                <w:sz w:val="7"/>
                <w:szCs w:val="7"/>
                <w:color w:val="auto"/>
              </w:rPr>
            </w:pPr>
          </w:p>
        </w:tc>
        <w:tc>
          <w:tcPr>
            <w:tcW w:w="820" w:type="dxa"/>
            <w:vAlign w:val="bottom"/>
            <w:tcBorders>
              <w:right w:val="single" w:sz="8" w:color="auto"/>
            </w:tcBorders>
            <w:vMerge w:val="continue"/>
            <w:shd w:val="clear" w:color="auto" w:fill="F2F2F2"/>
          </w:tcPr>
          <w:p>
            <w:pPr>
              <w:spacing w:after="0"/>
              <w:rPr>
                <w:sz w:val="7"/>
                <w:szCs w:val="7"/>
                <w:color w:val="auto"/>
              </w:rPr>
            </w:pP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generated</w:t>
            </w:r>
          </w:p>
        </w:tc>
        <w:tc>
          <w:tcPr>
            <w:tcW w:w="780" w:type="dxa"/>
            <w:vAlign w:val="bottom"/>
            <w:tcBorders>
              <w:right w:val="single" w:sz="8" w:color="auto"/>
            </w:tcBorders>
            <w:gridSpan w:val="2"/>
            <w:vMerge w:val="restart"/>
            <w:shd w:val="clear" w:color="auto" w:fill="F2F2F2"/>
          </w:tcPr>
          <w:p>
            <w:pPr>
              <w:jc w:val="center"/>
              <w:ind w:right="20"/>
              <w:spacing w:after="0"/>
              <w:rPr>
                <w:sz w:val="20"/>
                <w:szCs w:val="20"/>
                <w:color w:val="auto"/>
              </w:rPr>
            </w:pPr>
            <w:r>
              <w:rPr>
                <w:rFonts w:ascii="Arial" w:cs="Arial" w:eastAsia="Arial" w:hAnsi="Arial"/>
                <w:sz w:val="15"/>
                <w:szCs w:val="15"/>
                <w:b w:val="1"/>
                <w:bCs w:val="1"/>
                <w:color w:val="auto"/>
              </w:rPr>
              <w:t>recycled /</w:t>
            </w:r>
          </w:p>
        </w:tc>
        <w:tc>
          <w:tcPr>
            <w:tcW w:w="8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w w:val="99"/>
              </w:rPr>
              <w:t>for</w:t>
            </w:r>
          </w:p>
        </w:tc>
        <w:tc>
          <w:tcPr>
            <w:tcW w:w="0" w:type="dxa"/>
            <w:vAlign w:val="bottom"/>
          </w:tcPr>
          <w:p>
            <w:pPr>
              <w:spacing w:after="0"/>
              <w:rPr>
                <w:sz w:val="1"/>
                <w:szCs w:val="1"/>
                <w:color w:val="auto"/>
              </w:rPr>
            </w:pPr>
          </w:p>
        </w:tc>
      </w:tr>
      <w:tr>
        <w:trPr>
          <w:trHeight w:val="92"/>
        </w:trPr>
        <w:tc>
          <w:tcPr>
            <w:tcW w:w="1380" w:type="dxa"/>
            <w:vAlign w:val="bottom"/>
            <w:tcBorders>
              <w:left w:val="single" w:sz="8" w:color="auto"/>
              <w:right w:val="single" w:sz="8" w:color="auto"/>
            </w:tcBorders>
            <w:shd w:val="clear" w:color="auto" w:fill="F2F2F2"/>
          </w:tcPr>
          <w:p>
            <w:pPr>
              <w:spacing w:after="0"/>
              <w:rPr>
                <w:sz w:val="8"/>
                <w:szCs w:val="8"/>
                <w:color w:val="auto"/>
              </w:rPr>
            </w:pPr>
          </w:p>
        </w:tc>
        <w:tc>
          <w:tcPr>
            <w:tcW w:w="660" w:type="dxa"/>
            <w:vAlign w:val="bottom"/>
            <w:gridSpan w:val="2"/>
            <w:vMerge w:val="continue"/>
            <w:shd w:val="clear" w:color="auto" w:fill="F2F2F2"/>
          </w:tcPr>
          <w:p>
            <w:pPr>
              <w:spacing w:after="0"/>
              <w:rPr>
                <w:sz w:val="8"/>
                <w:szCs w:val="8"/>
                <w:color w:val="auto"/>
              </w:rPr>
            </w:pPr>
          </w:p>
        </w:tc>
        <w:tc>
          <w:tcPr>
            <w:tcW w:w="140" w:type="dxa"/>
            <w:vAlign w:val="bottom"/>
            <w:tcBorders>
              <w:right w:val="single" w:sz="8" w:color="auto"/>
            </w:tcBorders>
            <w:shd w:val="clear" w:color="auto" w:fill="F2F2F2"/>
          </w:tcPr>
          <w:p>
            <w:pPr>
              <w:spacing w:after="0"/>
              <w:rPr>
                <w:sz w:val="8"/>
                <w:szCs w:val="8"/>
                <w:color w:val="auto"/>
              </w:rPr>
            </w:pPr>
          </w:p>
        </w:tc>
        <w:tc>
          <w:tcPr>
            <w:tcW w:w="8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wastes</w:t>
            </w:r>
          </w:p>
        </w:tc>
        <w:tc>
          <w:tcPr>
            <w:tcW w:w="800" w:type="dxa"/>
            <w:vAlign w:val="bottom"/>
            <w:tcBorders>
              <w:right w:val="single" w:sz="8" w:color="auto"/>
            </w:tcBorders>
            <w:vMerge w:val="continue"/>
            <w:shd w:val="clear" w:color="auto" w:fill="F2F2F2"/>
          </w:tcPr>
          <w:p>
            <w:pPr>
              <w:spacing w:after="0"/>
              <w:rPr>
                <w:sz w:val="8"/>
                <w:szCs w:val="8"/>
                <w:color w:val="auto"/>
              </w:rPr>
            </w:pPr>
          </w:p>
        </w:tc>
        <w:tc>
          <w:tcPr>
            <w:tcW w:w="780" w:type="dxa"/>
            <w:vAlign w:val="bottom"/>
            <w:tcBorders>
              <w:right w:val="single" w:sz="8" w:color="auto"/>
            </w:tcBorders>
            <w:gridSpan w:val="2"/>
            <w:vMerge w:val="continue"/>
            <w:shd w:val="clear" w:color="auto" w:fill="F2F2F2"/>
          </w:tcPr>
          <w:p>
            <w:pPr>
              <w:spacing w:after="0"/>
              <w:rPr>
                <w:sz w:val="8"/>
                <w:szCs w:val="8"/>
                <w:color w:val="auto"/>
              </w:rPr>
            </w:pPr>
          </w:p>
        </w:tc>
        <w:tc>
          <w:tcPr>
            <w:tcW w:w="84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260" w:type="dxa"/>
            <w:vAlign w:val="bottom"/>
            <w:tcBorders>
              <w:right w:val="single" w:sz="8" w:color="F2F2F2"/>
            </w:tcBorders>
            <w:shd w:val="clear" w:color="auto" w:fill="F2F2F2"/>
          </w:tcPr>
          <w:p>
            <w:pPr>
              <w:spacing w:after="0"/>
              <w:rPr>
                <w:sz w:val="9"/>
                <w:szCs w:val="9"/>
                <w:color w:val="auto"/>
              </w:rPr>
            </w:pPr>
          </w:p>
        </w:tc>
        <w:tc>
          <w:tcPr>
            <w:tcW w:w="400" w:type="dxa"/>
            <w:vAlign w:val="bottom"/>
            <w:shd w:val="clear" w:color="auto" w:fill="F2F2F2"/>
          </w:tcPr>
          <w:p>
            <w:pPr>
              <w:spacing w:after="0"/>
              <w:rPr>
                <w:sz w:val="9"/>
                <w:szCs w:val="9"/>
                <w:color w:val="auto"/>
              </w:rPr>
            </w:pPr>
          </w:p>
        </w:tc>
        <w:tc>
          <w:tcPr>
            <w:tcW w:w="140" w:type="dxa"/>
            <w:vAlign w:val="bottom"/>
            <w:tcBorders>
              <w:right w:val="single" w:sz="8" w:color="auto"/>
            </w:tcBorders>
            <w:shd w:val="clear" w:color="auto" w:fill="F2F2F2"/>
          </w:tcPr>
          <w:p>
            <w:pPr>
              <w:spacing w:after="0"/>
              <w:rPr>
                <w:sz w:val="9"/>
                <w:szCs w:val="9"/>
                <w:color w:val="auto"/>
              </w:rPr>
            </w:pPr>
          </w:p>
        </w:tc>
        <w:tc>
          <w:tcPr>
            <w:tcW w:w="820" w:type="dxa"/>
            <w:vAlign w:val="bottom"/>
            <w:tcBorders>
              <w:right w:val="single" w:sz="8" w:color="auto"/>
            </w:tcBorders>
            <w:vMerge w:val="continue"/>
            <w:shd w:val="clear" w:color="auto" w:fill="F2F2F2"/>
          </w:tcPr>
          <w:p>
            <w:pPr>
              <w:spacing w:after="0"/>
              <w:rPr>
                <w:sz w:val="9"/>
                <w:szCs w:val="9"/>
                <w:color w:val="auto"/>
              </w:rPr>
            </w:pPr>
          </w:p>
        </w:tc>
        <w:tc>
          <w:tcPr>
            <w:tcW w:w="800" w:type="dxa"/>
            <w:vAlign w:val="bottom"/>
            <w:tcBorders>
              <w:right w:val="single" w:sz="8" w:color="auto"/>
            </w:tcBorders>
            <w:shd w:val="clear" w:color="auto" w:fill="F2F2F2"/>
          </w:tcPr>
          <w:p>
            <w:pPr>
              <w:spacing w:after="0"/>
              <w:rPr>
                <w:sz w:val="9"/>
                <w:szCs w:val="9"/>
                <w:color w:val="auto"/>
              </w:rPr>
            </w:pPr>
          </w:p>
        </w:tc>
        <w:tc>
          <w:tcPr>
            <w:tcW w:w="780" w:type="dxa"/>
            <w:vAlign w:val="bottom"/>
            <w:tcBorders>
              <w:right w:val="single" w:sz="8" w:color="auto"/>
            </w:tcBorders>
            <w:gridSpan w:val="2"/>
            <w:vMerge w:val="restart"/>
            <w:shd w:val="clear" w:color="auto" w:fill="F2F2F2"/>
          </w:tcPr>
          <w:p>
            <w:pPr>
              <w:jc w:val="center"/>
              <w:ind w:right="20"/>
              <w:spacing w:after="0"/>
              <w:rPr>
                <w:sz w:val="20"/>
                <w:szCs w:val="20"/>
                <w:color w:val="auto"/>
              </w:rPr>
            </w:pPr>
            <w:r>
              <w:rPr>
                <w:rFonts w:ascii="Arial" w:cs="Arial" w:eastAsia="Arial" w:hAnsi="Arial"/>
                <w:sz w:val="15"/>
                <w:szCs w:val="15"/>
                <w:b w:val="1"/>
                <w:bCs w:val="1"/>
                <w:color w:val="auto"/>
              </w:rPr>
              <w:t>sold</w:t>
            </w:r>
          </w:p>
        </w:tc>
        <w:tc>
          <w:tcPr>
            <w:tcW w:w="8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elimination</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260" w:type="dxa"/>
            <w:vAlign w:val="bottom"/>
            <w:tcBorders>
              <w:bottom w:val="single" w:sz="8" w:color="auto"/>
              <w:right w:val="single" w:sz="8" w:color="F2F2F2"/>
            </w:tcBorders>
            <w:shd w:val="clear" w:color="auto" w:fill="F2F2F2"/>
          </w:tcPr>
          <w:p>
            <w:pPr>
              <w:spacing w:after="0"/>
              <w:rPr>
                <w:sz w:val="7"/>
                <w:szCs w:val="7"/>
                <w:color w:val="auto"/>
              </w:rPr>
            </w:pPr>
          </w:p>
        </w:tc>
        <w:tc>
          <w:tcPr>
            <w:tcW w:w="400" w:type="dxa"/>
            <w:vAlign w:val="bottom"/>
            <w:tcBorders>
              <w:bottom w:val="single" w:sz="8" w:color="auto"/>
            </w:tcBorders>
            <w:shd w:val="clear" w:color="auto" w:fill="F2F2F2"/>
          </w:tcPr>
          <w:p>
            <w:pPr>
              <w:spacing w:after="0"/>
              <w:rPr>
                <w:sz w:val="7"/>
                <w:szCs w:val="7"/>
                <w:color w:val="auto"/>
              </w:rPr>
            </w:pPr>
          </w:p>
        </w:tc>
        <w:tc>
          <w:tcPr>
            <w:tcW w:w="140" w:type="dxa"/>
            <w:vAlign w:val="bottom"/>
            <w:tcBorders>
              <w:bottom w:val="single" w:sz="8" w:color="auto"/>
              <w:right w:val="single" w:sz="8" w:color="auto"/>
            </w:tcBorders>
            <w:shd w:val="clear" w:color="auto" w:fill="F2F2F2"/>
          </w:tcPr>
          <w:p>
            <w:pPr>
              <w:spacing w:after="0"/>
              <w:rPr>
                <w:sz w:val="7"/>
                <w:szCs w:val="7"/>
                <w:color w:val="auto"/>
              </w:rPr>
            </w:pPr>
          </w:p>
        </w:tc>
        <w:tc>
          <w:tcPr>
            <w:tcW w:w="820" w:type="dxa"/>
            <w:vAlign w:val="bottom"/>
            <w:tcBorders>
              <w:bottom w:val="single" w:sz="8" w:color="auto"/>
              <w:right w:val="single" w:sz="8" w:color="auto"/>
            </w:tcBorders>
            <w:shd w:val="clear" w:color="auto" w:fill="F2F2F2"/>
          </w:tcPr>
          <w:p>
            <w:pPr>
              <w:spacing w:after="0"/>
              <w:rPr>
                <w:sz w:val="7"/>
                <w:szCs w:val="7"/>
                <w:color w:val="auto"/>
              </w:rPr>
            </w:pPr>
          </w:p>
        </w:tc>
        <w:tc>
          <w:tcPr>
            <w:tcW w:w="800" w:type="dxa"/>
            <w:vAlign w:val="bottom"/>
            <w:tcBorders>
              <w:bottom w:val="single" w:sz="8" w:color="auto"/>
              <w:right w:val="single" w:sz="8" w:color="auto"/>
            </w:tcBorders>
            <w:shd w:val="clear" w:color="auto" w:fill="F2F2F2"/>
          </w:tcPr>
          <w:p>
            <w:pPr>
              <w:spacing w:after="0"/>
              <w:rPr>
                <w:sz w:val="7"/>
                <w:szCs w:val="7"/>
                <w:color w:val="auto"/>
              </w:rPr>
            </w:pPr>
          </w:p>
        </w:tc>
        <w:tc>
          <w:tcPr>
            <w:tcW w:w="780" w:type="dxa"/>
            <w:vAlign w:val="bottom"/>
            <w:tcBorders>
              <w:bottom w:val="single" w:sz="8" w:color="auto"/>
              <w:right w:val="single" w:sz="8" w:color="auto"/>
            </w:tcBorders>
            <w:gridSpan w:val="2"/>
            <w:vMerge w:val="continue"/>
            <w:shd w:val="clear" w:color="auto" w:fill="F2F2F2"/>
          </w:tcPr>
          <w:p>
            <w:pPr>
              <w:spacing w:after="0"/>
              <w:rPr>
                <w:sz w:val="7"/>
                <w:szCs w:val="7"/>
                <w:color w:val="auto"/>
              </w:rPr>
            </w:pPr>
          </w:p>
        </w:tc>
        <w:tc>
          <w:tcPr>
            <w:tcW w:w="840" w:type="dxa"/>
            <w:vAlign w:val="bottom"/>
            <w:tcBorders>
              <w:bottom w:val="single" w:sz="8" w:color="auto"/>
              <w:right w:val="single" w:sz="8" w:color="auto"/>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380" w:type="dxa"/>
            <w:vAlign w:val="bottom"/>
            <w:tcBorders>
              <w:left w:val="single" w:sz="8" w:color="auto"/>
              <w:right w:val="single" w:sz="8" w:color="auto"/>
            </w:tcBorders>
            <w:shd w:val="clear" w:color="auto" w:fill="F2F2F2"/>
          </w:tcPr>
          <w:p>
            <w:pPr>
              <w:ind w:left="80"/>
              <w:spacing w:after="0" w:line="146" w:lineRule="exact"/>
              <w:rPr>
                <w:sz w:val="20"/>
                <w:szCs w:val="20"/>
                <w:color w:val="auto"/>
              </w:rPr>
            </w:pPr>
            <w:r>
              <w:rPr>
                <w:rFonts w:ascii="Arial" w:cs="Arial" w:eastAsia="Arial" w:hAnsi="Arial"/>
                <w:sz w:val="15"/>
                <w:szCs w:val="15"/>
                <w:b w:val="1"/>
                <w:bCs w:val="1"/>
                <w:color w:val="auto"/>
              </w:rPr>
              <w:t>TOTAL Credicorp</w:t>
            </w:r>
          </w:p>
        </w:tc>
        <w:tc>
          <w:tcPr>
            <w:tcW w:w="660" w:type="dxa"/>
            <w:vAlign w:val="bottom"/>
            <w:gridSpan w:val="2"/>
            <w:shd w:val="clear" w:color="auto" w:fill="F2F2F2"/>
          </w:tcPr>
          <w:p>
            <w:pPr>
              <w:jc w:val="center"/>
              <w:ind w:left="47"/>
              <w:spacing w:after="0" w:line="146" w:lineRule="exact"/>
              <w:rPr>
                <w:sz w:val="20"/>
                <w:szCs w:val="20"/>
                <w:color w:val="auto"/>
              </w:rPr>
            </w:pPr>
            <w:r>
              <w:rPr>
                <w:rFonts w:ascii="Arial" w:cs="Arial" w:eastAsia="Arial" w:hAnsi="Arial"/>
                <w:sz w:val="15"/>
                <w:szCs w:val="15"/>
                <w:color w:val="auto"/>
              </w:rPr>
              <w:t>0.00</w:t>
            </w:r>
          </w:p>
        </w:tc>
        <w:tc>
          <w:tcPr>
            <w:tcW w:w="140" w:type="dxa"/>
            <w:vAlign w:val="bottom"/>
            <w:tcBorders>
              <w:right w:val="single" w:sz="8" w:color="auto"/>
            </w:tcBorders>
            <w:shd w:val="clear" w:color="auto" w:fill="F2F2F2"/>
          </w:tcPr>
          <w:p>
            <w:pPr>
              <w:spacing w:after="0"/>
              <w:rPr>
                <w:sz w:val="12"/>
                <w:szCs w:val="12"/>
                <w:color w:val="auto"/>
              </w:rPr>
            </w:pPr>
          </w:p>
        </w:tc>
        <w:tc>
          <w:tcPr>
            <w:tcW w:w="820" w:type="dxa"/>
            <w:vAlign w:val="bottom"/>
            <w:tcBorders>
              <w:right w:val="single" w:sz="8" w:color="auto"/>
            </w:tcBorders>
            <w:shd w:val="clear" w:color="auto" w:fill="F2F2F2"/>
          </w:tcPr>
          <w:p>
            <w:pPr>
              <w:jc w:val="center"/>
              <w:spacing w:after="0" w:line="146" w:lineRule="exact"/>
              <w:rPr>
                <w:sz w:val="20"/>
                <w:szCs w:val="20"/>
                <w:color w:val="auto"/>
              </w:rPr>
            </w:pPr>
            <w:r>
              <w:rPr>
                <w:rFonts w:ascii="Arial" w:cs="Arial" w:eastAsia="Arial" w:hAnsi="Arial"/>
                <w:sz w:val="15"/>
                <w:szCs w:val="15"/>
                <w:color w:val="auto"/>
              </w:rPr>
              <w:t>1,304.04</w:t>
            </w:r>
          </w:p>
        </w:tc>
        <w:tc>
          <w:tcPr>
            <w:tcW w:w="800" w:type="dxa"/>
            <w:vAlign w:val="bottom"/>
            <w:tcBorders>
              <w:right w:val="single" w:sz="8" w:color="auto"/>
            </w:tcBorders>
            <w:shd w:val="clear" w:color="auto" w:fill="F2F2F2"/>
          </w:tcPr>
          <w:p>
            <w:pPr>
              <w:jc w:val="center"/>
              <w:spacing w:after="0" w:line="146" w:lineRule="exact"/>
              <w:rPr>
                <w:sz w:val="20"/>
                <w:szCs w:val="20"/>
                <w:color w:val="auto"/>
              </w:rPr>
            </w:pPr>
            <w:r>
              <w:rPr>
                <w:rFonts w:ascii="Arial" w:cs="Arial" w:eastAsia="Arial" w:hAnsi="Arial"/>
                <w:sz w:val="15"/>
                <w:szCs w:val="15"/>
                <w:color w:val="auto"/>
              </w:rPr>
              <w:t>1,304.04</w:t>
            </w:r>
          </w:p>
        </w:tc>
        <w:tc>
          <w:tcPr>
            <w:tcW w:w="780" w:type="dxa"/>
            <w:vAlign w:val="bottom"/>
            <w:tcBorders>
              <w:right w:val="single" w:sz="8" w:color="auto"/>
            </w:tcBorders>
            <w:gridSpan w:val="2"/>
            <w:shd w:val="clear" w:color="auto" w:fill="F2F2F2"/>
          </w:tcPr>
          <w:p>
            <w:pPr>
              <w:jc w:val="center"/>
              <w:ind w:right="40"/>
              <w:spacing w:after="0" w:line="146" w:lineRule="exact"/>
              <w:rPr>
                <w:sz w:val="20"/>
                <w:szCs w:val="20"/>
                <w:color w:val="auto"/>
              </w:rPr>
            </w:pPr>
            <w:r>
              <w:rPr>
                <w:rFonts w:ascii="Arial" w:cs="Arial" w:eastAsia="Arial" w:hAnsi="Arial"/>
                <w:sz w:val="15"/>
                <w:szCs w:val="15"/>
                <w:color w:val="auto"/>
              </w:rPr>
              <w:t>66.53</w:t>
            </w:r>
          </w:p>
        </w:tc>
        <w:tc>
          <w:tcPr>
            <w:tcW w:w="840" w:type="dxa"/>
            <w:vAlign w:val="bottom"/>
            <w:tcBorders>
              <w:right w:val="single" w:sz="8" w:color="auto"/>
            </w:tcBorders>
            <w:shd w:val="clear" w:color="auto" w:fill="F2F2F2"/>
          </w:tcPr>
          <w:p>
            <w:pPr>
              <w:jc w:val="center"/>
              <w:spacing w:after="0" w:line="146" w:lineRule="exact"/>
              <w:rPr>
                <w:sz w:val="20"/>
                <w:szCs w:val="20"/>
                <w:color w:val="auto"/>
              </w:rPr>
            </w:pPr>
            <w:r>
              <w:rPr>
                <w:rFonts w:ascii="Arial" w:cs="Arial" w:eastAsia="Arial" w:hAnsi="Arial"/>
                <w:sz w:val="15"/>
                <w:szCs w:val="15"/>
                <w:color w:val="auto"/>
              </w:rPr>
              <w:t>1,237.51</w:t>
            </w:r>
          </w:p>
        </w:tc>
        <w:tc>
          <w:tcPr>
            <w:tcW w:w="0" w:type="dxa"/>
            <w:vAlign w:val="bottom"/>
          </w:tcPr>
          <w:p>
            <w:pPr>
              <w:spacing w:after="0"/>
              <w:rPr>
                <w:sz w:val="1"/>
                <w:szCs w:val="1"/>
                <w:color w:val="auto"/>
              </w:rPr>
            </w:pPr>
          </w:p>
        </w:tc>
      </w:tr>
      <w:tr>
        <w:trPr>
          <w:trHeight w:val="192"/>
        </w:trPr>
        <w:tc>
          <w:tcPr>
            <w:tcW w:w="1380" w:type="dxa"/>
            <w:vAlign w:val="bottom"/>
            <w:tcBorders>
              <w:left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5"/>
                <w:szCs w:val="15"/>
                <w:b w:val="1"/>
                <w:bCs w:val="1"/>
                <w:color w:val="auto"/>
              </w:rPr>
              <w:t>(tons)</w:t>
            </w:r>
          </w:p>
        </w:tc>
        <w:tc>
          <w:tcPr>
            <w:tcW w:w="260" w:type="dxa"/>
            <w:vAlign w:val="bottom"/>
            <w:tcBorders>
              <w:bottom w:val="single" w:sz="8" w:color="auto"/>
              <w:right w:val="single" w:sz="8" w:color="F2F2F2"/>
            </w:tcBorders>
            <w:shd w:val="clear" w:color="auto" w:fill="F2F2F2"/>
          </w:tcPr>
          <w:p>
            <w:pPr>
              <w:spacing w:after="0"/>
              <w:rPr>
                <w:sz w:val="16"/>
                <w:szCs w:val="16"/>
                <w:color w:val="auto"/>
              </w:rPr>
            </w:pPr>
          </w:p>
        </w:tc>
        <w:tc>
          <w:tcPr>
            <w:tcW w:w="400" w:type="dxa"/>
            <w:vAlign w:val="bottom"/>
            <w:tcBorders>
              <w:bottom w:val="single" w:sz="8" w:color="auto"/>
            </w:tcBorders>
            <w:shd w:val="clear" w:color="auto" w:fill="F2F2F2"/>
          </w:tcPr>
          <w:p>
            <w:pPr>
              <w:spacing w:after="0"/>
              <w:rPr>
                <w:sz w:val="16"/>
                <w:szCs w:val="16"/>
                <w:color w:val="auto"/>
              </w:rPr>
            </w:pPr>
          </w:p>
        </w:tc>
        <w:tc>
          <w:tcPr>
            <w:tcW w:w="140" w:type="dxa"/>
            <w:vAlign w:val="bottom"/>
            <w:tcBorders>
              <w:bottom w:val="single" w:sz="8" w:color="auto"/>
              <w:right w:val="single" w:sz="8" w:color="auto"/>
            </w:tcBorders>
            <w:shd w:val="clear" w:color="auto" w:fill="F2F2F2"/>
          </w:tcPr>
          <w:p>
            <w:pPr>
              <w:spacing w:after="0"/>
              <w:rPr>
                <w:sz w:val="16"/>
                <w:szCs w:val="16"/>
                <w:color w:val="auto"/>
              </w:rPr>
            </w:pPr>
          </w:p>
        </w:tc>
        <w:tc>
          <w:tcPr>
            <w:tcW w:w="820" w:type="dxa"/>
            <w:vAlign w:val="bottom"/>
            <w:tcBorders>
              <w:bottom w:val="single" w:sz="8" w:color="auto"/>
              <w:right w:val="single" w:sz="8" w:color="auto"/>
            </w:tcBorders>
            <w:shd w:val="clear" w:color="auto" w:fill="F2F2F2"/>
          </w:tcPr>
          <w:p>
            <w:pPr>
              <w:spacing w:after="0"/>
              <w:rPr>
                <w:sz w:val="16"/>
                <w:szCs w:val="16"/>
                <w:color w:val="auto"/>
              </w:rPr>
            </w:pPr>
          </w:p>
        </w:tc>
        <w:tc>
          <w:tcPr>
            <w:tcW w:w="800" w:type="dxa"/>
            <w:vAlign w:val="bottom"/>
            <w:tcBorders>
              <w:bottom w:val="single" w:sz="8" w:color="auto"/>
              <w:right w:val="single" w:sz="8" w:color="auto"/>
            </w:tcBorders>
            <w:shd w:val="clear" w:color="auto" w:fill="F2F2F2"/>
          </w:tcPr>
          <w:p>
            <w:pPr>
              <w:spacing w:after="0"/>
              <w:rPr>
                <w:sz w:val="16"/>
                <w:szCs w:val="16"/>
                <w:color w:val="auto"/>
              </w:rPr>
            </w:pPr>
          </w:p>
        </w:tc>
        <w:tc>
          <w:tcPr>
            <w:tcW w:w="540" w:type="dxa"/>
            <w:vAlign w:val="bottom"/>
            <w:tcBorders>
              <w:bottom w:val="single" w:sz="8" w:color="auto"/>
              <w:right w:val="single" w:sz="8" w:color="F2F2F2"/>
            </w:tcBorders>
            <w:shd w:val="clear" w:color="auto" w:fill="F2F2F2"/>
          </w:tcPr>
          <w:p>
            <w:pPr>
              <w:spacing w:after="0"/>
              <w:rPr>
                <w:sz w:val="16"/>
                <w:szCs w:val="16"/>
                <w:color w:val="auto"/>
              </w:rPr>
            </w:pPr>
          </w:p>
        </w:tc>
        <w:tc>
          <w:tcPr>
            <w:tcW w:w="240" w:type="dxa"/>
            <w:vAlign w:val="bottom"/>
            <w:tcBorders>
              <w:bottom w:val="single" w:sz="8" w:color="auto"/>
              <w:right w:val="single" w:sz="8" w:color="auto"/>
            </w:tcBorders>
            <w:shd w:val="clear" w:color="auto" w:fill="F2F2F2"/>
          </w:tcPr>
          <w:p>
            <w:pPr>
              <w:spacing w:after="0"/>
              <w:rPr>
                <w:sz w:val="16"/>
                <w:szCs w:val="16"/>
                <w:color w:val="auto"/>
              </w:rPr>
            </w:pPr>
          </w:p>
        </w:tc>
        <w:tc>
          <w:tcPr>
            <w:tcW w:w="840" w:type="dxa"/>
            <w:vAlign w:val="bottom"/>
            <w:tcBorders>
              <w:bottom w:val="single" w:sz="8" w:color="auto"/>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80" w:type="dxa"/>
            <w:vAlign w:val="bottom"/>
            <w:tcBorders>
              <w:bottom w:val="single" w:sz="8" w:color="BFBFBF"/>
            </w:tcBorders>
          </w:tcPr>
          <w:p>
            <w:pPr>
              <w:spacing w:after="0"/>
              <w:rPr>
                <w:sz w:val="17"/>
                <w:szCs w:val="17"/>
                <w:color w:val="auto"/>
              </w:rPr>
            </w:pPr>
          </w:p>
        </w:tc>
        <w:tc>
          <w:tcPr>
            <w:tcW w:w="260" w:type="dxa"/>
            <w:vAlign w:val="bottom"/>
            <w:tcBorders>
              <w:bottom w:val="single" w:sz="8" w:color="BFBFBF"/>
            </w:tcBorders>
          </w:tcPr>
          <w:p>
            <w:pPr>
              <w:spacing w:after="0"/>
              <w:rPr>
                <w:sz w:val="17"/>
                <w:szCs w:val="17"/>
                <w:color w:val="auto"/>
              </w:rPr>
            </w:pPr>
          </w:p>
        </w:tc>
        <w:tc>
          <w:tcPr>
            <w:tcW w:w="400" w:type="dxa"/>
            <w:vAlign w:val="bottom"/>
            <w:tcBorders>
              <w:bottom w:val="single" w:sz="8" w:color="BFBFBF"/>
            </w:tcBorders>
          </w:tcPr>
          <w:p>
            <w:pPr>
              <w:spacing w:after="0"/>
              <w:rPr>
                <w:sz w:val="17"/>
                <w:szCs w:val="17"/>
                <w:color w:val="auto"/>
              </w:rPr>
            </w:pPr>
          </w:p>
        </w:tc>
        <w:tc>
          <w:tcPr>
            <w:tcW w:w="2300" w:type="dxa"/>
            <w:vAlign w:val="bottom"/>
            <w:tcBorders>
              <w:bottom w:val="single" w:sz="8" w:color="BFBFBF"/>
            </w:tcBorders>
            <w:gridSpan w:val="4"/>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380" w:type="dxa"/>
            <w:vAlign w:val="bottom"/>
            <w:tcBorders>
              <w:left w:val="single" w:sz="8" w:color="BFBFBF"/>
              <w:right w:val="single" w:sz="8" w:color="F2F2F2"/>
            </w:tcBorders>
            <w:shd w:val="clear" w:color="auto" w:fill="F2F2F2"/>
          </w:tcPr>
          <w:p>
            <w:pPr>
              <w:spacing w:after="0"/>
              <w:rPr>
                <w:sz w:val="12"/>
                <w:szCs w:val="12"/>
                <w:color w:val="auto"/>
              </w:rPr>
            </w:pPr>
          </w:p>
        </w:tc>
        <w:tc>
          <w:tcPr>
            <w:tcW w:w="260" w:type="dxa"/>
            <w:vAlign w:val="bottom"/>
            <w:tcBorders>
              <w:right w:val="single" w:sz="8" w:color="BFBFBF"/>
            </w:tcBorders>
            <w:shd w:val="clear" w:color="auto" w:fill="F2F2F2"/>
          </w:tcPr>
          <w:p>
            <w:pPr>
              <w:spacing w:after="0"/>
              <w:rPr>
                <w:sz w:val="12"/>
                <w:szCs w:val="12"/>
                <w:color w:val="auto"/>
              </w:rPr>
            </w:pPr>
          </w:p>
        </w:tc>
        <w:tc>
          <w:tcPr>
            <w:tcW w:w="400" w:type="dxa"/>
            <w:vAlign w:val="bottom"/>
            <w:shd w:val="clear" w:color="auto" w:fill="F2F2F2"/>
          </w:tcPr>
          <w:p>
            <w:pPr>
              <w:spacing w:after="0"/>
              <w:rPr>
                <w:sz w:val="12"/>
                <w:szCs w:val="12"/>
                <w:color w:val="auto"/>
              </w:rPr>
            </w:pPr>
          </w:p>
        </w:tc>
        <w:tc>
          <w:tcPr>
            <w:tcW w:w="2300" w:type="dxa"/>
            <w:vAlign w:val="bottom"/>
            <w:tcBorders>
              <w:right w:val="single" w:sz="8" w:color="BFBFBF"/>
            </w:tcBorders>
            <w:gridSpan w:val="4"/>
            <w:shd w:val="clear" w:color="auto" w:fill="F2F2F2"/>
          </w:tcPr>
          <w:p>
            <w:pPr>
              <w:jc w:val="center"/>
              <w:ind w:right="366"/>
              <w:spacing w:after="0" w:line="146" w:lineRule="exact"/>
              <w:rPr>
                <w:sz w:val="20"/>
                <w:szCs w:val="20"/>
                <w:color w:val="auto"/>
              </w:rPr>
            </w:pPr>
            <w:r>
              <w:rPr>
                <w:rFonts w:ascii="Arial" w:cs="Arial" w:eastAsia="Arial" w:hAnsi="Arial"/>
                <w:sz w:val="15"/>
                <w:szCs w:val="15"/>
                <w:b w:val="1"/>
                <w:bCs w:val="1"/>
                <w:color w:val="auto"/>
              </w:rPr>
              <w:t>Paper consumption 2022</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left w:val="single" w:sz="8" w:color="BFBFBF"/>
              <w:bottom w:val="single" w:sz="8" w:color="BFBFBF"/>
              <w:right w:val="single" w:sz="8" w:color="F2F2F2"/>
            </w:tcBorders>
            <w:shd w:val="clear" w:color="auto" w:fill="F2F2F2"/>
          </w:tcPr>
          <w:p>
            <w:pPr>
              <w:spacing w:after="0"/>
              <w:rPr>
                <w:sz w:val="16"/>
                <w:szCs w:val="16"/>
                <w:color w:val="auto"/>
              </w:rPr>
            </w:pPr>
          </w:p>
        </w:tc>
        <w:tc>
          <w:tcPr>
            <w:tcW w:w="260" w:type="dxa"/>
            <w:vAlign w:val="bottom"/>
            <w:tcBorders>
              <w:bottom w:val="single" w:sz="8" w:color="BFBFBF"/>
              <w:right w:val="single" w:sz="8" w:color="BFBFBF"/>
            </w:tcBorders>
            <w:shd w:val="clear" w:color="auto" w:fill="F2F2F2"/>
          </w:tcPr>
          <w:p>
            <w:pPr>
              <w:spacing w:after="0"/>
              <w:rPr>
                <w:sz w:val="16"/>
                <w:szCs w:val="16"/>
                <w:color w:val="auto"/>
              </w:rPr>
            </w:pPr>
          </w:p>
        </w:tc>
        <w:tc>
          <w:tcPr>
            <w:tcW w:w="400" w:type="dxa"/>
            <w:vAlign w:val="bottom"/>
            <w:tcBorders>
              <w:bottom w:val="single" w:sz="8" w:color="BFBFBF"/>
            </w:tcBorders>
            <w:shd w:val="clear" w:color="auto" w:fill="F2F2F2"/>
          </w:tcPr>
          <w:p>
            <w:pPr>
              <w:spacing w:after="0"/>
              <w:rPr>
                <w:sz w:val="16"/>
                <w:szCs w:val="16"/>
                <w:color w:val="auto"/>
              </w:rPr>
            </w:pPr>
          </w:p>
        </w:tc>
        <w:tc>
          <w:tcPr>
            <w:tcW w:w="140" w:type="dxa"/>
            <w:vAlign w:val="bottom"/>
            <w:tcBorders>
              <w:bottom w:val="single" w:sz="8" w:color="BFBFBF"/>
              <w:right w:val="single" w:sz="8" w:color="F2F2F2"/>
            </w:tcBorders>
            <w:shd w:val="clear" w:color="auto" w:fill="F2F2F2"/>
          </w:tcPr>
          <w:p>
            <w:pPr>
              <w:spacing w:after="0"/>
              <w:rPr>
                <w:sz w:val="16"/>
                <w:szCs w:val="16"/>
                <w:color w:val="auto"/>
              </w:rPr>
            </w:pPr>
          </w:p>
        </w:tc>
        <w:tc>
          <w:tcPr>
            <w:tcW w:w="1620" w:type="dxa"/>
            <w:vAlign w:val="bottom"/>
            <w:tcBorders>
              <w:bottom w:val="single" w:sz="8" w:color="BFBFBF"/>
              <w:right w:val="single" w:sz="8" w:color="F2F2F2"/>
            </w:tcBorders>
            <w:gridSpan w:val="2"/>
            <w:shd w:val="clear" w:color="auto" w:fill="F2F2F2"/>
          </w:tcPr>
          <w:p>
            <w:pPr>
              <w:jc w:val="center"/>
              <w:spacing w:after="0"/>
              <w:rPr>
                <w:sz w:val="20"/>
                <w:szCs w:val="20"/>
                <w:color w:val="auto"/>
              </w:rPr>
            </w:pPr>
            <w:r>
              <w:rPr>
                <w:rFonts w:ascii="Arial" w:cs="Arial" w:eastAsia="Arial" w:hAnsi="Arial"/>
                <w:sz w:val="15"/>
                <w:szCs w:val="15"/>
                <w:b w:val="1"/>
                <w:bCs w:val="1"/>
                <w:color w:val="auto"/>
                <w:w w:val="98"/>
              </w:rPr>
              <w:t>(in t)</w:t>
            </w:r>
          </w:p>
        </w:tc>
        <w:tc>
          <w:tcPr>
            <w:tcW w:w="540" w:type="dxa"/>
            <w:vAlign w:val="bottom"/>
            <w:tcBorders>
              <w:bottom w:val="single" w:sz="8" w:color="BFBFBF"/>
              <w:right w:val="single" w:sz="8" w:color="BFBFBF"/>
            </w:tcBorders>
            <w:shd w:val="clear" w:color="auto" w:fill="F2F2F2"/>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BFBFBF"/>
              <w:bottom w:val="single" w:sz="8" w:color="BFBFBF"/>
              <w:right w:val="single" w:sz="8" w:color="F2F2F2"/>
            </w:tcBorders>
            <w:shd w:val="clear" w:color="auto" w:fill="F2F2F2"/>
          </w:tcPr>
          <w:p>
            <w:pPr>
              <w:ind w:left="80"/>
              <w:spacing w:after="0" w:line="164" w:lineRule="exact"/>
              <w:rPr>
                <w:sz w:val="20"/>
                <w:szCs w:val="20"/>
                <w:color w:val="auto"/>
              </w:rPr>
            </w:pPr>
            <w:r>
              <w:rPr>
                <w:rFonts w:ascii="Arial" w:cs="Arial" w:eastAsia="Arial" w:hAnsi="Arial"/>
                <w:sz w:val="15"/>
                <w:szCs w:val="15"/>
                <w:b w:val="1"/>
                <w:bCs w:val="1"/>
                <w:color w:val="auto"/>
              </w:rPr>
              <w:t>TOTAL Credicorp</w:t>
            </w:r>
          </w:p>
        </w:tc>
        <w:tc>
          <w:tcPr>
            <w:tcW w:w="260" w:type="dxa"/>
            <w:vAlign w:val="bottom"/>
            <w:tcBorders>
              <w:bottom w:val="single" w:sz="8" w:color="BFBFBF"/>
              <w:right w:val="single" w:sz="8" w:color="BFBFBF"/>
            </w:tcBorders>
            <w:shd w:val="clear" w:color="auto" w:fill="F2F2F2"/>
          </w:tcPr>
          <w:p>
            <w:pPr>
              <w:spacing w:after="0"/>
              <w:rPr>
                <w:sz w:val="14"/>
                <w:szCs w:val="14"/>
                <w:color w:val="auto"/>
              </w:rPr>
            </w:pPr>
          </w:p>
        </w:tc>
        <w:tc>
          <w:tcPr>
            <w:tcW w:w="400" w:type="dxa"/>
            <w:vAlign w:val="bottom"/>
            <w:tcBorders>
              <w:bottom w:val="single" w:sz="8" w:color="BFBFBF"/>
            </w:tcBorders>
          </w:tcPr>
          <w:p>
            <w:pPr>
              <w:spacing w:after="0"/>
              <w:rPr>
                <w:sz w:val="14"/>
                <w:szCs w:val="14"/>
                <w:color w:val="auto"/>
              </w:rPr>
            </w:pPr>
          </w:p>
        </w:tc>
        <w:tc>
          <w:tcPr>
            <w:tcW w:w="1760" w:type="dxa"/>
            <w:vAlign w:val="bottom"/>
            <w:tcBorders>
              <w:bottom w:val="single" w:sz="8" w:color="BFBFBF"/>
            </w:tcBorders>
            <w:gridSpan w:val="3"/>
          </w:tcPr>
          <w:p>
            <w:pPr>
              <w:jc w:val="center"/>
              <w:ind w:left="43"/>
              <w:spacing w:after="0" w:line="164" w:lineRule="exact"/>
              <w:rPr>
                <w:sz w:val="20"/>
                <w:szCs w:val="20"/>
                <w:color w:val="auto"/>
              </w:rPr>
            </w:pPr>
            <w:r>
              <w:rPr>
                <w:rFonts w:ascii="Arial" w:cs="Arial" w:eastAsia="Arial" w:hAnsi="Arial"/>
                <w:sz w:val="15"/>
                <w:szCs w:val="15"/>
                <w:b w:val="1"/>
                <w:bCs w:val="1"/>
                <w:color w:val="auto"/>
              </w:rPr>
              <w:t>1,052</w:t>
            </w:r>
          </w:p>
        </w:tc>
        <w:tc>
          <w:tcPr>
            <w:tcW w:w="540" w:type="dxa"/>
            <w:vAlign w:val="bottom"/>
            <w:tcBorders>
              <w:bottom w:val="single" w:sz="8" w:color="BFBFBF"/>
              <w:right w:val="single" w:sz="8" w:color="BFBFBF"/>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3"/>
        </w:trPr>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22225</wp:posOffset>
            </wp:positionV>
            <wp:extent cx="7152640" cy="146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2">
            <w:col w:w="5380" w:space="460"/>
            <w:col w:w="5420"/>
          </w:cols>
          <w:pgMar w:left="320" w:top="279" w:right="319" w:bottom="1440" w:gutter="0" w:footer="0" w:header="0"/>
        </w:sectPr>
      </w:pPr>
    </w:p>
    <w:bookmarkStart w:id="172" w:name="page173"/>
    <w:bookmarkEnd w:id="172"/>
    <w:p>
      <w:pPr>
        <w:spacing w:after="0"/>
        <w:rPr>
          <w:sz w:val="20"/>
          <w:szCs w:val="20"/>
          <w:color w:val="auto"/>
        </w:rPr>
      </w:pPr>
      <w:r>
        <w:rPr>
          <w:rFonts w:ascii="Arial" w:cs="Arial" w:eastAsia="Arial" w:hAnsi="Arial"/>
          <w:sz w:val="25"/>
          <w:szCs w:val="25"/>
          <w:b w:val="1"/>
          <w:bCs w:val="1"/>
          <w:color w:val="auto"/>
        </w:rPr>
        <w:t>Alerta GenÉTICA – Our ethics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152640" cy="39090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264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173" w:name="page174"/>
    <w:bookmarkEnd w:id="173"/>
    <w:p>
      <w:pPr>
        <w:spacing w:after="0"/>
        <w:rPr>
          <w:sz w:val="20"/>
          <w:szCs w:val="20"/>
          <w:color w:val="auto"/>
        </w:rPr>
      </w:pPr>
      <w:r>
        <w:rPr>
          <w:rFonts w:ascii="Arial" w:cs="Arial" w:eastAsia="Arial" w:hAnsi="Arial"/>
          <w:sz w:val="25"/>
          <w:szCs w:val="25"/>
          <w:b w:val="1"/>
          <w:bCs w:val="1"/>
          <w:color w:val="auto"/>
        </w:rPr>
        <w:t>Program for Personal Data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5264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is personal data managed?</w:t>
      </w:r>
    </w:p>
    <w:p>
      <w:pPr>
        <w:spacing w:after="0" w:line="19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 2011, Law 29733, the Law for personal date protection, was published. This legislation seeks to ensure that personal information is shared appropriately with third parties and that the rights attached to the use of said information are respected.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we manage Personal Data Protection (PDP)?</w:t>
      </w:r>
    </w:p>
    <w:p>
      <w:pPr>
        <w:spacing w:after="0" w:line="191" w:lineRule="exact"/>
        <w:rPr>
          <w:sz w:val="20"/>
          <w:szCs w:val="20"/>
          <w:color w:val="auto"/>
        </w:rPr>
      </w:pPr>
    </w:p>
    <w:p>
      <w:pPr>
        <w:jc w:val="both"/>
        <w:ind w:left="5840" w:right="20"/>
        <w:spacing w:after="0" w:line="252" w:lineRule="auto"/>
        <w:rPr>
          <w:sz w:val="20"/>
          <w:szCs w:val="20"/>
          <w:color w:val="auto"/>
        </w:rPr>
      </w:pPr>
      <w:r>
        <w:rPr>
          <w:rFonts w:ascii="Arial" w:cs="Arial" w:eastAsia="Arial" w:hAnsi="Arial"/>
          <w:sz w:val="15"/>
          <w:szCs w:val="15"/>
          <w:color w:val="auto"/>
        </w:rPr>
        <w:t>We ensure corporate compliance with law for DDP and safeguard the viability of the Group’s initiatives by advising businesses and managing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2927985" cy="9880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927985" cy="988060"/>
                    </a:xfrm>
                    <a:prstGeom prst="rect">
                      <a:avLst/>
                    </a:prstGeom>
                    <a:noFill/>
                  </pic:spPr>
                </pic:pic>
              </a:graphicData>
            </a:graphic>
          </wp:anchor>
        </w:drawing>
      </w:r>
    </w:p>
    <w:p>
      <w:pPr>
        <w:spacing w:after="0" w:line="292" w:lineRule="exact"/>
        <w:rPr>
          <w:sz w:val="20"/>
          <w:szCs w:val="20"/>
          <w:color w:val="auto"/>
        </w:rPr>
      </w:pPr>
    </w:p>
    <w:p>
      <w:pPr>
        <w:jc w:val="both"/>
        <w:ind w:left="5840" w:right="20"/>
        <w:spacing w:after="0" w:line="283" w:lineRule="auto"/>
        <w:rPr>
          <w:sz w:val="20"/>
          <w:szCs w:val="20"/>
          <w:color w:val="auto"/>
        </w:rPr>
      </w:pPr>
      <w:r>
        <w:rPr>
          <w:rFonts w:ascii="Arial" w:cs="Arial" w:eastAsia="Arial" w:hAnsi="Arial"/>
          <w:sz w:val="15"/>
          <w:szCs w:val="15"/>
          <w:b w:val="1"/>
          <w:bCs w:val="1"/>
          <w:color w:val="auto"/>
        </w:rPr>
        <w:t>1. Consent</w:t>
      </w:r>
      <w:r>
        <w:rPr>
          <w:rFonts w:ascii="Arial" w:cs="Arial" w:eastAsia="Arial" w:hAnsi="Arial"/>
          <w:sz w:val="15"/>
          <w:szCs w:val="15"/>
          <w:color w:val="auto"/>
        </w:rPr>
        <w:t>: Owners of information must authorize efforts to compile and treat</w:t>
      </w:r>
      <w:r>
        <w:rPr>
          <w:rFonts w:ascii="Arial" w:cs="Arial" w:eastAsia="Arial" w:hAnsi="Arial"/>
          <w:sz w:val="15"/>
          <w:szCs w:val="15"/>
          <w:b w:val="1"/>
          <w:bCs w:val="1"/>
          <w:color w:val="auto"/>
        </w:rPr>
        <w:t xml:space="preserve"> </w:t>
      </w:r>
      <w:r>
        <w:rPr>
          <w:rFonts w:ascii="Arial" w:cs="Arial" w:eastAsia="Arial" w:hAnsi="Arial"/>
          <w:sz w:val="15"/>
          <w:szCs w:val="15"/>
          <w:color w:val="auto"/>
        </w:rPr>
        <w:t>data.</w:t>
      </w:r>
    </w:p>
    <w:p>
      <w:pPr>
        <w:spacing w:after="0" w:line="112" w:lineRule="exact"/>
        <w:rPr>
          <w:sz w:val="20"/>
          <w:szCs w:val="20"/>
          <w:color w:val="auto"/>
        </w:rPr>
      </w:pPr>
    </w:p>
    <w:p>
      <w:pPr>
        <w:jc w:val="both"/>
        <w:ind w:left="5840" w:right="20"/>
        <w:spacing w:after="0" w:line="261" w:lineRule="auto"/>
        <w:rPr>
          <w:sz w:val="20"/>
          <w:szCs w:val="20"/>
          <w:color w:val="auto"/>
        </w:rPr>
      </w:pPr>
      <w:r>
        <w:rPr>
          <w:rFonts w:ascii="Arial" w:cs="Arial" w:eastAsia="Arial" w:hAnsi="Arial"/>
          <w:sz w:val="15"/>
          <w:szCs w:val="15"/>
          <w:b w:val="1"/>
          <w:bCs w:val="1"/>
          <w:color w:val="auto"/>
        </w:rPr>
        <w:t xml:space="preserve">2. Treatment: </w:t>
      </w:r>
      <w:r>
        <w:rPr>
          <w:rFonts w:ascii="Arial" w:cs="Arial" w:eastAsia="Arial" w:hAnsi="Arial"/>
          <w:sz w:val="15"/>
          <w:szCs w:val="15"/>
          <w:color w:val="auto"/>
        </w:rPr>
        <w:t>Treatment (compilation, storage, processing, transfer, etc.)</w:t>
      </w:r>
      <w:r>
        <w:rPr>
          <w:rFonts w:ascii="Arial" w:cs="Arial" w:eastAsia="Arial" w:hAnsi="Arial"/>
          <w:sz w:val="15"/>
          <w:szCs w:val="15"/>
          <w:b w:val="1"/>
          <w:bCs w:val="1"/>
          <w:color w:val="auto"/>
        </w:rPr>
        <w:t xml:space="preserve"> </w:t>
      </w:r>
      <w:r>
        <w:rPr>
          <w:rFonts w:ascii="Arial" w:cs="Arial" w:eastAsia="Arial" w:hAnsi="Arial"/>
          <w:sz w:val="15"/>
          <w:szCs w:val="15"/>
          <w:color w:val="auto"/>
        </w:rPr>
        <w:t>should be limited solely to the ends authorized by the owner and/or those permitted by law.</w:t>
      </w:r>
    </w:p>
    <w:p>
      <w:pPr>
        <w:spacing w:after="0" w:line="129"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3. Security</w:t>
      </w:r>
      <w:r>
        <w:rPr>
          <w:rFonts w:ascii="Arial" w:cs="Arial" w:eastAsia="Arial" w:hAnsi="Arial"/>
          <w:sz w:val="15"/>
          <w:szCs w:val="15"/>
          <w:color w:val="auto"/>
        </w:rPr>
        <w:t>: The company and its managers must implement technical and</w:t>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organizational measures to ensure personal data protection and prevent risks</w:t>
      </w:r>
    </w:p>
    <w:p>
      <w:pPr>
        <w:ind w:left="5840"/>
        <w:spacing w:after="0"/>
        <w:rPr>
          <w:sz w:val="20"/>
          <w:szCs w:val="20"/>
          <w:color w:val="auto"/>
        </w:rPr>
      </w:pPr>
      <w:r>
        <w:rPr>
          <w:rFonts w:ascii="Arial" w:cs="Arial" w:eastAsia="Arial" w:hAnsi="Arial"/>
          <w:sz w:val="15"/>
          <w:szCs w:val="15"/>
          <w:color w:val="auto"/>
        </w:rPr>
        <w:t>of information leaks or loss of integrity.</w:t>
      </w:r>
    </w:p>
    <w:p>
      <w:pPr>
        <w:spacing w:after="0" w:line="155"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 xml:space="preserve">4. Service for owners: </w:t>
      </w:r>
      <w:r>
        <w:rPr>
          <w:rFonts w:ascii="Arial" w:cs="Arial" w:eastAsia="Arial" w:hAnsi="Arial"/>
          <w:sz w:val="15"/>
          <w:szCs w:val="15"/>
          <w:color w:val="auto"/>
        </w:rPr>
        <w:t>The company implements procedures and channels to</w:t>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ensure oversight in the ambit of owner’s protected rights.</w:t>
      </w:r>
    </w:p>
    <w:p>
      <w:pPr>
        <w:spacing w:after="0" w:line="155"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 xml:space="preserve">5.  Servicing  requirements  set  forth  by  the  Regulator:  </w:t>
      </w:r>
      <w:r>
        <w:rPr>
          <w:rFonts w:ascii="Arial" w:cs="Arial" w:eastAsia="Arial" w:hAnsi="Arial"/>
          <w:sz w:val="15"/>
          <w:szCs w:val="15"/>
          <w:color w:val="auto"/>
        </w:rPr>
        <w:t>the  company</w:t>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maintains a registry of the Data Bank and Cross border Flows and cooperates</w:t>
      </w:r>
    </w:p>
    <w:p>
      <w:pPr>
        <w:ind w:left="5840"/>
        <w:spacing w:after="0"/>
        <w:rPr>
          <w:sz w:val="20"/>
          <w:szCs w:val="20"/>
          <w:color w:val="auto"/>
        </w:rPr>
      </w:pPr>
      <w:r>
        <w:rPr>
          <w:rFonts w:ascii="Arial" w:cs="Arial" w:eastAsia="Arial" w:hAnsi="Arial"/>
          <w:sz w:val="15"/>
          <w:szCs w:val="15"/>
          <w:color w:val="auto"/>
        </w:rPr>
        <w:t>with any requirements levied by the Ministry of Justice (Minjus) during its</w:t>
      </w:r>
    </w:p>
    <w:p>
      <w:pPr>
        <w:ind w:left="5840"/>
        <w:spacing w:after="0"/>
        <w:rPr>
          <w:sz w:val="20"/>
          <w:szCs w:val="20"/>
          <w:color w:val="auto"/>
        </w:rPr>
      </w:pPr>
      <w:r>
        <w:rPr>
          <w:rFonts w:ascii="Arial" w:cs="Arial" w:eastAsia="Arial" w:hAnsi="Arial"/>
          <w:sz w:val="15"/>
          <w:szCs w:val="15"/>
          <w:color w:val="auto"/>
        </w:rPr>
        <w:t>investigation/oversight processes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We have implemented mechanisms to ensure the effective application of the PDP policy:</w:t>
      </w:r>
    </w:p>
    <w:p>
      <w:pPr>
        <w:spacing w:after="0" w:line="173" w:lineRule="exact"/>
        <w:rPr>
          <w:sz w:val="20"/>
          <w:szCs w:val="20"/>
          <w:color w:val="auto"/>
        </w:rPr>
      </w:pPr>
    </w:p>
    <w:p>
      <w:pPr>
        <w:ind w:left="540" w:hanging="271"/>
        <w:spacing w:after="0"/>
        <w:tabs>
          <w:tab w:leader="none" w:pos="5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Our privacy policy applies to all operations, including those with suppliers</w:t>
      </w:r>
    </w:p>
    <w:p>
      <w:pPr>
        <w:ind w:left="540" w:hanging="271"/>
        <w:spacing w:after="0"/>
        <w:tabs>
          <w:tab w:leader="none" w:pos="5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We have set up a point of contact to scale treatment of privacy problems</w:t>
      </w:r>
    </w:p>
    <w:p>
      <w:pPr>
        <w:ind w:left="540" w:hanging="271"/>
        <w:spacing w:after="0"/>
        <w:tabs>
          <w:tab w:leader="none" w:pos="5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Our PDP Policy is integrated with risk management</w:t>
      </w:r>
    </w:p>
    <w:p>
      <w:pPr>
        <w:ind w:left="540" w:hanging="271"/>
        <w:spacing w:after="0"/>
        <w:tabs>
          <w:tab w:leader="none" w:pos="5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We apply disciplinary actions in cases of non-compliance</w:t>
      </w:r>
    </w:p>
    <w:p>
      <w:pPr>
        <w:ind w:left="540" w:hanging="271"/>
        <w:spacing w:after="0"/>
        <w:tabs>
          <w:tab w:leader="none" w:pos="5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We monitor compliance with the PDP policy</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79" w:right="319" w:bottom="1440" w:gutter="0" w:footer="0" w:header="0"/>
        </w:sectPr>
      </w:pPr>
    </w:p>
    <w:bookmarkStart w:id="174" w:name="page175"/>
    <w:bookmarkEnd w:id="174"/>
    <w:p>
      <w:pPr>
        <w:spacing w:after="0"/>
        <w:rPr>
          <w:sz w:val="20"/>
          <w:szCs w:val="20"/>
          <w:color w:val="auto"/>
        </w:rPr>
      </w:pPr>
      <w:r>
        <w:rPr>
          <w:rFonts w:ascii="Arial" w:cs="Arial" w:eastAsia="Arial" w:hAnsi="Arial"/>
          <w:sz w:val="25"/>
          <w:szCs w:val="25"/>
          <w:b w:val="1"/>
          <w:bCs w:val="1"/>
          <w:color w:val="auto"/>
        </w:rPr>
        <w:t>Other Corporate Compliance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5264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GRI </w:t>
      </w:r>
      <w:r>
        <w:rPr>
          <w:rFonts w:ascii="Arial" w:cs="Arial" w:eastAsia="Arial" w:hAnsi="Arial"/>
          <w:sz w:val="15"/>
          <w:szCs w:val="15"/>
          <w:i w:val="1"/>
          <w:iCs w:val="1"/>
          <w:color w:val="auto"/>
        </w:rPr>
        <w:t>403-1, 403-4,403-5</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80" w:type="dxa"/>
            <w:vAlign w:val="bottom"/>
            <w:tcBorders>
              <w:top w:val="single" w:sz="8" w:color="auto"/>
              <w:left w:val="single" w:sz="8" w:color="auto"/>
            </w:tcBorders>
          </w:tcPr>
          <w:p>
            <w:pPr>
              <w:spacing w:after="0"/>
              <w:rPr>
                <w:sz w:val="15"/>
                <w:szCs w:val="15"/>
                <w:color w:val="auto"/>
              </w:rPr>
            </w:pPr>
          </w:p>
        </w:tc>
        <w:tc>
          <w:tcPr>
            <w:tcW w:w="1300" w:type="dxa"/>
            <w:vAlign w:val="bottom"/>
            <w:tcBorders>
              <w:top w:val="single" w:sz="8" w:color="auto"/>
              <w:right w:val="single" w:sz="8" w:color="auto"/>
            </w:tcBorders>
            <w:gridSpan w:val="4"/>
            <w:vMerge w:val="restart"/>
          </w:tcPr>
          <w:p>
            <w:pPr>
              <w:spacing w:after="0"/>
              <w:rPr>
                <w:sz w:val="20"/>
                <w:szCs w:val="20"/>
                <w:color w:val="auto"/>
              </w:rPr>
            </w:pPr>
            <w:r>
              <w:rPr>
                <w:rFonts w:ascii="Arial" w:cs="Arial" w:eastAsia="Arial" w:hAnsi="Arial"/>
                <w:sz w:val="15"/>
                <w:szCs w:val="15"/>
                <w:b w:val="1"/>
                <w:bCs w:val="1"/>
                <w:color w:val="121212"/>
              </w:rPr>
              <w:t>Policy</w:t>
            </w:r>
          </w:p>
        </w:tc>
        <w:tc>
          <w:tcPr>
            <w:tcW w:w="158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121212"/>
              </w:rPr>
              <w:t>Declaration</w:t>
            </w:r>
          </w:p>
        </w:tc>
        <w:tc>
          <w:tcPr>
            <w:tcW w:w="112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121212"/>
              </w:rPr>
              <w:t>Applicable</w:t>
            </w:r>
          </w:p>
        </w:tc>
        <w:tc>
          <w:tcPr>
            <w:tcW w:w="320" w:type="dxa"/>
            <w:vAlign w:val="bottom"/>
            <w:tcBorders>
              <w:top w:val="single" w:sz="8" w:color="auto"/>
              <w:right w:val="single" w:sz="8" w:color="auto"/>
            </w:tcBorders>
          </w:tcPr>
          <w:p>
            <w:pPr>
              <w:spacing w:after="0"/>
              <w:rPr>
                <w:sz w:val="15"/>
                <w:szCs w:val="15"/>
                <w:color w:val="auto"/>
              </w:rPr>
            </w:pPr>
          </w:p>
        </w:tc>
        <w:tc>
          <w:tcPr>
            <w:tcW w:w="68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121212"/>
              </w:rPr>
              <w:t>Management and progress 2022</w:t>
            </w:r>
          </w:p>
        </w:tc>
        <w:tc>
          <w:tcPr>
            <w:tcW w:w="0" w:type="dxa"/>
            <w:vAlign w:val="bottom"/>
          </w:tcPr>
          <w:p>
            <w:pPr>
              <w:spacing w:after="0"/>
              <w:rPr>
                <w:sz w:val="1"/>
                <w:szCs w:val="1"/>
                <w:color w:val="auto"/>
              </w:rPr>
            </w:pPr>
          </w:p>
        </w:tc>
      </w:tr>
      <w:tr>
        <w:trPr>
          <w:trHeight w:val="111"/>
        </w:trPr>
        <w:tc>
          <w:tcPr>
            <w:tcW w:w="80" w:type="dxa"/>
            <w:vAlign w:val="bottom"/>
            <w:tcBorders>
              <w:left w:val="single" w:sz="8" w:color="auto"/>
            </w:tcBorders>
          </w:tcPr>
          <w:p>
            <w:pPr>
              <w:spacing w:after="0"/>
              <w:rPr>
                <w:sz w:val="9"/>
                <w:szCs w:val="9"/>
                <w:color w:val="auto"/>
              </w:rPr>
            </w:pPr>
          </w:p>
        </w:tc>
        <w:tc>
          <w:tcPr>
            <w:tcW w:w="1300" w:type="dxa"/>
            <w:vAlign w:val="bottom"/>
            <w:tcBorders>
              <w:right w:val="single" w:sz="8" w:color="auto"/>
            </w:tcBorders>
            <w:gridSpan w:val="4"/>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121212"/>
              </w:rPr>
              <w:t>regulation</w:t>
            </w:r>
          </w:p>
        </w:tc>
        <w:tc>
          <w:tcPr>
            <w:tcW w:w="320" w:type="dxa"/>
            <w:vAlign w:val="bottom"/>
            <w:tcBorders>
              <w:right w:val="single" w:sz="8" w:color="auto"/>
            </w:tcBorders>
          </w:tcPr>
          <w:p>
            <w:pPr>
              <w:spacing w:after="0"/>
              <w:rPr>
                <w:sz w:val="9"/>
                <w:szCs w:val="9"/>
                <w:color w:val="auto"/>
              </w:rPr>
            </w:pPr>
          </w:p>
        </w:tc>
        <w:tc>
          <w:tcPr>
            <w:tcW w:w="6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80" w:type="dxa"/>
            <w:vAlign w:val="bottom"/>
            <w:tcBorders>
              <w:left w:val="single" w:sz="8" w:color="auto"/>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tcBorders>
            <w:gridSpan w:val="2"/>
            <w:vMerge w:val="continue"/>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6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gridSpan w:val="4"/>
          </w:tcPr>
          <w:p>
            <w:pPr>
              <w:spacing w:after="0" w:line="153" w:lineRule="exact"/>
              <w:rPr>
                <w:sz w:val="20"/>
                <w:szCs w:val="20"/>
                <w:color w:val="auto"/>
              </w:rPr>
            </w:pPr>
            <w:r>
              <w:rPr>
                <w:rFonts w:ascii="Arial" w:cs="Arial" w:eastAsia="Arial" w:hAnsi="Arial"/>
                <w:sz w:val="15"/>
                <w:szCs w:val="15"/>
                <w:color w:val="auto"/>
              </w:rPr>
              <w:t>Against money</w:t>
            </w:r>
          </w:p>
        </w:tc>
        <w:tc>
          <w:tcPr>
            <w:tcW w:w="15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b w:val="1"/>
                <w:bCs w:val="1"/>
                <w:color w:val="auto"/>
              </w:rPr>
              <w:t>Compliance of</w:t>
            </w:r>
          </w:p>
        </w:tc>
        <w:tc>
          <w:tcPr>
            <w:tcW w:w="1120" w:type="dxa"/>
            <w:vAlign w:val="bottom"/>
            <w:gridSpan w:val="2"/>
          </w:tcPr>
          <w:p>
            <w:pPr>
              <w:ind w:left="60"/>
              <w:spacing w:after="0" w:line="153" w:lineRule="exact"/>
              <w:rPr>
                <w:sz w:val="20"/>
                <w:szCs w:val="20"/>
                <w:color w:val="auto"/>
              </w:rPr>
            </w:pPr>
            <w:r>
              <w:rPr>
                <w:rFonts w:ascii="Arial" w:cs="Arial" w:eastAsia="Arial" w:hAnsi="Arial"/>
                <w:sz w:val="15"/>
                <w:szCs w:val="15"/>
                <w:color w:val="auto"/>
              </w:rPr>
              <w:t>Anti-laundering</w:t>
            </w:r>
          </w:p>
        </w:tc>
        <w:tc>
          <w:tcPr>
            <w:tcW w:w="320" w:type="dxa"/>
            <w:vAlign w:val="bottom"/>
            <w:tcBorders>
              <w:right w:val="single" w:sz="8" w:color="auto"/>
            </w:tcBorders>
          </w:tcPr>
          <w:p>
            <w:pPr>
              <w:spacing w:after="0"/>
              <w:rPr>
                <w:sz w:val="13"/>
                <w:szCs w:val="13"/>
                <w:color w:val="auto"/>
              </w:rPr>
            </w:pPr>
          </w:p>
        </w:tc>
        <w:tc>
          <w:tcPr>
            <w:tcW w:w="686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5"/>
                <w:szCs w:val="15"/>
                <w:color w:val="auto"/>
              </w:rPr>
              <w:t>Our System to Prevent Money Laundering and Financing of Terrorism (SPLAFT- acronym in</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local and</w:t>
            </w:r>
          </w:p>
        </w:tc>
        <w:tc>
          <w:tcPr>
            <w:tcW w:w="1120" w:type="dxa"/>
            <w:vAlign w:val="bottom"/>
            <w:gridSpan w:val="2"/>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8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gridSpan w:val="4"/>
          </w:tcPr>
          <w:p>
            <w:pPr>
              <w:spacing w:after="0" w:line="153" w:lineRule="exact"/>
              <w:rPr>
                <w:sz w:val="20"/>
                <w:szCs w:val="20"/>
                <w:color w:val="auto"/>
              </w:rPr>
            </w:pPr>
            <w:r>
              <w:rPr>
                <w:rFonts w:ascii="Arial" w:cs="Arial" w:eastAsia="Arial" w:hAnsi="Arial"/>
                <w:sz w:val="15"/>
                <w:szCs w:val="15"/>
                <w:color w:val="auto"/>
              </w:rPr>
              <w:t>laundering and</w:t>
            </w:r>
          </w:p>
        </w:tc>
        <w:tc>
          <w:tcPr>
            <w:tcW w:w="1580" w:type="dxa"/>
            <w:vAlign w:val="bottom"/>
            <w:tcBorders>
              <w:right w:val="single" w:sz="8" w:color="auto"/>
            </w:tcBorders>
            <w:vMerge w:val="continue"/>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5"/>
                <w:szCs w:val="15"/>
                <w:color w:val="auto"/>
              </w:rPr>
              <w:t>regulations</w:t>
            </w:r>
          </w:p>
        </w:tc>
        <w:tc>
          <w:tcPr>
            <w:tcW w:w="320" w:type="dxa"/>
            <w:vAlign w:val="bottom"/>
            <w:tcBorders>
              <w:right w:val="single" w:sz="8" w:color="auto"/>
            </w:tcBorders>
          </w:tcPr>
          <w:p>
            <w:pPr>
              <w:jc w:val="right"/>
              <w:ind w:right="23"/>
              <w:spacing w:after="0" w:line="153" w:lineRule="exact"/>
              <w:rPr>
                <w:sz w:val="20"/>
                <w:szCs w:val="20"/>
                <w:color w:val="auto"/>
              </w:rPr>
            </w:pPr>
            <w:r>
              <w:rPr>
                <w:rFonts w:ascii="Arial" w:cs="Arial" w:eastAsia="Arial" w:hAnsi="Arial"/>
                <w:sz w:val="15"/>
                <w:szCs w:val="15"/>
                <w:color w:val="auto"/>
              </w:rPr>
              <w:t>in</w:t>
            </w:r>
          </w:p>
        </w:tc>
        <w:tc>
          <w:tcPr>
            <w:tcW w:w="686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5"/>
                <w:szCs w:val="15"/>
                <w:color w:val="auto"/>
              </w:rPr>
              <w:t>Spanish) has been set up to prevent fund inflows from illicit activities and ensure that our products</w:t>
            </w:r>
          </w:p>
        </w:tc>
        <w:tc>
          <w:tcPr>
            <w:tcW w:w="0" w:type="dxa"/>
            <w:vAlign w:val="bottom"/>
          </w:tcPr>
          <w:p>
            <w:pPr>
              <w:spacing w:after="0"/>
              <w:rPr>
                <w:sz w:val="1"/>
                <w:szCs w:val="1"/>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spacing w:after="0" w:line="153" w:lineRule="exact"/>
              <w:rPr>
                <w:sz w:val="20"/>
                <w:szCs w:val="20"/>
                <w:color w:val="auto"/>
              </w:rPr>
            </w:pPr>
            <w:r>
              <w:rPr>
                <w:rFonts w:ascii="Arial" w:cs="Arial" w:eastAsia="Arial" w:hAnsi="Arial"/>
                <w:sz w:val="15"/>
                <w:szCs w:val="15"/>
                <w:color w:val="auto"/>
              </w:rPr>
              <w:t>financing of</w:t>
            </w:r>
          </w:p>
        </w:tc>
        <w:tc>
          <w:tcPr>
            <w:tcW w:w="220" w:type="dxa"/>
            <w:vAlign w:val="bottom"/>
            <w:tcBorders>
              <w:top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b w:val="1"/>
                <w:bCs w:val="1"/>
                <w:color w:val="auto"/>
              </w:rPr>
              <w:t>international</w:t>
            </w:r>
          </w:p>
        </w:tc>
        <w:tc>
          <w:tcPr>
            <w:tcW w:w="540" w:type="dxa"/>
            <w:vAlign w:val="bottom"/>
          </w:tcPr>
          <w:p>
            <w:pPr>
              <w:ind w:left="60"/>
              <w:spacing w:after="0" w:line="153" w:lineRule="exact"/>
              <w:rPr>
                <w:sz w:val="20"/>
                <w:szCs w:val="20"/>
                <w:color w:val="auto"/>
              </w:rPr>
            </w:pPr>
            <w:r>
              <w:rPr>
                <w:rFonts w:ascii="Arial" w:cs="Arial" w:eastAsia="Arial" w:hAnsi="Arial"/>
                <w:sz w:val="15"/>
                <w:szCs w:val="15"/>
                <w:color w:val="auto"/>
              </w:rPr>
              <w:t>each</w:t>
            </w:r>
          </w:p>
        </w:tc>
        <w:tc>
          <w:tcPr>
            <w:tcW w:w="580" w:type="dxa"/>
            <w:vAlign w:val="bottom"/>
          </w:tcPr>
          <w:p>
            <w:pPr>
              <w:ind w:left="160"/>
              <w:spacing w:after="0" w:line="153" w:lineRule="exact"/>
              <w:rPr>
                <w:sz w:val="20"/>
                <w:szCs w:val="20"/>
                <w:color w:val="auto"/>
              </w:rPr>
            </w:pPr>
            <w:r>
              <w:rPr>
                <w:rFonts w:ascii="Arial" w:cs="Arial" w:eastAsia="Arial" w:hAnsi="Arial"/>
                <w:sz w:val="15"/>
                <w:szCs w:val="15"/>
                <w:color w:val="auto"/>
              </w:rPr>
              <w:t>of</w:t>
            </w:r>
          </w:p>
        </w:tc>
        <w:tc>
          <w:tcPr>
            <w:tcW w:w="320" w:type="dxa"/>
            <w:vAlign w:val="bottom"/>
            <w:tcBorders>
              <w:right w:val="single" w:sz="8" w:color="auto"/>
            </w:tcBorders>
          </w:tcPr>
          <w:p>
            <w:pPr>
              <w:jc w:val="right"/>
              <w:ind w:right="23"/>
              <w:spacing w:after="0" w:line="153" w:lineRule="exact"/>
              <w:rPr>
                <w:sz w:val="20"/>
                <w:szCs w:val="20"/>
                <w:color w:val="auto"/>
              </w:rPr>
            </w:pPr>
            <w:r>
              <w:rPr>
                <w:rFonts w:ascii="Arial" w:cs="Arial" w:eastAsia="Arial" w:hAnsi="Arial"/>
                <w:sz w:val="15"/>
                <w:szCs w:val="15"/>
                <w:color w:val="auto"/>
                <w:w w:val="95"/>
              </w:rPr>
              <w:t>the</w:t>
            </w:r>
          </w:p>
        </w:tc>
        <w:tc>
          <w:tcPr>
            <w:tcW w:w="686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5"/>
                <w:szCs w:val="15"/>
                <w:color w:val="auto"/>
              </w:rPr>
              <w:t>are not used for unlawful ends.</w:t>
            </w:r>
          </w:p>
        </w:tc>
        <w:tc>
          <w:tcPr>
            <w:tcW w:w="0" w:type="dxa"/>
            <w:vAlign w:val="bottom"/>
          </w:tcPr>
          <w:p>
            <w:pPr>
              <w:spacing w:after="0"/>
              <w:rPr>
                <w:sz w:val="1"/>
                <w:szCs w:val="1"/>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gridSpan w:val="4"/>
          </w:tcPr>
          <w:p>
            <w:pPr>
              <w:spacing w:after="0" w:line="153" w:lineRule="exact"/>
              <w:rPr>
                <w:sz w:val="20"/>
                <w:szCs w:val="20"/>
                <w:color w:val="auto"/>
              </w:rPr>
            </w:pPr>
            <w:r>
              <w:rPr>
                <w:rFonts w:ascii="Arial" w:cs="Arial" w:eastAsia="Arial" w:hAnsi="Arial"/>
                <w:sz w:val="15"/>
                <w:szCs w:val="15"/>
                <w:color w:val="auto"/>
              </w:rPr>
              <w:t>terrorism</w:t>
            </w:r>
          </w:p>
        </w:tc>
        <w:tc>
          <w:tcPr>
            <w:tcW w:w="15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b w:val="1"/>
                <w:bCs w:val="1"/>
                <w:color w:val="auto"/>
              </w:rPr>
              <w:t>regulations and</w:t>
            </w:r>
          </w:p>
        </w:tc>
        <w:tc>
          <w:tcPr>
            <w:tcW w:w="1440" w:type="dxa"/>
            <w:vAlign w:val="bottom"/>
            <w:tcBorders>
              <w:right w:val="single" w:sz="8" w:color="auto"/>
            </w:tcBorders>
            <w:gridSpan w:val="3"/>
          </w:tcPr>
          <w:p>
            <w:pPr>
              <w:ind w:left="60"/>
              <w:spacing w:after="0" w:line="153" w:lineRule="exact"/>
              <w:rPr>
                <w:sz w:val="20"/>
                <w:szCs w:val="20"/>
                <w:color w:val="auto"/>
              </w:rPr>
            </w:pPr>
            <w:r>
              <w:rPr>
                <w:rFonts w:ascii="Arial" w:cs="Arial" w:eastAsia="Arial" w:hAnsi="Arial"/>
                <w:sz w:val="15"/>
                <w:szCs w:val="15"/>
                <w:color w:val="auto"/>
              </w:rPr>
              <w:t>countries in which</w:t>
            </w:r>
          </w:p>
        </w:tc>
        <w:tc>
          <w:tcPr>
            <w:tcW w:w="6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rPr>
              <w:t>directives to</w:t>
            </w:r>
          </w:p>
        </w:tc>
        <w:tc>
          <w:tcPr>
            <w:tcW w:w="1120" w:type="dxa"/>
            <w:vAlign w:val="bottom"/>
            <w:gridSpan w:val="2"/>
          </w:tcPr>
          <w:p>
            <w:pPr>
              <w:ind w:left="60"/>
              <w:spacing w:after="0" w:line="157" w:lineRule="exact"/>
              <w:rPr>
                <w:sz w:val="20"/>
                <w:szCs w:val="20"/>
                <w:color w:val="auto"/>
              </w:rPr>
            </w:pPr>
            <w:r>
              <w:rPr>
                <w:rFonts w:ascii="Arial" w:cs="Arial" w:eastAsia="Arial" w:hAnsi="Arial"/>
                <w:sz w:val="15"/>
                <w:szCs w:val="15"/>
                <w:color w:val="auto"/>
              </w:rPr>
              <w:t>we operate.</w:t>
            </w:r>
          </w:p>
        </w:tc>
        <w:tc>
          <w:tcPr>
            <w:tcW w:w="320" w:type="dxa"/>
            <w:vAlign w:val="bottom"/>
            <w:tcBorders>
              <w:right w:val="single" w:sz="8" w:color="auto"/>
            </w:tcBorders>
          </w:tcPr>
          <w:p>
            <w:pPr>
              <w:spacing w:after="0"/>
              <w:rPr>
                <w:sz w:val="13"/>
                <w:szCs w:val="13"/>
                <w:color w:val="auto"/>
              </w:rPr>
            </w:pPr>
          </w:p>
        </w:tc>
        <w:tc>
          <w:tcPr>
            <w:tcW w:w="686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b w:val="1"/>
                <w:bCs w:val="1"/>
                <w:color w:val="auto"/>
              </w:rPr>
              <w:t>Policies and controls: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prevent financing</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Our guidelines guarantee due compliance with obligations in accordance with requirements in</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of criminal</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each jurisdiction and focus on Know Your Client (KYC) beginning with the onboarding process,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activities within</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which includes: identifying final beneficiaries; due diligence throughout the commercial relation;</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the financial</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identification of politically exposed clients (PEP), non-residents or other clients with sensitive</w:t>
            </w:r>
          </w:p>
        </w:tc>
        <w:tc>
          <w:tcPr>
            <w:tcW w:w="0" w:type="dxa"/>
            <w:vAlign w:val="bottom"/>
          </w:tcPr>
          <w:p>
            <w:pPr>
              <w:spacing w:after="0"/>
              <w:rPr>
                <w:sz w:val="1"/>
                <w:szCs w:val="1"/>
                <w:color w:val="auto"/>
              </w:rPr>
            </w:pPr>
          </w:p>
        </w:tc>
      </w:tr>
      <w:tr>
        <w:trPr>
          <w:trHeight w:val="191"/>
        </w:trPr>
        <w:tc>
          <w:tcPr>
            <w:tcW w:w="80" w:type="dxa"/>
            <w:vAlign w:val="bottom"/>
            <w:tcBorders>
              <w:lef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system</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profiles. Additionally, our controls to prevent money laundering focus on risks that represent the</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greatest exposure to ML/FT and include monitoring of limits on fund inflows and specific client</w:t>
            </w:r>
          </w:p>
        </w:tc>
        <w:tc>
          <w:tcPr>
            <w:tcW w:w="0" w:type="dxa"/>
            <w:vAlign w:val="bottom"/>
          </w:tcPr>
          <w:p>
            <w:pPr>
              <w:spacing w:after="0"/>
              <w:rPr>
                <w:sz w:val="1"/>
                <w:szCs w:val="1"/>
                <w:color w:val="auto"/>
              </w:rPr>
            </w:pPr>
          </w:p>
        </w:tc>
      </w:tr>
      <w:tr>
        <w:trPr>
          <w:trHeight w:val="185"/>
        </w:trPr>
        <w:tc>
          <w:tcPr>
            <w:tcW w:w="80" w:type="dxa"/>
            <w:vAlign w:val="bottom"/>
            <w:tcBorders>
              <w:lef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categories as well as reports of suspicious operations.</w:t>
            </w:r>
          </w:p>
        </w:tc>
        <w:tc>
          <w:tcPr>
            <w:tcW w:w="0" w:type="dxa"/>
            <w:vAlign w:val="bottom"/>
          </w:tcPr>
          <w:p>
            <w:pPr>
              <w:spacing w:after="0"/>
              <w:rPr>
                <w:sz w:val="1"/>
                <w:szCs w:val="1"/>
                <w:color w:val="auto"/>
              </w:rPr>
            </w:pPr>
          </w:p>
        </w:tc>
      </w:tr>
      <w:tr>
        <w:trPr>
          <w:trHeight w:val="334"/>
        </w:trPr>
        <w:tc>
          <w:tcPr>
            <w:tcW w:w="8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Control of International Lists: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We ensure that operations to/from abroad are not conducted with countries or clients that are</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restricted or considered high risk according to international lists. In this way, we avoided exposing</w:t>
            </w:r>
          </w:p>
        </w:tc>
        <w:tc>
          <w:tcPr>
            <w:tcW w:w="0" w:type="dxa"/>
            <w:vAlign w:val="bottom"/>
          </w:tcPr>
          <w:p>
            <w:pPr>
              <w:spacing w:after="0"/>
              <w:rPr>
                <w:sz w:val="1"/>
                <w:szCs w:val="1"/>
                <w:color w:val="auto"/>
              </w:rPr>
            </w:pPr>
          </w:p>
        </w:tc>
      </w:tr>
      <w:tr>
        <w:trPr>
          <w:trHeight w:val="185"/>
        </w:trPr>
        <w:tc>
          <w:tcPr>
            <w:tcW w:w="80" w:type="dxa"/>
            <w:vAlign w:val="bottom"/>
            <w:tcBorders>
              <w:lef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our companies to illegal monetary flows or organized crime.</w:t>
            </w:r>
          </w:p>
        </w:tc>
        <w:tc>
          <w:tcPr>
            <w:tcW w:w="0" w:type="dxa"/>
            <w:vAlign w:val="bottom"/>
          </w:tcPr>
          <w:p>
            <w:pPr>
              <w:spacing w:after="0"/>
              <w:rPr>
                <w:sz w:val="1"/>
                <w:szCs w:val="1"/>
                <w:color w:val="auto"/>
              </w:rPr>
            </w:pPr>
          </w:p>
        </w:tc>
      </w:tr>
      <w:tr>
        <w:trPr>
          <w:trHeight w:val="334"/>
        </w:trPr>
        <w:tc>
          <w:tcPr>
            <w:tcW w:w="8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Training:</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Every year, we conduct courses and/or provide obligatory online reinforcement on issues and</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casuistic of ML/FT to employees and directors to ensure internalization of guidelines and controls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renew Credicorp’s commitment to combat money laundering and financing of terrorism. The</w:t>
            </w:r>
          </w:p>
        </w:tc>
        <w:tc>
          <w:tcPr>
            <w:tcW w:w="0" w:type="dxa"/>
            <w:vAlign w:val="bottom"/>
          </w:tcPr>
          <w:p>
            <w:pPr>
              <w:spacing w:after="0"/>
              <w:rPr>
                <w:sz w:val="1"/>
                <w:szCs w:val="1"/>
                <w:color w:val="auto"/>
              </w:rPr>
            </w:pPr>
          </w:p>
        </w:tc>
      </w:tr>
      <w:tr>
        <w:trPr>
          <w:trHeight w:val="185"/>
        </w:trPr>
        <w:tc>
          <w:tcPr>
            <w:tcW w:w="80" w:type="dxa"/>
            <w:vAlign w:val="bottom"/>
            <w:tcBorders>
              <w:lef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course and efforts rolled out in 2022 reached 30,000 employees.</w:t>
            </w:r>
          </w:p>
        </w:tc>
        <w:tc>
          <w:tcPr>
            <w:tcW w:w="0" w:type="dxa"/>
            <w:vAlign w:val="bottom"/>
          </w:tcPr>
          <w:p>
            <w:pPr>
              <w:spacing w:after="0"/>
              <w:rPr>
                <w:sz w:val="1"/>
                <w:szCs w:val="1"/>
                <w:color w:val="auto"/>
              </w:rPr>
            </w:pPr>
          </w:p>
        </w:tc>
      </w:tr>
      <w:tr>
        <w:trPr>
          <w:trHeight w:val="334"/>
        </w:trPr>
        <w:tc>
          <w:tcPr>
            <w:tcW w:w="8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Analytics and business intelligence</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Our models help us identify unusual and/or suspicious transactions to detect emerging risks of</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money laundering or financing of terrorism. In 2022, 11 new analytical models were implemented</w:t>
            </w:r>
          </w:p>
        </w:tc>
        <w:tc>
          <w:tcPr>
            <w:tcW w:w="0" w:type="dxa"/>
            <w:vAlign w:val="bottom"/>
          </w:tcPr>
          <w:p>
            <w:pPr>
              <w:spacing w:after="0"/>
              <w:rPr>
                <w:sz w:val="1"/>
                <w:szCs w:val="1"/>
                <w:color w:val="auto"/>
              </w:rPr>
            </w:pPr>
          </w:p>
        </w:tc>
      </w:tr>
      <w:tr>
        <w:trPr>
          <w:trHeight w:val="185"/>
        </w:trPr>
        <w:tc>
          <w:tcPr>
            <w:tcW w:w="80" w:type="dxa"/>
            <w:vAlign w:val="bottom"/>
            <w:tcBorders>
              <w:left w:val="single" w:sz="8" w:color="auto"/>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6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to strengthen SPLAFT (system to prevent money laundering and financing of terrorism).</w:t>
            </w:r>
          </w:p>
        </w:tc>
        <w:tc>
          <w:tcPr>
            <w:tcW w:w="0" w:type="dxa"/>
            <w:vAlign w:val="bottom"/>
          </w:tcPr>
          <w:p>
            <w:pPr>
              <w:spacing w:after="0"/>
              <w:rPr>
                <w:sz w:val="1"/>
                <w:szCs w:val="1"/>
                <w:color w:val="auto"/>
              </w:rPr>
            </w:pPr>
          </w:p>
        </w:tc>
      </w:tr>
      <w:tr>
        <w:trPr>
          <w:trHeight w:val="337"/>
        </w:trPr>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60" w:type="dxa"/>
            <w:vAlign w:val="bottom"/>
          </w:tcPr>
          <w:p>
            <w:pPr>
              <w:ind w:left="6600"/>
              <w:spacing w:after="0"/>
              <w:rPr>
                <w:sz w:val="20"/>
                <w:szCs w:val="20"/>
                <w:color w:val="auto"/>
              </w:rPr>
            </w:pPr>
            <w:r>
              <w:rPr>
                <w:rFonts w:ascii="Arial" w:cs="Arial" w:eastAsia="Arial" w:hAnsi="Arial"/>
                <w:sz w:val="15"/>
                <w:szCs w:val="15"/>
                <w:color w:val="auto"/>
                <w:w w:val="87"/>
              </w:rPr>
              <w:t>172</w:t>
            </w:r>
          </w:p>
        </w:tc>
        <w:tc>
          <w:tcPr>
            <w:tcW w:w="0" w:type="dxa"/>
            <w:vAlign w:val="bottom"/>
          </w:tcPr>
          <w:p>
            <w:pPr>
              <w:spacing w:after="0"/>
              <w:rPr>
                <w:sz w:val="1"/>
                <w:szCs w:val="1"/>
                <w:color w:val="auto"/>
              </w:rPr>
            </w:pPr>
          </w:p>
        </w:tc>
      </w:tr>
      <w:tr>
        <w:trPr>
          <w:trHeight w:val="38"/>
        </w:trPr>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9" w:right="319" w:bottom="1440" w:gutter="0" w:footer="0" w:header="0"/>
        </w:sectPr>
      </w:pPr>
    </w:p>
    <w:bookmarkStart w:id="175" w:name="page176"/>
    <w:bookmarkEnd w:id="175"/>
    <w:p>
      <w:pPr>
        <w:spacing w:after="0" w:line="1" w:lineRule="exact"/>
        <w:rPr>
          <w:sz w:val="20"/>
          <w:szCs w:val="20"/>
          <w:color w:val="auto"/>
        </w:rPr>
      </w:pPr>
    </w:p>
    <w:tbl>
      <w:tblPr>
        <w:tblLayout w:type="fixed"/>
        <w:tblInd w:w="18" w:type="dxa"/>
        <w:tblCellMar>
          <w:top w:w="0" w:type="dxa"/>
          <w:left w:w="0" w:type="dxa"/>
          <w:bottom w:w="0" w:type="dxa"/>
          <w:right w:w="0" w:type="dxa"/>
        </w:tblCellMar>
      </w:tblPr>
      <w:tr>
        <w:trPr>
          <w:trHeight w:val="177"/>
        </w:trPr>
        <w:tc>
          <w:tcPr>
            <w:tcW w:w="80" w:type="dxa"/>
            <w:vAlign w:val="bottom"/>
            <w:tcBorders>
              <w:top w:val="single" w:sz="8" w:color="auto"/>
              <w:left w:val="single" w:sz="8" w:color="auto"/>
            </w:tcBorders>
          </w:tcPr>
          <w:p>
            <w:pPr>
              <w:spacing w:after="0"/>
              <w:rPr>
                <w:sz w:val="15"/>
                <w:szCs w:val="15"/>
                <w:color w:val="auto"/>
              </w:rPr>
            </w:pPr>
          </w:p>
        </w:tc>
        <w:tc>
          <w:tcPr>
            <w:tcW w:w="13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5"/>
                <w:szCs w:val="15"/>
                <w:color w:val="auto"/>
              </w:rPr>
              <w:t>Fiscal</w:t>
            </w:r>
          </w:p>
        </w:tc>
        <w:tc>
          <w:tcPr>
            <w:tcW w:w="1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We contribute to</w:t>
            </w:r>
          </w:p>
        </w:tc>
        <w:tc>
          <w:tcPr>
            <w:tcW w:w="14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International</w:t>
            </w:r>
          </w:p>
        </w:tc>
        <w:tc>
          <w:tcPr>
            <w:tcW w:w="68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 xml:space="preserve">We abide by international rules on the exchange of financial information: </w:t>
            </w:r>
            <w:r>
              <w:rPr>
                <w:rFonts w:ascii="Arial" w:cs="Arial" w:eastAsia="Arial" w:hAnsi="Arial"/>
                <w:sz w:val="15"/>
                <w:szCs w:val="15"/>
                <w:i w:val="1"/>
                <w:iCs w:val="1"/>
                <w:color w:val="auto"/>
              </w:rPr>
              <w:t>FATCA (CRS applies to 8</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Transparency</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efforts that</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 xml:space="preserve">Regulation </w:t>
            </w:r>
            <w:r>
              <w:rPr>
                <w:rFonts w:ascii="Arial" w:cs="Arial" w:eastAsia="Arial" w:hAnsi="Arial"/>
                <w:sz w:val="15"/>
                <w:szCs w:val="15"/>
                <w:i w:val="1"/>
                <w:iCs w:val="1"/>
                <w:color w:val="auto"/>
              </w:rPr>
              <w:t>FATCA</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i w:val="1"/>
                <w:iCs w:val="1"/>
                <w:color w:val="auto"/>
              </w:rPr>
              <w:t>countries and more than 20 of Credicorp’s entities)</w:t>
            </w:r>
          </w:p>
        </w:tc>
        <w:tc>
          <w:tcPr>
            <w:tcW w:w="0" w:type="dxa"/>
            <w:vAlign w:val="bottom"/>
          </w:tcPr>
          <w:p>
            <w:pPr>
              <w:spacing w:after="0"/>
              <w:rPr>
                <w:sz w:val="1"/>
                <w:szCs w:val="1"/>
                <w:color w:val="auto"/>
              </w:rPr>
            </w:pPr>
          </w:p>
        </w:tc>
      </w:tr>
      <w:tr>
        <w:trPr>
          <w:trHeight w:val="169"/>
        </w:trPr>
        <w:tc>
          <w:tcPr>
            <w:tcW w:w="80" w:type="dxa"/>
            <w:vAlign w:val="bottom"/>
            <w:tcBorders>
              <w:left w:val="single" w:sz="8" w:color="auto"/>
            </w:tcBorders>
          </w:tcPr>
          <w:p>
            <w:pPr>
              <w:spacing w:after="0"/>
              <w:rPr>
                <w:sz w:val="14"/>
                <w:szCs w:val="14"/>
                <w:color w:val="auto"/>
              </w:rPr>
            </w:pPr>
          </w:p>
        </w:tc>
        <w:tc>
          <w:tcPr>
            <w:tcW w:w="130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5"/>
                <w:szCs w:val="15"/>
                <w:color w:val="auto"/>
              </w:rPr>
              <w:t>FACTCA and</w:t>
            </w:r>
          </w:p>
        </w:tc>
        <w:tc>
          <w:tcPr>
            <w:tcW w:w="1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5"/>
                <w:szCs w:val="15"/>
                <w:b w:val="1"/>
                <w:bCs w:val="1"/>
                <w:color w:val="auto"/>
              </w:rPr>
              <w:t>countries make to</w:t>
            </w:r>
          </w:p>
        </w:tc>
        <w:tc>
          <w:tcPr>
            <w:tcW w:w="144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5"/>
                <w:szCs w:val="15"/>
                <w:i w:val="1"/>
                <w:iCs w:val="1"/>
                <w:color w:val="auto"/>
              </w:rPr>
              <w:t>(Foreign Account</w:t>
            </w:r>
          </w:p>
        </w:tc>
        <w:tc>
          <w:tcPr>
            <w:tcW w:w="6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62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5"/>
                <w:szCs w:val="15"/>
                <w:color w:val="auto"/>
              </w:rPr>
              <w:t>CRS</w:t>
            </w:r>
          </w:p>
        </w:tc>
        <w:tc>
          <w:tcPr>
            <w:tcW w:w="6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ind w:left="60"/>
              <w:spacing w:after="0" w:line="153" w:lineRule="exact"/>
              <w:rPr>
                <w:sz w:val="20"/>
                <w:szCs w:val="20"/>
                <w:color w:val="auto"/>
              </w:rPr>
            </w:pPr>
            <w:r>
              <w:rPr>
                <w:rFonts w:ascii="Arial" w:cs="Arial" w:eastAsia="Arial" w:hAnsi="Arial"/>
                <w:sz w:val="15"/>
                <w:szCs w:val="15"/>
                <w:b w:val="1"/>
                <w:bCs w:val="1"/>
                <w:color w:val="auto"/>
              </w:rPr>
              <w:t>prevent tax</w:t>
            </w:r>
          </w:p>
        </w:tc>
        <w:tc>
          <w:tcPr>
            <w:tcW w:w="1440" w:type="dxa"/>
            <w:vAlign w:val="bottom"/>
            <w:tcBorders>
              <w:right w:val="single" w:sz="8" w:color="auto"/>
            </w:tcBorders>
          </w:tcPr>
          <w:p>
            <w:pPr>
              <w:ind w:left="60"/>
              <w:spacing w:after="0" w:line="153" w:lineRule="exact"/>
              <w:rPr>
                <w:sz w:val="20"/>
                <w:szCs w:val="20"/>
                <w:color w:val="auto"/>
              </w:rPr>
            </w:pPr>
            <w:r>
              <w:rPr>
                <w:rFonts w:ascii="Arial" w:cs="Arial" w:eastAsia="Arial" w:hAnsi="Arial"/>
                <w:sz w:val="15"/>
                <w:szCs w:val="15"/>
                <w:i w:val="1"/>
                <w:iCs w:val="1"/>
                <w:color w:val="auto"/>
              </w:rPr>
              <w:t>Tax Compliance</w:t>
            </w:r>
          </w:p>
        </w:tc>
        <w:tc>
          <w:tcPr>
            <w:tcW w:w="686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5"/>
                <w:szCs w:val="15"/>
                <w:b w:val="1"/>
                <w:bCs w:val="1"/>
                <w:color w:val="auto"/>
              </w:rPr>
              <w:t>Culture:</w:t>
            </w:r>
          </w:p>
        </w:tc>
        <w:tc>
          <w:tcPr>
            <w:tcW w:w="0" w:type="dxa"/>
            <w:vAlign w:val="bottom"/>
          </w:tcPr>
          <w:p>
            <w:pPr>
              <w:spacing w:after="0"/>
              <w:rPr>
                <w:sz w:val="1"/>
                <w:szCs w:val="1"/>
                <w:color w:val="auto"/>
              </w:rPr>
            </w:pPr>
          </w:p>
        </w:tc>
      </w:tr>
      <w:tr>
        <w:trPr>
          <w:trHeight w:val="159"/>
        </w:trPr>
        <w:tc>
          <w:tcPr>
            <w:tcW w:w="80" w:type="dxa"/>
            <w:vAlign w:val="bottom"/>
            <w:tcBorders>
              <w:left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ind w:left="60"/>
              <w:spacing w:after="0" w:line="159" w:lineRule="exact"/>
              <w:rPr>
                <w:sz w:val="20"/>
                <w:szCs w:val="20"/>
                <w:color w:val="auto"/>
              </w:rPr>
            </w:pPr>
            <w:r>
              <w:rPr>
                <w:rFonts w:ascii="Arial" w:cs="Arial" w:eastAsia="Arial" w:hAnsi="Arial"/>
                <w:sz w:val="15"/>
                <w:szCs w:val="15"/>
                <w:b w:val="1"/>
                <w:bCs w:val="1"/>
                <w:color w:val="auto"/>
              </w:rPr>
              <w:t>evasion</w:t>
            </w:r>
          </w:p>
        </w:tc>
        <w:tc>
          <w:tcPr>
            <w:tcW w:w="1440" w:type="dxa"/>
            <w:vAlign w:val="bottom"/>
            <w:tcBorders>
              <w:right w:val="single" w:sz="8" w:color="auto"/>
            </w:tcBorders>
          </w:tcPr>
          <w:p>
            <w:pPr>
              <w:ind w:left="60"/>
              <w:spacing w:after="0" w:line="159" w:lineRule="exact"/>
              <w:rPr>
                <w:sz w:val="20"/>
                <w:szCs w:val="20"/>
                <w:color w:val="auto"/>
              </w:rPr>
            </w:pPr>
            <w:r>
              <w:rPr>
                <w:rFonts w:ascii="Arial" w:cs="Arial" w:eastAsia="Arial" w:hAnsi="Arial"/>
                <w:sz w:val="15"/>
                <w:szCs w:val="15"/>
                <w:i w:val="1"/>
                <w:iCs w:val="1"/>
                <w:color w:val="auto"/>
              </w:rPr>
              <w:t>Act) y CRS</w:t>
            </w:r>
          </w:p>
        </w:tc>
        <w:tc>
          <w:tcPr>
            <w:tcW w:w="686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5"/>
                <w:szCs w:val="15"/>
                <w:color w:val="auto"/>
              </w:rPr>
              <w:t>In 2022, we trained more than 2 thousand employees at high-risk units and disseminated</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i w:val="1"/>
                <w:iCs w:val="1"/>
                <w:color w:val="auto"/>
              </w:rPr>
              <w:t>(Common</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information to the sales force and support groups to ensure that they internalize the importance of</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i w:val="1"/>
                <w:iCs w:val="1"/>
                <w:color w:val="auto"/>
              </w:rPr>
              <w:t>Reporting</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financial transparency within our businesses.</w:t>
            </w:r>
          </w:p>
        </w:tc>
        <w:tc>
          <w:tcPr>
            <w:tcW w:w="0" w:type="dxa"/>
            <w:vAlign w:val="bottom"/>
          </w:tcPr>
          <w:p>
            <w:pPr>
              <w:spacing w:after="0"/>
              <w:rPr>
                <w:sz w:val="1"/>
                <w:szCs w:val="1"/>
                <w:color w:val="auto"/>
              </w:rPr>
            </w:pPr>
          </w:p>
        </w:tc>
      </w:tr>
      <w:tr>
        <w:trPr>
          <w:trHeight w:val="201"/>
        </w:trPr>
        <w:tc>
          <w:tcPr>
            <w:tcW w:w="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i w:val="1"/>
                <w:iCs w:val="1"/>
                <w:color w:val="auto"/>
              </w:rPr>
              <w:t>Standard).</w:t>
            </w:r>
          </w:p>
        </w:tc>
        <w:tc>
          <w:tcPr>
            <w:tcW w:w="68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Regulatory Guidelines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 2022, we issued more than 73 FATCA and CRS reports to tax authorities in 8 countries at the</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 level with the following results: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  15,517 clients with foreign tax domiciles.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  26,783 financial accounts reported.</w:t>
            </w:r>
          </w:p>
        </w:tc>
        <w:tc>
          <w:tcPr>
            <w:tcW w:w="0" w:type="dxa"/>
            <w:vAlign w:val="bottom"/>
          </w:tcPr>
          <w:p>
            <w:pPr>
              <w:spacing w:after="0"/>
              <w:rPr>
                <w:sz w:val="1"/>
                <w:szCs w:val="1"/>
                <w:color w:val="auto"/>
              </w:rPr>
            </w:pPr>
          </w:p>
        </w:tc>
      </w:tr>
      <w:tr>
        <w:trPr>
          <w:trHeight w:val="185"/>
        </w:trPr>
        <w:tc>
          <w:tcPr>
            <w:tcW w:w="8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86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  More than US$ 12,971 million in balances and yields reported.</w:t>
            </w:r>
          </w:p>
        </w:tc>
        <w:tc>
          <w:tcPr>
            <w:tcW w:w="0" w:type="dxa"/>
            <w:vAlign w:val="bottom"/>
          </w:tcPr>
          <w:p>
            <w:pPr>
              <w:spacing w:after="0"/>
              <w:rPr>
                <w:sz w:val="1"/>
                <w:szCs w:val="1"/>
                <w:color w:val="auto"/>
              </w:rPr>
            </w:pPr>
          </w:p>
        </w:tc>
      </w:tr>
      <w:tr>
        <w:trPr>
          <w:trHeight w:val="334"/>
        </w:trPr>
        <w:tc>
          <w:tcPr>
            <w:tcW w:w="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Alignment with best international practices: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BCP Perú achieved a HIGH level of compliance regarding the best FATCA-CRS practices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promoted by the Organization for Economic Cooperation and Development (OECD). This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assessment was conducted by an independent third party. Credicorp has become a point of</w:t>
            </w:r>
          </w:p>
        </w:tc>
        <w:tc>
          <w:tcPr>
            <w:tcW w:w="0" w:type="dxa"/>
            <w:vAlign w:val="bottom"/>
          </w:tcPr>
          <w:p>
            <w:pPr>
              <w:spacing w:after="0"/>
              <w:rPr>
                <w:sz w:val="1"/>
                <w:szCs w:val="1"/>
                <w:color w:val="auto"/>
              </w:rPr>
            </w:pPr>
          </w:p>
        </w:tc>
      </w:tr>
      <w:tr>
        <w:trPr>
          <w:trHeight w:val="185"/>
        </w:trPr>
        <w:tc>
          <w:tcPr>
            <w:tcW w:w="8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reference for entities in the country and the region.</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68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gridSpan w:val="3"/>
          </w:tcPr>
          <w:p>
            <w:pPr>
              <w:spacing w:after="0" w:line="157" w:lineRule="exact"/>
              <w:rPr>
                <w:sz w:val="20"/>
                <w:szCs w:val="20"/>
                <w:color w:val="auto"/>
              </w:rPr>
            </w:pPr>
            <w:r>
              <w:rPr>
                <w:rFonts w:ascii="Arial" w:cs="Arial" w:eastAsia="Arial" w:hAnsi="Arial"/>
                <w:sz w:val="15"/>
                <w:szCs w:val="15"/>
                <w:color w:val="auto"/>
              </w:rPr>
              <w:t>Prevention of</w:t>
            </w:r>
          </w:p>
        </w:tc>
        <w:tc>
          <w:tcPr>
            <w:tcW w:w="158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5"/>
                <w:szCs w:val="15"/>
                <w:b w:val="1"/>
                <w:bCs w:val="1"/>
                <w:color w:val="auto"/>
              </w:rPr>
              <w:t>To promote</w:t>
            </w:r>
          </w:p>
        </w:tc>
        <w:tc>
          <w:tcPr>
            <w:tcW w:w="144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5"/>
                <w:szCs w:val="15"/>
                <w:color w:val="auto"/>
              </w:rPr>
              <w:t>Rules established</w:t>
            </w:r>
          </w:p>
        </w:tc>
        <w:tc>
          <w:tcPr>
            <w:tcW w:w="686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rPr>
              <w:t>We strengthened the integral control system based preventive measures such as providing</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Market Abuse</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transparency in</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regarding the</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training at risk units and implementation of automatic alerts to prevent risks of market abuse in our</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the market and</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undue use of</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operations in the securities market.</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within financial</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privileged</w:t>
            </w:r>
          </w:p>
        </w:tc>
        <w:tc>
          <w:tcPr>
            <w:tcW w:w="6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institutions, we</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information and</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 2022, 175 cases of possible undue use of privileged information and market information were</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prohibit the use of</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market</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investigated. None were found to indicate operations that were suspicious of reflecting Market</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privileged</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manipulation in</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Abuse.</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information and</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each of the</w:t>
            </w:r>
          </w:p>
        </w:tc>
        <w:tc>
          <w:tcPr>
            <w:tcW w:w="6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the manipulation</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countries in which</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 2022, Credicorp Capital Colombia adhered to the Code of Conduct of Asset Managers of the</w:t>
            </w:r>
          </w:p>
        </w:tc>
        <w:tc>
          <w:tcPr>
            <w:tcW w:w="0" w:type="dxa"/>
            <w:vAlign w:val="bottom"/>
          </w:tcPr>
          <w:p>
            <w:pPr>
              <w:spacing w:after="0"/>
              <w:rPr>
                <w:sz w:val="1"/>
                <w:szCs w:val="1"/>
                <w:color w:val="auto"/>
              </w:rPr>
            </w:pPr>
          </w:p>
        </w:tc>
      </w:tr>
      <w:tr>
        <w:trPr>
          <w:trHeight w:val="203"/>
        </w:trPr>
        <w:tc>
          <w:tcPr>
            <w:tcW w:w="80" w:type="dxa"/>
            <w:vAlign w:val="bottom"/>
            <w:tcBorders>
              <w:left w:val="single" w:sz="8" w:color="auto"/>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of markets</w:t>
            </w:r>
          </w:p>
        </w:tc>
        <w:tc>
          <w:tcPr>
            <w:tcW w:w="1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we operate.</w:t>
            </w:r>
          </w:p>
        </w:tc>
        <w:tc>
          <w:tcPr>
            <w:tcW w:w="6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CFA Institute, becoming the second company in Colombia declare adherence.</w:t>
            </w:r>
          </w:p>
        </w:tc>
        <w:tc>
          <w:tcPr>
            <w:tcW w:w="0" w:type="dxa"/>
            <w:vAlign w:val="bottom"/>
          </w:tcPr>
          <w:p>
            <w:pPr>
              <w:spacing w:after="0"/>
              <w:rPr>
                <w:sz w:val="1"/>
                <w:szCs w:val="1"/>
                <w:color w:val="auto"/>
              </w:rPr>
            </w:pPr>
          </w:p>
        </w:tc>
      </w:tr>
      <w:tr>
        <w:trPr>
          <w:trHeight w:val="175"/>
        </w:trPr>
        <w:tc>
          <w:tcPr>
            <w:tcW w:w="8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Occupational</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Credicorp reaffirms</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Our commitment</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Scope and Governance:</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Safety and</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its commitment to</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is reflected in our</w:t>
            </w:r>
          </w:p>
        </w:tc>
        <w:tc>
          <w:tcPr>
            <w:tcW w:w="68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Our system of OSH is audited internally and externally and covers 100% of our employees</w:t>
            </w:r>
            <w:r>
              <w:rPr>
                <w:rFonts w:ascii="Arial" w:cs="Arial" w:eastAsia="Arial" w:hAnsi="Arial"/>
                <w:sz w:val="25"/>
                <w:szCs w:val="25"/>
                <w:color w:val="auto"/>
                <w:vertAlign w:val="superscript"/>
              </w:rPr>
              <w:t>86</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Health</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social responsibility</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System for</w:t>
            </w:r>
          </w:p>
        </w:tc>
        <w:tc>
          <w:tcPr>
            <w:tcW w:w="68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by promoting</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Occupational</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regardless of contract type. The system also covers suppliers and visitors at all of our facilities</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5"/>
                <w:szCs w:val="15"/>
                <w:color w:val="auto"/>
              </w:rPr>
              <w:t>dignified work via</w:t>
            </w:r>
          </w:p>
        </w:tc>
        <w:tc>
          <w:tcPr>
            <w:tcW w:w="14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5"/>
                <w:szCs w:val="15"/>
                <w:color w:val="auto"/>
              </w:rPr>
              <w:t>Safety and Health</w:t>
            </w:r>
          </w:p>
        </w:tc>
        <w:tc>
          <w:tcPr>
            <w:tcW w:w="686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5"/>
                <w:szCs w:val="15"/>
                <w:color w:val="auto"/>
              </w:rPr>
              <w:t>around the country; the objective is to prevent workplace accidents/illnesses.</w:t>
            </w:r>
          </w:p>
        </w:tc>
        <w:tc>
          <w:tcPr>
            <w:tcW w:w="0" w:type="dxa"/>
            <w:vAlign w:val="bottom"/>
          </w:tcPr>
          <w:p>
            <w:pPr>
              <w:spacing w:after="0"/>
              <w:rPr>
                <w:sz w:val="1"/>
                <w:szCs w:val="1"/>
                <w:color w:val="auto"/>
              </w:rPr>
            </w:pPr>
          </w:p>
        </w:tc>
      </w:tr>
      <w:tr>
        <w:trPr>
          <w:trHeight w:val="191"/>
        </w:trPr>
        <w:tc>
          <w:tcPr>
            <w:tcW w:w="8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safe and healthy</w:t>
            </w:r>
          </w:p>
        </w:tc>
        <w:tc>
          <w:tcPr>
            <w:tcW w:w="144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4"/>
                <w:szCs w:val="14"/>
                <w:color w:val="auto"/>
              </w:rPr>
              <w:t>(OSH System)</w:t>
            </w:r>
            <w:r>
              <w:rPr>
                <w:rFonts w:ascii="Arial" w:cs="Arial" w:eastAsia="Arial" w:hAnsi="Arial"/>
                <w:sz w:val="22"/>
                <w:szCs w:val="22"/>
                <w:color w:val="auto"/>
                <w:vertAlign w:val="superscript"/>
              </w:rPr>
              <w:t>85</w:t>
            </w:r>
            <w:r>
              <w:rPr>
                <w:rFonts w:ascii="Arial" w:cs="Arial" w:eastAsia="Arial" w:hAnsi="Arial"/>
                <w:sz w:val="14"/>
                <w:szCs w:val="14"/>
                <w:b w:val="1"/>
                <w:bCs w:val="1"/>
                <w:color w:val="auto"/>
              </w:rPr>
              <w:t>,</w:t>
            </w:r>
          </w:p>
        </w:tc>
        <w:tc>
          <w:tcPr>
            <w:tcW w:w="6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work environments.</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whose purpose is</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Credicorp’s OSH system is led by Executive Management and the OSH Committee at each of the</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to protect the</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Group’s companies.</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physical integrity</w:t>
            </w:r>
          </w:p>
        </w:tc>
        <w:tc>
          <w:tcPr>
            <w:tcW w:w="6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or our employees</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Employees participate in the OSH Committee, which is comprised of an equal number of</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suppliers who</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representatives of the employer and employees. The latter are elected democratically through a</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work at our</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secret and direct ballot and serve for a period of 2 years. This committee meets monthly on an</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facilities in</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ordinary basis to make decisions and follow up on the results of the Yearly Program for OSH and</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accordance with</w:t>
            </w:r>
          </w:p>
        </w:tc>
        <w:tc>
          <w:tcPr>
            <w:tcW w:w="68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on any accidents that have been reported.</w:t>
            </w:r>
          </w:p>
        </w:tc>
        <w:tc>
          <w:tcPr>
            <w:tcW w:w="0" w:type="dxa"/>
            <w:vAlign w:val="bottom"/>
          </w:tcPr>
          <w:p>
            <w:pPr>
              <w:spacing w:after="0"/>
              <w:rPr>
                <w:sz w:val="1"/>
                <w:szCs w:val="1"/>
                <w:color w:val="auto"/>
              </w:rPr>
            </w:pPr>
          </w:p>
        </w:tc>
      </w:tr>
      <w:tr>
        <w:trPr>
          <w:trHeight w:val="173"/>
        </w:trPr>
        <w:tc>
          <w:tcPr>
            <w:tcW w:w="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applicable</w:t>
            </w:r>
          </w:p>
        </w:tc>
        <w:tc>
          <w:tcPr>
            <w:tcW w:w="6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Borders>
              <w:left w:val="single" w:sz="8" w:color="auto"/>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regulations.</w:t>
            </w:r>
          </w:p>
        </w:tc>
        <w:tc>
          <w:tcPr>
            <w:tcW w:w="6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42748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53" w:lineRule="exact"/>
        <w:rPr>
          <w:sz w:val="20"/>
          <w:szCs w:val="20"/>
          <w:color w:val="auto"/>
        </w:rPr>
      </w:pPr>
    </w:p>
    <w:p>
      <w:pPr>
        <w:ind w:left="188" w:hanging="188"/>
        <w:spacing w:after="0"/>
        <w:tabs>
          <w:tab w:leader="none" w:pos="188" w:val="left"/>
        </w:tabs>
        <w:numPr>
          <w:ilvl w:val="0"/>
          <w:numId w:val="134"/>
        </w:numPr>
        <w:rPr>
          <w:rFonts w:ascii="Arial" w:cs="Arial" w:eastAsia="Arial" w:hAnsi="Arial"/>
          <w:sz w:val="25"/>
          <w:szCs w:val="25"/>
          <w:color w:val="auto"/>
          <w:vertAlign w:val="superscript"/>
        </w:rPr>
      </w:pPr>
      <w:r>
        <w:rPr>
          <w:rFonts w:ascii="Arial" w:cs="Arial" w:eastAsia="Arial" w:hAnsi="Arial"/>
          <w:sz w:val="15"/>
          <w:szCs w:val="15"/>
          <w:color w:val="auto"/>
        </w:rPr>
        <w:t>This program has scope in Peru and is aligned with local regulations</w:t>
      </w:r>
    </w:p>
    <w:p>
      <w:pPr>
        <w:ind w:left="8" w:right="80" w:hanging="8"/>
        <w:spacing w:after="0" w:line="186" w:lineRule="auto"/>
        <w:tabs>
          <w:tab w:leader="none" w:pos="186" w:val="left"/>
        </w:tabs>
        <w:numPr>
          <w:ilvl w:val="0"/>
          <w:numId w:val="134"/>
        </w:numPr>
        <w:rPr>
          <w:rFonts w:ascii="Arial" w:cs="Arial" w:eastAsia="Arial" w:hAnsi="Arial"/>
          <w:sz w:val="25"/>
          <w:szCs w:val="25"/>
          <w:color w:val="auto"/>
          <w:vertAlign w:val="superscript"/>
        </w:rPr>
      </w:pPr>
      <w:r>
        <w:rPr>
          <w:rFonts w:ascii="Arial" w:cs="Arial" w:eastAsia="Arial" w:hAnsi="Arial"/>
          <w:sz w:val="15"/>
          <w:szCs w:val="15"/>
          <w:color w:val="auto"/>
        </w:rPr>
        <w:t>BCP, Mibanco, Pacifico Seguros, Pacifico EPS, Pacifico Asiste, Prima AFP, Credicorp Capital Servicios Financieros, Credicorp Capital Fondos y Credicorp Capital Bolsa, Grupo Crédito</w:t>
      </w:r>
    </w:p>
    <w:p>
      <w:pPr>
        <w:spacing w:after="0" w:line="151" w:lineRule="exact"/>
        <w:rPr>
          <w:sz w:val="20"/>
          <w:szCs w:val="20"/>
          <w:color w:val="auto"/>
        </w:rPr>
      </w:pPr>
    </w:p>
    <w:p>
      <w:pPr>
        <w:ind w:left="11008"/>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20" w:right="319" w:bottom="1440" w:gutter="0" w:footer="0" w:header="0"/>
        </w:sectPr>
      </w:pPr>
    </w:p>
    <w:bookmarkStart w:id="176" w:name="page177"/>
    <w:bookmarkEnd w:id="176"/>
    <w:p>
      <w:pPr>
        <w:ind w:left="3360" w:right="280"/>
        <w:spacing w:after="0" w:line="2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52640" cy="39528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2640" cy="3952875"/>
                    </a:xfrm>
                    <a:prstGeom prst="rect">
                      <a:avLst/>
                    </a:prstGeom>
                    <a:noFill/>
                  </pic:spPr>
                </pic:pic>
              </a:graphicData>
            </a:graphic>
          </wp:anchor>
        </w:drawing>
        <w:t>Every quarter, the OSH Committee issues Regulatory Reports to General Management on progress in the implementation of the Annual OSH Program. The OSH is subjected to annual review by Management within the framework to generate on-going improvements in the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Culture:</w:t>
      </w:r>
    </w:p>
    <w:p>
      <w:pPr>
        <w:spacing w:after="0" w:line="18" w:lineRule="exact"/>
        <w:rPr>
          <w:sz w:val="20"/>
          <w:szCs w:val="20"/>
          <w:color w:val="auto"/>
        </w:rPr>
      </w:pPr>
    </w:p>
    <w:p>
      <w:pPr>
        <w:ind w:left="3360" w:right="760"/>
        <w:spacing w:after="0"/>
        <w:rPr>
          <w:sz w:val="20"/>
          <w:szCs w:val="20"/>
          <w:color w:val="auto"/>
        </w:rPr>
      </w:pPr>
      <w:r>
        <w:rPr>
          <w:rFonts w:ascii="Arial" w:cs="Arial" w:eastAsia="Arial" w:hAnsi="Arial"/>
          <w:sz w:val="15"/>
          <w:szCs w:val="15"/>
          <w:color w:val="auto"/>
        </w:rPr>
        <w:t>Our annual training program includes 05 regulatory training sessions, one of which treats prevention of COVID-19 while the other four focus on preventing occupational risks.</w:t>
      </w:r>
    </w:p>
    <w:p>
      <w:pPr>
        <w:spacing w:after="0" w:line="1" w:lineRule="exact"/>
        <w:rPr>
          <w:sz w:val="20"/>
          <w:szCs w:val="20"/>
          <w:color w:val="auto"/>
        </w:rPr>
      </w:pPr>
    </w:p>
    <w:p>
      <w:pPr>
        <w:ind w:left="3360" w:right="220"/>
        <w:spacing w:after="0" w:line="249" w:lineRule="auto"/>
        <w:rPr>
          <w:sz w:val="20"/>
          <w:szCs w:val="20"/>
          <w:color w:val="auto"/>
        </w:rPr>
      </w:pPr>
      <w:r>
        <w:rPr>
          <w:rFonts w:ascii="Arial" w:cs="Arial" w:eastAsia="Arial" w:hAnsi="Arial"/>
          <w:sz w:val="15"/>
          <w:szCs w:val="15"/>
          <w:color w:val="auto"/>
        </w:rPr>
        <w:t>The aforementioned transversal courses served as platforms to launch courses for specific risks, such as defensive driving, heavy lifting and hearing and ergonomic protection and included communications on OSH controls to manage occupational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60" w:right="160"/>
        <w:spacing w:after="0" w:line="246" w:lineRule="auto"/>
        <w:rPr>
          <w:sz w:val="20"/>
          <w:szCs w:val="20"/>
          <w:color w:val="auto"/>
        </w:rPr>
      </w:pPr>
      <w:r>
        <w:rPr>
          <w:rFonts w:ascii="Arial" w:cs="Arial" w:eastAsia="Arial" w:hAnsi="Arial"/>
          <w:sz w:val="15"/>
          <w:szCs w:val="15"/>
          <w:color w:val="auto"/>
        </w:rPr>
        <w:t>In 2022, we provided training to 125 people who were responsible for managing OSH at 75 of our suppliers to reinforce good practices for safe workplaces, safe workplace environments and prevention of on-the-job risks that can lead to accidents and illnesses in the workplace. These efforts were conducted in Peru.</w:t>
      </w:r>
    </w:p>
    <w:p>
      <w:pPr>
        <w:spacing w:after="0" w:line="139"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Controls and Monitoring:</w:t>
      </w:r>
    </w:p>
    <w:p>
      <w:pPr>
        <w:spacing w:after="0" w:line="18" w:lineRule="exact"/>
        <w:rPr>
          <w:sz w:val="20"/>
          <w:szCs w:val="20"/>
          <w:color w:val="auto"/>
        </w:rPr>
      </w:pPr>
    </w:p>
    <w:p>
      <w:pPr>
        <w:ind w:left="3360" w:right="420"/>
        <w:spacing w:after="0" w:line="258" w:lineRule="auto"/>
        <w:rPr>
          <w:sz w:val="20"/>
          <w:szCs w:val="20"/>
          <w:color w:val="auto"/>
        </w:rPr>
      </w:pPr>
      <w:r>
        <w:rPr>
          <w:rFonts w:ascii="Arial" w:cs="Arial" w:eastAsia="Arial" w:hAnsi="Arial"/>
          <w:sz w:val="15"/>
          <w:szCs w:val="15"/>
          <w:color w:val="auto"/>
        </w:rPr>
        <w:t>During 2022, more than 400 online and on-site inspections of installations around the country, including company headquarters and branches to verify conditions in the workplace.</w:t>
      </w:r>
    </w:p>
    <w:p>
      <w:pPr>
        <w:spacing w:after="0" w:line="130"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Supervision:</w:t>
      </w:r>
    </w:p>
    <w:p>
      <w:pPr>
        <w:spacing w:after="0" w:line="18" w:lineRule="exact"/>
        <w:rPr>
          <w:sz w:val="20"/>
          <w:szCs w:val="20"/>
          <w:color w:val="auto"/>
        </w:rPr>
      </w:pPr>
    </w:p>
    <w:p>
      <w:pPr>
        <w:ind w:left="3360" w:right="280"/>
        <w:spacing w:after="0" w:line="249" w:lineRule="auto"/>
        <w:rPr>
          <w:sz w:val="20"/>
          <w:szCs w:val="20"/>
          <w:color w:val="auto"/>
        </w:rPr>
      </w:pPr>
      <w:r>
        <w:rPr>
          <w:rFonts w:ascii="Arial" w:cs="Arial" w:eastAsia="Arial" w:hAnsi="Arial"/>
          <w:sz w:val="15"/>
          <w:szCs w:val="15"/>
          <w:color w:val="auto"/>
        </w:rPr>
        <w:t>The OSH system is verified through annual internal audits and external audits every 03 years to the auditor accredited by the Ministry of Labor and Promotion of Employment. It is important to note that our OSH system is aligned with ISO 45001:2018.</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29845</wp:posOffset>
            </wp:positionV>
            <wp:extent cx="7152640" cy="146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140"/>
          </w:cols>
          <w:pgMar w:left="1440" w:top="335" w:right="319" w:bottom="1440" w:gutter="0" w:footer="0" w:header="0"/>
        </w:sectPr>
      </w:pPr>
    </w:p>
    <w:bookmarkStart w:id="177" w:name="page178"/>
    <w:bookmarkEnd w:id="177"/>
    <w:p>
      <w:pPr>
        <w:spacing w:after="0"/>
        <w:rPr>
          <w:sz w:val="20"/>
          <w:szCs w:val="20"/>
          <w:color w:val="auto"/>
        </w:rPr>
      </w:pPr>
      <w:r>
        <w:rPr>
          <w:rFonts w:ascii="Arial" w:cs="Arial" w:eastAsia="Arial" w:hAnsi="Arial"/>
          <w:sz w:val="25"/>
          <w:szCs w:val="25"/>
          <w:b w:val="1"/>
          <w:bCs w:val="1"/>
          <w:color w:val="auto"/>
        </w:rPr>
        <w:t>SASB Table of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15264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SASB FN-CB-000.A, FN-CB-000.B, FN-CB-240a.3</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720" w:type="dxa"/>
            <w:vAlign w:val="bottom"/>
            <w:tcBorders>
              <w:left w:val="single" w:sz="8" w:color="auto"/>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180" w:type="dxa"/>
            <w:vAlign w:val="bottom"/>
            <w:tcBorders>
              <w:right w:val="single" w:sz="8" w:color="auto"/>
            </w:tcBorders>
            <w:shd w:val="clear" w:color="auto" w:fill="000000"/>
          </w:tcPr>
          <w:p>
            <w:pPr>
              <w:spacing w:after="0"/>
              <w:rPr>
                <w:sz w:val="17"/>
                <w:szCs w:val="17"/>
                <w:color w:val="auto"/>
              </w:rPr>
            </w:pPr>
          </w:p>
        </w:tc>
        <w:tc>
          <w:tcPr>
            <w:tcW w:w="4780" w:type="dxa"/>
            <w:vAlign w:val="bottom"/>
            <w:tcBorders>
              <w:right w:val="single" w:sz="8" w:color="auto"/>
            </w:tcBorders>
            <w:shd w:val="clear" w:color="auto" w:fill="000000"/>
          </w:tcPr>
          <w:p>
            <w:pPr>
              <w:spacing w:after="0"/>
              <w:rPr>
                <w:sz w:val="17"/>
                <w:szCs w:val="17"/>
                <w:color w:val="auto"/>
              </w:rPr>
            </w:pPr>
          </w:p>
        </w:tc>
        <w:tc>
          <w:tcPr>
            <w:tcW w:w="1420" w:type="dxa"/>
            <w:vAlign w:val="bottom"/>
            <w:tcBorders>
              <w:right w:val="single" w:sz="8" w:color="auto"/>
            </w:tcBorders>
            <w:gridSpan w:val="2"/>
            <w:shd w:val="clear" w:color="auto" w:fill="000000"/>
          </w:tcPr>
          <w:p>
            <w:pPr>
              <w:jc w:val="center"/>
              <w:ind w:left="883"/>
              <w:spacing w:after="0"/>
              <w:rPr>
                <w:sz w:val="20"/>
                <w:szCs w:val="20"/>
                <w:color w:val="auto"/>
              </w:rPr>
            </w:pPr>
            <w:r>
              <w:rPr>
                <w:rFonts w:ascii="Arial" w:cs="Arial" w:eastAsia="Arial" w:hAnsi="Arial"/>
                <w:sz w:val="15"/>
                <w:szCs w:val="15"/>
                <w:b w:val="1"/>
                <w:bCs w:val="1"/>
                <w:color w:val="FFFFFF"/>
              </w:rPr>
              <w:t>2022</w:t>
            </w:r>
          </w:p>
        </w:tc>
        <w:tc>
          <w:tcPr>
            <w:tcW w:w="120" w:type="dxa"/>
            <w:vAlign w:val="bottom"/>
            <w:shd w:val="clear" w:color="auto" w:fill="000000"/>
          </w:tcPr>
          <w:p>
            <w:pPr>
              <w:spacing w:after="0"/>
              <w:rPr>
                <w:sz w:val="17"/>
                <w:szCs w:val="17"/>
                <w:color w:val="auto"/>
              </w:rPr>
            </w:pPr>
          </w:p>
        </w:tc>
        <w:tc>
          <w:tcPr>
            <w:tcW w:w="160" w:type="dxa"/>
            <w:vAlign w:val="bottom"/>
            <w:tcBorders>
              <w:right w:val="single" w:sz="8" w:color="auto"/>
            </w:tcBorders>
            <w:shd w:val="clear" w:color="auto" w:fill="000000"/>
          </w:tcPr>
          <w:p>
            <w:pPr>
              <w:spacing w:after="0"/>
              <w:rPr>
                <w:sz w:val="17"/>
                <w:szCs w:val="17"/>
                <w:color w:val="auto"/>
              </w:rPr>
            </w:pPr>
          </w:p>
        </w:tc>
        <w:tc>
          <w:tcPr>
            <w:tcW w:w="500" w:type="dxa"/>
            <w:vAlign w:val="bottom"/>
            <w:tcBorders>
              <w:right w:val="single" w:sz="8" w:color="auto"/>
            </w:tcBorders>
            <w:shd w:val="clear" w:color="auto" w:fill="000000"/>
          </w:tcPr>
          <w:p>
            <w:pPr>
              <w:spacing w:after="0"/>
              <w:rPr>
                <w:sz w:val="17"/>
                <w:szCs w:val="17"/>
                <w:color w:val="auto"/>
              </w:rPr>
            </w:pPr>
          </w:p>
        </w:tc>
        <w:tc>
          <w:tcPr>
            <w:tcW w:w="220" w:type="dxa"/>
            <w:vAlign w:val="bottom"/>
            <w:tcBorders>
              <w:right w:val="single" w:sz="8" w:color="auto"/>
            </w:tcBorders>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1420" w:type="dxa"/>
            <w:vAlign w:val="bottom"/>
            <w:tcBorders>
              <w:right w:val="single" w:sz="8" w:color="auto"/>
            </w:tcBorders>
            <w:gridSpan w:val="3"/>
            <w:shd w:val="clear" w:color="auto" w:fill="000000"/>
          </w:tcPr>
          <w:p>
            <w:pPr>
              <w:jc w:val="center"/>
              <w:ind w:right="44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54"/>
        </w:trPr>
        <w:tc>
          <w:tcPr>
            <w:tcW w:w="720" w:type="dxa"/>
            <w:vAlign w:val="bottom"/>
            <w:tcBorders>
              <w:left w:val="single" w:sz="8" w:color="auto"/>
              <w:right w:val="single" w:sz="8" w:color="auto"/>
            </w:tcBorders>
            <w:shd w:val="clear" w:color="auto" w:fill="000000"/>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 w:type="dxa"/>
            <w:vAlign w:val="bottom"/>
            <w:tcBorders>
              <w:right w:val="single" w:sz="8" w:color="auto"/>
            </w:tcBorders>
            <w:shd w:val="clear" w:color="auto" w:fill="000000"/>
          </w:tcPr>
          <w:p>
            <w:pPr>
              <w:spacing w:after="0"/>
              <w:rPr>
                <w:sz w:val="13"/>
                <w:szCs w:val="13"/>
                <w:color w:val="auto"/>
              </w:rPr>
            </w:pPr>
          </w:p>
        </w:tc>
        <w:tc>
          <w:tcPr>
            <w:tcW w:w="180" w:type="dxa"/>
            <w:vAlign w:val="bottom"/>
            <w:tcBorders>
              <w:right w:val="single" w:sz="8" w:color="auto"/>
            </w:tcBorders>
            <w:shd w:val="clear" w:color="auto" w:fill="000000"/>
          </w:tcPr>
          <w:p>
            <w:pPr>
              <w:spacing w:after="0"/>
              <w:rPr>
                <w:sz w:val="13"/>
                <w:szCs w:val="13"/>
                <w:color w:val="auto"/>
              </w:rPr>
            </w:pPr>
          </w:p>
        </w:tc>
        <w:tc>
          <w:tcPr>
            <w:tcW w:w="4780" w:type="dxa"/>
            <w:vAlign w:val="bottom"/>
            <w:tcBorders>
              <w:right w:val="single" w:sz="8" w:color="auto"/>
            </w:tcBorders>
            <w:shd w:val="clear" w:color="auto" w:fill="000000"/>
          </w:tcPr>
          <w:p>
            <w:pPr>
              <w:spacing w:after="0"/>
              <w:rPr>
                <w:sz w:val="13"/>
                <w:szCs w:val="13"/>
                <w:color w:val="auto"/>
              </w:rPr>
            </w:pPr>
          </w:p>
        </w:tc>
        <w:tc>
          <w:tcPr>
            <w:tcW w:w="100" w:type="dxa"/>
            <w:vAlign w:val="bottom"/>
            <w:tcBorders>
              <w:right w:val="single" w:sz="8" w:color="A6A6A6"/>
            </w:tcBorders>
            <w:shd w:val="clear" w:color="auto" w:fill="A6A6A6"/>
          </w:tcPr>
          <w:p>
            <w:pPr>
              <w:spacing w:after="0"/>
              <w:rPr>
                <w:sz w:val="13"/>
                <w:szCs w:val="13"/>
                <w:color w:val="auto"/>
              </w:rPr>
            </w:pPr>
          </w:p>
        </w:tc>
        <w:tc>
          <w:tcPr>
            <w:tcW w:w="2100" w:type="dxa"/>
            <w:vAlign w:val="bottom"/>
            <w:tcBorders>
              <w:right w:val="single" w:sz="8" w:color="A6A6A6"/>
            </w:tcBorders>
            <w:gridSpan w:val="4"/>
            <w:shd w:val="clear" w:color="auto" w:fill="A6A6A6"/>
          </w:tcPr>
          <w:p>
            <w:pPr>
              <w:jc w:val="center"/>
              <w:ind w:left="23"/>
              <w:spacing w:after="0" w:line="154" w:lineRule="exact"/>
              <w:rPr>
                <w:sz w:val="20"/>
                <w:szCs w:val="20"/>
                <w:color w:val="auto"/>
              </w:rPr>
            </w:pPr>
            <w:r>
              <w:rPr>
                <w:rFonts w:ascii="Arial" w:cs="Arial" w:eastAsia="Arial" w:hAnsi="Arial"/>
                <w:sz w:val="15"/>
                <w:szCs w:val="15"/>
                <w:b w:val="1"/>
                <w:bCs w:val="1"/>
                <w:color w:val="auto"/>
              </w:rPr>
              <w:t>Total (BCP Peru + Mibanco</w:t>
            </w:r>
          </w:p>
        </w:tc>
        <w:tc>
          <w:tcPr>
            <w:tcW w:w="220" w:type="dxa"/>
            <w:vAlign w:val="bottom"/>
            <w:tcBorders>
              <w:right w:val="single" w:sz="8" w:color="auto"/>
            </w:tcBorders>
            <w:shd w:val="clear" w:color="auto" w:fill="A6A6A6"/>
          </w:tcPr>
          <w:p>
            <w:pPr>
              <w:spacing w:after="0"/>
              <w:rPr>
                <w:sz w:val="13"/>
                <w:szCs w:val="13"/>
                <w:color w:val="auto"/>
              </w:rPr>
            </w:pPr>
          </w:p>
        </w:tc>
        <w:tc>
          <w:tcPr>
            <w:tcW w:w="1920" w:type="dxa"/>
            <w:vAlign w:val="bottom"/>
            <w:tcBorders>
              <w:right w:val="single" w:sz="8" w:color="auto"/>
            </w:tcBorders>
            <w:gridSpan w:val="4"/>
            <w:shd w:val="clear" w:color="auto" w:fill="A6A6A6"/>
          </w:tcPr>
          <w:p>
            <w:pPr>
              <w:jc w:val="center"/>
              <w:spacing w:after="0" w:line="154" w:lineRule="exact"/>
              <w:rPr>
                <w:sz w:val="20"/>
                <w:szCs w:val="20"/>
                <w:color w:val="auto"/>
              </w:rPr>
            </w:pPr>
            <w:r>
              <w:rPr>
                <w:rFonts w:ascii="Arial" w:cs="Arial" w:eastAsia="Arial" w:hAnsi="Arial"/>
                <w:sz w:val="15"/>
                <w:szCs w:val="15"/>
                <w:b w:val="1"/>
                <w:bCs w:val="1"/>
                <w:color w:val="auto"/>
              </w:rPr>
              <w:t>Total (BCP Peru +</w:t>
            </w:r>
          </w:p>
        </w:tc>
        <w:tc>
          <w:tcPr>
            <w:tcW w:w="0" w:type="dxa"/>
            <w:vAlign w:val="bottom"/>
          </w:tcPr>
          <w:p>
            <w:pPr>
              <w:spacing w:after="0"/>
              <w:rPr>
                <w:sz w:val="1"/>
                <w:szCs w:val="1"/>
                <w:color w:val="auto"/>
              </w:rPr>
            </w:pPr>
          </w:p>
        </w:tc>
      </w:tr>
      <w:tr>
        <w:trPr>
          <w:trHeight w:val="192"/>
        </w:trPr>
        <w:tc>
          <w:tcPr>
            <w:tcW w:w="740" w:type="dxa"/>
            <w:vAlign w:val="bottom"/>
            <w:tcBorders>
              <w:left w:val="single" w:sz="8" w:color="auto"/>
              <w:bottom w:val="single" w:sz="8" w:color="auto"/>
            </w:tcBorders>
            <w:gridSpan w:val="2"/>
            <w:shd w:val="clear" w:color="auto" w:fill="000000"/>
          </w:tcPr>
          <w:p>
            <w:pPr>
              <w:ind w:left="140"/>
              <w:spacing w:after="0"/>
              <w:rPr>
                <w:sz w:val="20"/>
                <w:szCs w:val="20"/>
                <w:color w:val="auto"/>
              </w:rPr>
            </w:pPr>
            <w:r>
              <w:rPr>
                <w:rFonts w:ascii="Arial" w:cs="Arial" w:eastAsia="Arial" w:hAnsi="Arial"/>
                <w:sz w:val="15"/>
                <w:szCs w:val="15"/>
                <w:b w:val="1"/>
                <w:bCs w:val="1"/>
                <w:color w:val="FFFFFF"/>
              </w:rPr>
              <w:t>CODE</w:t>
            </w:r>
          </w:p>
        </w:tc>
        <w:tc>
          <w:tcPr>
            <w:tcW w:w="100" w:type="dxa"/>
            <w:vAlign w:val="bottom"/>
            <w:tcBorders>
              <w:bottom w:val="single" w:sz="8" w:color="auto"/>
              <w:right w:val="single" w:sz="8" w:color="auto"/>
            </w:tcBorders>
            <w:shd w:val="clear" w:color="auto" w:fill="000000"/>
          </w:tcPr>
          <w:p>
            <w:pPr>
              <w:spacing w:after="0"/>
              <w:rPr>
                <w:sz w:val="16"/>
                <w:szCs w:val="16"/>
                <w:color w:val="auto"/>
              </w:rPr>
            </w:pPr>
          </w:p>
        </w:tc>
        <w:tc>
          <w:tcPr>
            <w:tcW w:w="180" w:type="dxa"/>
            <w:vAlign w:val="bottom"/>
            <w:tcBorders>
              <w:bottom w:val="single" w:sz="8" w:color="auto"/>
              <w:right w:val="single" w:sz="8" w:color="auto"/>
            </w:tcBorders>
            <w:shd w:val="clear" w:color="auto" w:fill="000000"/>
          </w:tcPr>
          <w:p>
            <w:pPr>
              <w:spacing w:after="0"/>
              <w:rPr>
                <w:sz w:val="16"/>
                <w:szCs w:val="16"/>
                <w:color w:val="auto"/>
              </w:rPr>
            </w:pPr>
          </w:p>
        </w:tc>
        <w:tc>
          <w:tcPr>
            <w:tcW w:w="4780" w:type="dxa"/>
            <w:vAlign w:val="bottom"/>
            <w:tcBorders>
              <w:bottom w:val="single" w:sz="8" w:color="auto"/>
              <w:right w:val="single" w:sz="8" w:color="auto"/>
            </w:tcBorders>
            <w:shd w:val="clear" w:color="auto" w:fill="000000"/>
          </w:tcPr>
          <w:p>
            <w:pPr>
              <w:ind w:left="1240"/>
              <w:spacing w:after="0"/>
              <w:rPr>
                <w:sz w:val="20"/>
                <w:szCs w:val="20"/>
                <w:color w:val="auto"/>
              </w:rPr>
            </w:pPr>
            <w:r>
              <w:rPr>
                <w:rFonts w:ascii="Arial" w:cs="Arial" w:eastAsia="Arial" w:hAnsi="Arial"/>
                <w:sz w:val="15"/>
                <w:szCs w:val="15"/>
                <w:b w:val="1"/>
                <w:bCs w:val="1"/>
                <w:color w:val="FFFFFF"/>
              </w:rPr>
              <w:t>PARAMETER OF ACTIVITY</w:t>
            </w:r>
          </w:p>
        </w:tc>
        <w:tc>
          <w:tcPr>
            <w:tcW w:w="100" w:type="dxa"/>
            <w:vAlign w:val="bottom"/>
            <w:tcBorders>
              <w:bottom w:val="single" w:sz="8" w:color="auto"/>
              <w:right w:val="single" w:sz="8" w:color="A6A6A6"/>
            </w:tcBorders>
            <w:shd w:val="clear" w:color="auto" w:fill="A6A6A6"/>
          </w:tcPr>
          <w:p>
            <w:pPr>
              <w:spacing w:after="0"/>
              <w:rPr>
                <w:sz w:val="16"/>
                <w:szCs w:val="16"/>
                <w:color w:val="auto"/>
              </w:rPr>
            </w:pPr>
          </w:p>
        </w:tc>
        <w:tc>
          <w:tcPr>
            <w:tcW w:w="1440" w:type="dxa"/>
            <w:vAlign w:val="bottom"/>
            <w:tcBorders>
              <w:bottom w:val="single" w:sz="8" w:color="auto"/>
            </w:tcBorders>
            <w:gridSpan w:val="2"/>
            <w:shd w:val="clear" w:color="auto" w:fill="A6A6A6"/>
          </w:tcPr>
          <w:p>
            <w:pPr>
              <w:jc w:val="center"/>
              <w:ind w:left="683"/>
              <w:spacing w:after="0"/>
              <w:rPr>
                <w:sz w:val="20"/>
                <w:szCs w:val="20"/>
                <w:color w:val="auto"/>
              </w:rPr>
            </w:pPr>
            <w:r>
              <w:rPr>
                <w:rFonts w:ascii="Arial" w:cs="Arial" w:eastAsia="Arial" w:hAnsi="Arial"/>
                <w:sz w:val="15"/>
                <w:szCs w:val="15"/>
                <w:b w:val="1"/>
                <w:bCs w:val="1"/>
                <w:color w:val="auto"/>
              </w:rPr>
              <w:t>Peru)</w:t>
            </w:r>
          </w:p>
        </w:tc>
        <w:tc>
          <w:tcPr>
            <w:tcW w:w="160" w:type="dxa"/>
            <w:vAlign w:val="bottom"/>
            <w:tcBorders>
              <w:bottom w:val="single" w:sz="8" w:color="auto"/>
              <w:right w:val="single" w:sz="8" w:color="A6A6A6"/>
            </w:tcBorders>
            <w:shd w:val="clear" w:color="auto" w:fill="A6A6A6"/>
          </w:tcPr>
          <w:p>
            <w:pPr>
              <w:spacing w:after="0"/>
              <w:rPr>
                <w:sz w:val="16"/>
                <w:szCs w:val="16"/>
                <w:color w:val="auto"/>
              </w:rPr>
            </w:pPr>
          </w:p>
        </w:tc>
        <w:tc>
          <w:tcPr>
            <w:tcW w:w="500" w:type="dxa"/>
            <w:vAlign w:val="bottom"/>
            <w:tcBorders>
              <w:bottom w:val="single" w:sz="8" w:color="auto"/>
              <w:right w:val="single" w:sz="8" w:color="A6A6A6"/>
            </w:tcBorders>
            <w:shd w:val="clear" w:color="auto" w:fill="A6A6A6"/>
          </w:tcPr>
          <w:p>
            <w:pPr>
              <w:spacing w:after="0"/>
              <w:rPr>
                <w:sz w:val="16"/>
                <w:szCs w:val="16"/>
                <w:color w:val="auto"/>
              </w:rPr>
            </w:pPr>
          </w:p>
        </w:tc>
        <w:tc>
          <w:tcPr>
            <w:tcW w:w="220" w:type="dxa"/>
            <w:vAlign w:val="bottom"/>
            <w:tcBorders>
              <w:bottom w:val="single" w:sz="8" w:color="auto"/>
              <w:right w:val="single" w:sz="8" w:color="auto"/>
            </w:tcBorders>
            <w:shd w:val="clear" w:color="auto" w:fill="A6A6A6"/>
          </w:tcPr>
          <w:p>
            <w:pPr>
              <w:spacing w:after="0"/>
              <w:rPr>
                <w:sz w:val="16"/>
                <w:szCs w:val="16"/>
                <w:color w:val="auto"/>
              </w:rPr>
            </w:pPr>
          </w:p>
        </w:tc>
        <w:tc>
          <w:tcPr>
            <w:tcW w:w="1920" w:type="dxa"/>
            <w:vAlign w:val="bottom"/>
            <w:tcBorders>
              <w:bottom w:val="single" w:sz="8" w:color="auto"/>
              <w:right w:val="single" w:sz="8" w:color="auto"/>
            </w:tcBorders>
            <w:gridSpan w:val="4"/>
            <w:shd w:val="clear" w:color="auto" w:fill="A6A6A6"/>
          </w:tcPr>
          <w:p>
            <w:pPr>
              <w:jc w:val="center"/>
              <w:spacing w:after="0"/>
              <w:rPr>
                <w:sz w:val="20"/>
                <w:szCs w:val="20"/>
                <w:color w:val="auto"/>
              </w:rPr>
            </w:pPr>
            <w:r>
              <w:rPr>
                <w:rFonts w:ascii="Arial" w:cs="Arial" w:eastAsia="Arial" w:hAnsi="Arial"/>
                <w:sz w:val="15"/>
                <w:szCs w:val="15"/>
                <w:b w:val="1"/>
                <w:bCs w:val="1"/>
                <w:color w:val="auto"/>
              </w:rPr>
              <w:t>Mibanco Peru)</w:t>
            </w:r>
          </w:p>
        </w:tc>
        <w:tc>
          <w:tcPr>
            <w:tcW w:w="0" w:type="dxa"/>
            <w:vAlign w:val="bottom"/>
          </w:tcPr>
          <w:p>
            <w:pPr>
              <w:spacing w:after="0"/>
              <w:rPr>
                <w:sz w:val="1"/>
                <w:szCs w:val="1"/>
                <w:color w:val="auto"/>
              </w:rPr>
            </w:pPr>
          </w:p>
        </w:tc>
      </w:tr>
      <w:tr>
        <w:trPr>
          <w:trHeight w:val="146"/>
        </w:trPr>
        <w:tc>
          <w:tcPr>
            <w:tcW w:w="720" w:type="dxa"/>
            <w:vAlign w:val="bottom"/>
            <w:tcBorders>
              <w:left w:val="single" w:sz="8" w:color="auto"/>
              <w:right w:val="single" w:sz="8" w:color="auto"/>
            </w:tcBorders>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80" w:type="dxa"/>
            <w:vAlign w:val="bottom"/>
            <w:tcBorders>
              <w:right w:val="single" w:sz="8" w:color="auto"/>
            </w:tcBorders>
            <w:shd w:val="clear" w:color="auto" w:fill="000000"/>
          </w:tcPr>
          <w:p>
            <w:pPr>
              <w:spacing w:after="0"/>
              <w:rPr>
                <w:sz w:val="12"/>
                <w:szCs w:val="12"/>
                <w:color w:val="auto"/>
              </w:rPr>
            </w:pPr>
          </w:p>
        </w:tc>
        <w:tc>
          <w:tcPr>
            <w:tcW w:w="4780" w:type="dxa"/>
            <w:vAlign w:val="bottom"/>
            <w:tcBorders>
              <w:right w:val="single" w:sz="8" w:color="auto"/>
            </w:tcBorders>
            <w:shd w:val="clear" w:color="auto" w:fill="000000"/>
          </w:tcPr>
          <w:p>
            <w:pPr>
              <w:spacing w:after="0"/>
              <w:rPr>
                <w:sz w:val="12"/>
                <w:szCs w:val="12"/>
                <w:color w:val="auto"/>
              </w:rPr>
            </w:pPr>
          </w:p>
        </w:tc>
        <w:tc>
          <w:tcPr>
            <w:tcW w:w="100" w:type="dxa"/>
            <w:vAlign w:val="bottom"/>
            <w:tcBorders>
              <w:right w:val="single" w:sz="8" w:color="A6A6A6"/>
            </w:tcBorders>
            <w:shd w:val="clear" w:color="auto" w:fill="A6A6A6"/>
          </w:tcPr>
          <w:p>
            <w:pPr>
              <w:spacing w:after="0"/>
              <w:rPr>
                <w:sz w:val="12"/>
                <w:szCs w:val="12"/>
                <w:color w:val="auto"/>
              </w:rPr>
            </w:pPr>
          </w:p>
        </w:tc>
        <w:tc>
          <w:tcPr>
            <w:tcW w:w="1320" w:type="dxa"/>
            <w:vAlign w:val="bottom"/>
            <w:tcBorders>
              <w:right w:val="single" w:sz="8" w:color="auto"/>
            </w:tcBorders>
            <w:vMerge w:val="restart"/>
            <w:shd w:val="clear" w:color="auto" w:fill="A6A6A6"/>
          </w:tcPr>
          <w:p>
            <w:pPr>
              <w:ind w:left="300"/>
              <w:spacing w:after="0"/>
              <w:rPr>
                <w:sz w:val="20"/>
                <w:szCs w:val="20"/>
                <w:color w:val="auto"/>
              </w:rPr>
            </w:pPr>
            <w:r>
              <w:rPr>
                <w:rFonts w:ascii="Arial" w:cs="Arial" w:eastAsia="Arial" w:hAnsi="Arial"/>
                <w:sz w:val="15"/>
                <w:szCs w:val="15"/>
                <w:b w:val="1"/>
                <w:bCs w:val="1"/>
                <w:color w:val="auto"/>
              </w:rPr>
              <w:t>Number</w:t>
            </w:r>
          </w:p>
        </w:tc>
        <w:tc>
          <w:tcPr>
            <w:tcW w:w="120" w:type="dxa"/>
            <w:vAlign w:val="bottom"/>
            <w:shd w:val="clear" w:color="auto" w:fill="A6A6A6"/>
          </w:tcPr>
          <w:p>
            <w:pPr>
              <w:spacing w:after="0"/>
              <w:rPr>
                <w:sz w:val="12"/>
                <w:szCs w:val="12"/>
                <w:color w:val="auto"/>
              </w:rPr>
            </w:pPr>
          </w:p>
        </w:tc>
        <w:tc>
          <w:tcPr>
            <w:tcW w:w="660" w:type="dxa"/>
            <w:vAlign w:val="bottom"/>
            <w:tcBorders>
              <w:right w:val="single" w:sz="8" w:color="A6A6A6"/>
            </w:tcBorders>
            <w:gridSpan w:val="2"/>
            <w:shd w:val="clear" w:color="auto" w:fill="A6A6A6"/>
          </w:tcPr>
          <w:p>
            <w:pPr>
              <w:jc w:val="center"/>
              <w:spacing w:after="0" w:line="146" w:lineRule="exact"/>
              <w:rPr>
                <w:sz w:val="20"/>
                <w:szCs w:val="20"/>
                <w:color w:val="auto"/>
              </w:rPr>
            </w:pPr>
            <w:r>
              <w:rPr>
                <w:rFonts w:ascii="Arial" w:cs="Arial" w:eastAsia="Arial" w:hAnsi="Arial"/>
                <w:sz w:val="15"/>
                <w:szCs w:val="15"/>
                <w:b w:val="1"/>
                <w:bCs w:val="1"/>
                <w:color w:val="auto"/>
              </w:rPr>
              <w:t>Value S/</w:t>
            </w:r>
          </w:p>
        </w:tc>
        <w:tc>
          <w:tcPr>
            <w:tcW w:w="220" w:type="dxa"/>
            <w:vAlign w:val="bottom"/>
            <w:tcBorders>
              <w:right w:val="single" w:sz="8" w:color="auto"/>
            </w:tcBorders>
            <w:shd w:val="clear" w:color="auto" w:fill="A6A6A6"/>
          </w:tcPr>
          <w:p>
            <w:pPr>
              <w:spacing w:after="0"/>
              <w:rPr>
                <w:sz w:val="12"/>
                <w:szCs w:val="12"/>
                <w:color w:val="auto"/>
              </w:rPr>
            </w:pPr>
          </w:p>
        </w:tc>
        <w:tc>
          <w:tcPr>
            <w:tcW w:w="920" w:type="dxa"/>
            <w:vAlign w:val="bottom"/>
            <w:tcBorders>
              <w:right w:val="single" w:sz="8" w:color="auto"/>
            </w:tcBorders>
            <w:gridSpan w:val="3"/>
            <w:vMerge w:val="restart"/>
            <w:shd w:val="clear" w:color="auto" w:fill="A6A6A6"/>
          </w:tcPr>
          <w:p>
            <w:pPr>
              <w:ind w:left="160"/>
              <w:spacing w:after="0"/>
              <w:rPr>
                <w:sz w:val="20"/>
                <w:szCs w:val="20"/>
                <w:color w:val="auto"/>
              </w:rPr>
            </w:pPr>
            <w:r>
              <w:rPr>
                <w:rFonts w:ascii="Arial" w:cs="Arial" w:eastAsia="Arial" w:hAnsi="Arial"/>
                <w:sz w:val="15"/>
                <w:szCs w:val="15"/>
                <w:b w:val="1"/>
                <w:bCs w:val="1"/>
                <w:color w:val="auto"/>
              </w:rPr>
              <w:t>Number</w:t>
            </w:r>
          </w:p>
        </w:tc>
        <w:tc>
          <w:tcPr>
            <w:tcW w:w="1000" w:type="dxa"/>
            <w:vAlign w:val="bottom"/>
            <w:tcBorders>
              <w:right w:val="single" w:sz="8" w:color="auto"/>
            </w:tcBorders>
            <w:shd w:val="clear" w:color="auto" w:fill="A6A6A6"/>
          </w:tcPr>
          <w:p>
            <w:pPr>
              <w:jc w:val="center"/>
              <w:ind w:right="3"/>
              <w:spacing w:after="0" w:line="146" w:lineRule="exact"/>
              <w:rPr>
                <w:sz w:val="20"/>
                <w:szCs w:val="20"/>
                <w:color w:val="auto"/>
              </w:rPr>
            </w:pPr>
            <w:r>
              <w:rPr>
                <w:rFonts w:ascii="Arial" w:cs="Arial" w:eastAsia="Arial" w:hAnsi="Arial"/>
                <w:sz w:val="15"/>
                <w:szCs w:val="15"/>
                <w:b w:val="1"/>
                <w:bCs w:val="1"/>
                <w:color w:val="auto"/>
              </w:rPr>
              <w:t>Value S/</w:t>
            </w:r>
          </w:p>
        </w:tc>
        <w:tc>
          <w:tcPr>
            <w:tcW w:w="0" w:type="dxa"/>
            <w:vAlign w:val="bottom"/>
          </w:tcPr>
          <w:p>
            <w:pPr>
              <w:spacing w:after="0"/>
              <w:rPr>
                <w:sz w:val="1"/>
                <w:szCs w:val="1"/>
                <w:color w:val="auto"/>
              </w:rPr>
            </w:pPr>
          </w:p>
        </w:tc>
      </w:tr>
      <w:tr>
        <w:trPr>
          <w:trHeight w:val="111"/>
        </w:trPr>
        <w:tc>
          <w:tcPr>
            <w:tcW w:w="720" w:type="dxa"/>
            <w:vAlign w:val="bottom"/>
            <w:tcBorders>
              <w:left w:val="single" w:sz="8" w:color="auto"/>
              <w:right w:val="single" w:sz="8" w:color="auto"/>
            </w:tcBorders>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Borders>
              <w:right w:val="single" w:sz="8" w:color="auto"/>
            </w:tcBorders>
            <w:shd w:val="clear" w:color="auto" w:fill="000000"/>
          </w:tcPr>
          <w:p>
            <w:pPr>
              <w:spacing w:after="0"/>
              <w:rPr>
                <w:sz w:val="9"/>
                <w:szCs w:val="9"/>
                <w:color w:val="auto"/>
              </w:rPr>
            </w:pPr>
          </w:p>
        </w:tc>
        <w:tc>
          <w:tcPr>
            <w:tcW w:w="180" w:type="dxa"/>
            <w:vAlign w:val="bottom"/>
            <w:tcBorders>
              <w:right w:val="single" w:sz="8" w:color="auto"/>
            </w:tcBorders>
            <w:shd w:val="clear" w:color="auto" w:fill="000000"/>
          </w:tcPr>
          <w:p>
            <w:pPr>
              <w:spacing w:after="0"/>
              <w:rPr>
                <w:sz w:val="9"/>
                <w:szCs w:val="9"/>
                <w:color w:val="auto"/>
              </w:rPr>
            </w:pPr>
          </w:p>
        </w:tc>
        <w:tc>
          <w:tcPr>
            <w:tcW w:w="4780" w:type="dxa"/>
            <w:vAlign w:val="bottom"/>
            <w:tcBorders>
              <w:right w:val="single" w:sz="8" w:color="auto"/>
            </w:tcBorders>
            <w:shd w:val="clear" w:color="auto" w:fill="000000"/>
          </w:tcPr>
          <w:p>
            <w:pPr>
              <w:spacing w:after="0"/>
              <w:rPr>
                <w:sz w:val="9"/>
                <w:szCs w:val="9"/>
                <w:color w:val="auto"/>
              </w:rPr>
            </w:pPr>
          </w:p>
        </w:tc>
        <w:tc>
          <w:tcPr>
            <w:tcW w:w="100" w:type="dxa"/>
            <w:vAlign w:val="bottom"/>
            <w:tcBorders>
              <w:right w:val="single" w:sz="8" w:color="A6A6A6"/>
            </w:tcBorders>
            <w:shd w:val="clear" w:color="auto" w:fill="A6A6A6"/>
          </w:tcPr>
          <w:p>
            <w:pPr>
              <w:spacing w:after="0"/>
              <w:rPr>
                <w:sz w:val="9"/>
                <w:szCs w:val="9"/>
                <w:color w:val="auto"/>
              </w:rPr>
            </w:pPr>
          </w:p>
        </w:tc>
        <w:tc>
          <w:tcPr>
            <w:tcW w:w="1320" w:type="dxa"/>
            <w:vAlign w:val="bottom"/>
            <w:tcBorders>
              <w:right w:val="single" w:sz="8" w:color="auto"/>
            </w:tcBorders>
            <w:vMerge w:val="continue"/>
            <w:shd w:val="clear" w:color="auto" w:fill="A6A6A6"/>
          </w:tcPr>
          <w:p>
            <w:pPr>
              <w:spacing w:after="0"/>
              <w:rPr>
                <w:sz w:val="9"/>
                <w:szCs w:val="9"/>
                <w:color w:val="auto"/>
              </w:rPr>
            </w:pPr>
          </w:p>
        </w:tc>
        <w:tc>
          <w:tcPr>
            <w:tcW w:w="120" w:type="dxa"/>
            <w:vAlign w:val="bottom"/>
            <w:shd w:val="clear" w:color="auto" w:fill="A6A6A6"/>
          </w:tcPr>
          <w:p>
            <w:pPr>
              <w:spacing w:after="0"/>
              <w:rPr>
                <w:sz w:val="9"/>
                <w:szCs w:val="9"/>
                <w:color w:val="auto"/>
              </w:rPr>
            </w:pPr>
          </w:p>
        </w:tc>
        <w:tc>
          <w:tcPr>
            <w:tcW w:w="160" w:type="dxa"/>
            <w:vAlign w:val="bottom"/>
            <w:tcBorders>
              <w:right w:val="single" w:sz="8" w:color="A6A6A6"/>
            </w:tcBorders>
            <w:shd w:val="clear" w:color="auto" w:fill="A6A6A6"/>
          </w:tcPr>
          <w:p>
            <w:pPr>
              <w:spacing w:after="0"/>
              <w:rPr>
                <w:sz w:val="9"/>
                <w:szCs w:val="9"/>
                <w:color w:val="auto"/>
              </w:rPr>
            </w:pPr>
          </w:p>
        </w:tc>
        <w:tc>
          <w:tcPr>
            <w:tcW w:w="500" w:type="dxa"/>
            <w:vAlign w:val="bottom"/>
            <w:tcBorders>
              <w:right w:val="single" w:sz="8" w:color="A6A6A6"/>
            </w:tcBorders>
            <w:vMerge w:val="restart"/>
            <w:shd w:val="clear" w:color="auto" w:fill="A6A6A6"/>
          </w:tcPr>
          <w:p>
            <w:pPr>
              <w:jc w:val="center"/>
              <w:spacing w:after="0"/>
              <w:rPr>
                <w:sz w:val="20"/>
                <w:szCs w:val="20"/>
                <w:color w:val="auto"/>
              </w:rPr>
            </w:pPr>
            <w:r>
              <w:rPr>
                <w:rFonts w:ascii="Arial" w:cs="Arial" w:eastAsia="Arial" w:hAnsi="Arial"/>
                <w:sz w:val="15"/>
                <w:szCs w:val="15"/>
                <w:b w:val="1"/>
                <w:bCs w:val="1"/>
                <w:color w:val="auto"/>
                <w:w w:val="89"/>
              </w:rPr>
              <w:t>Millions</w:t>
            </w:r>
          </w:p>
        </w:tc>
        <w:tc>
          <w:tcPr>
            <w:tcW w:w="220" w:type="dxa"/>
            <w:vAlign w:val="bottom"/>
            <w:tcBorders>
              <w:right w:val="single" w:sz="8" w:color="auto"/>
            </w:tcBorders>
            <w:shd w:val="clear" w:color="auto" w:fill="A6A6A6"/>
          </w:tcPr>
          <w:p>
            <w:pPr>
              <w:spacing w:after="0"/>
              <w:rPr>
                <w:sz w:val="9"/>
                <w:szCs w:val="9"/>
                <w:color w:val="auto"/>
              </w:rPr>
            </w:pPr>
          </w:p>
        </w:tc>
        <w:tc>
          <w:tcPr>
            <w:tcW w:w="920" w:type="dxa"/>
            <w:vAlign w:val="bottom"/>
            <w:tcBorders>
              <w:right w:val="single" w:sz="8" w:color="auto"/>
            </w:tcBorders>
            <w:gridSpan w:val="3"/>
            <w:vMerge w:val="continue"/>
            <w:shd w:val="clear" w:color="auto" w:fill="A6A6A6"/>
          </w:tcPr>
          <w:p>
            <w:pPr>
              <w:spacing w:after="0"/>
              <w:rPr>
                <w:sz w:val="9"/>
                <w:szCs w:val="9"/>
                <w:color w:val="auto"/>
              </w:rPr>
            </w:pPr>
          </w:p>
        </w:tc>
        <w:tc>
          <w:tcPr>
            <w:tcW w:w="1000" w:type="dxa"/>
            <w:vAlign w:val="bottom"/>
            <w:tcBorders>
              <w:right w:val="single" w:sz="8" w:color="auto"/>
            </w:tcBorders>
            <w:vMerge w:val="restart"/>
            <w:shd w:val="clear" w:color="auto" w:fill="A6A6A6"/>
          </w:tcPr>
          <w:p>
            <w:pPr>
              <w:jc w:val="center"/>
              <w:spacing w:after="0"/>
              <w:rPr>
                <w:sz w:val="20"/>
                <w:szCs w:val="20"/>
                <w:color w:val="auto"/>
              </w:rPr>
            </w:pPr>
            <w:r>
              <w:rPr>
                <w:rFonts w:ascii="Arial" w:cs="Arial" w:eastAsia="Arial" w:hAnsi="Arial"/>
                <w:sz w:val="15"/>
                <w:szCs w:val="15"/>
                <w:b w:val="1"/>
                <w:bCs w:val="1"/>
                <w:color w:val="auto"/>
              </w:rPr>
              <w:t>Millions</w:t>
            </w:r>
          </w:p>
        </w:tc>
        <w:tc>
          <w:tcPr>
            <w:tcW w:w="0" w:type="dxa"/>
            <w:vAlign w:val="bottom"/>
          </w:tcPr>
          <w:p>
            <w:pPr>
              <w:spacing w:after="0"/>
              <w:rPr>
                <w:sz w:val="1"/>
                <w:szCs w:val="1"/>
                <w:color w:val="auto"/>
              </w:rPr>
            </w:pPr>
          </w:p>
        </w:tc>
      </w:tr>
      <w:tr>
        <w:trPr>
          <w:trHeight w:val="81"/>
        </w:trPr>
        <w:tc>
          <w:tcPr>
            <w:tcW w:w="720" w:type="dxa"/>
            <w:vAlign w:val="bottom"/>
            <w:tcBorders>
              <w:left w:val="single" w:sz="8" w:color="auto"/>
              <w:bottom w:val="single" w:sz="8" w:color="auto"/>
              <w:right w:val="single" w:sz="8" w:color="auto"/>
            </w:tcBorders>
            <w:shd w:val="clear" w:color="auto" w:fill="000000"/>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00" w:type="dxa"/>
            <w:vAlign w:val="bottom"/>
            <w:tcBorders>
              <w:bottom w:val="single" w:sz="8" w:color="auto"/>
              <w:right w:val="single" w:sz="8" w:color="auto"/>
            </w:tcBorders>
            <w:shd w:val="clear" w:color="auto" w:fill="000000"/>
          </w:tcPr>
          <w:p>
            <w:pPr>
              <w:spacing w:after="0"/>
              <w:rPr>
                <w:sz w:val="7"/>
                <w:szCs w:val="7"/>
                <w:color w:val="auto"/>
              </w:rPr>
            </w:pPr>
          </w:p>
        </w:tc>
        <w:tc>
          <w:tcPr>
            <w:tcW w:w="180" w:type="dxa"/>
            <w:vAlign w:val="bottom"/>
            <w:tcBorders>
              <w:bottom w:val="single" w:sz="8" w:color="auto"/>
              <w:right w:val="single" w:sz="8" w:color="auto"/>
            </w:tcBorders>
            <w:shd w:val="clear" w:color="auto" w:fill="000000"/>
          </w:tcPr>
          <w:p>
            <w:pPr>
              <w:spacing w:after="0"/>
              <w:rPr>
                <w:sz w:val="7"/>
                <w:szCs w:val="7"/>
                <w:color w:val="auto"/>
              </w:rPr>
            </w:pPr>
          </w:p>
        </w:tc>
        <w:tc>
          <w:tcPr>
            <w:tcW w:w="4780" w:type="dxa"/>
            <w:vAlign w:val="bottom"/>
            <w:tcBorders>
              <w:bottom w:val="single" w:sz="8" w:color="auto"/>
              <w:right w:val="single" w:sz="8" w:color="auto"/>
            </w:tcBorders>
            <w:shd w:val="clear" w:color="auto" w:fill="000000"/>
          </w:tcPr>
          <w:p>
            <w:pPr>
              <w:spacing w:after="0"/>
              <w:rPr>
                <w:sz w:val="7"/>
                <w:szCs w:val="7"/>
                <w:color w:val="auto"/>
              </w:rPr>
            </w:pPr>
          </w:p>
        </w:tc>
        <w:tc>
          <w:tcPr>
            <w:tcW w:w="100" w:type="dxa"/>
            <w:vAlign w:val="bottom"/>
            <w:tcBorders>
              <w:bottom w:val="single" w:sz="8" w:color="auto"/>
              <w:right w:val="single" w:sz="8" w:color="A6A6A6"/>
            </w:tcBorders>
            <w:shd w:val="clear" w:color="auto" w:fill="A6A6A6"/>
          </w:tcPr>
          <w:p>
            <w:pPr>
              <w:spacing w:after="0"/>
              <w:rPr>
                <w:sz w:val="7"/>
                <w:szCs w:val="7"/>
                <w:color w:val="auto"/>
              </w:rPr>
            </w:pPr>
          </w:p>
        </w:tc>
        <w:tc>
          <w:tcPr>
            <w:tcW w:w="1320" w:type="dxa"/>
            <w:vAlign w:val="bottom"/>
            <w:tcBorders>
              <w:bottom w:val="single" w:sz="8" w:color="auto"/>
              <w:right w:val="single" w:sz="8" w:color="auto"/>
            </w:tcBorders>
            <w:shd w:val="clear" w:color="auto" w:fill="A6A6A6"/>
          </w:tcPr>
          <w:p>
            <w:pPr>
              <w:spacing w:after="0"/>
              <w:rPr>
                <w:sz w:val="7"/>
                <w:szCs w:val="7"/>
                <w:color w:val="auto"/>
              </w:rPr>
            </w:pPr>
          </w:p>
        </w:tc>
        <w:tc>
          <w:tcPr>
            <w:tcW w:w="120" w:type="dxa"/>
            <w:vAlign w:val="bottom"/>
            <w:tcBorders>
              <w:bottom w:val="single" w:sz="8" w:color="auto"/>
            </w:tcBorders>
            <w:shd w:val="clear" w:color="auto" w:fill="A6A6A6"/>
          </w:tcPr>
          <w:p>
            <w:pPr>
              <w:spacing w:after="0"/>
              <w:rPr>
                <w:sz w:val="7"/>
                <w:szCs w:val="7"/>
                <w:color w:val="auto"/>
              </w:rPr>
            </w:pPr>
          </w:p>
        </w:tc>
        <w:tc>
          <w:tcPr>
            <w:tcW w:w="160" w:type="dxa"/>
            <w:vAlign w:val="bottom"/>
            <w:tcBorders>
              <w:bottom w:val="single" w:sz="8" w:color="auto"/>
              <w:right w:val="single" w:sz="8" w:color="A6A6A6"/>
            </w:tcBorders>
            <w:shd w:val="clear" w:color="auto" w:fill="A6A6A6"/>
          </w:tcPr>
          <w:p>
            <w:pPr>
              <w:spacing w:after="0"/>
              <w:rPr>
                <w:sz w:val="7"/>
                <w:szCs w:val="7"/>
                <w:color w:val="auto"/>
              </w:rPr>
            </w:pPr>
          </w:p>
        </w:tc>
        <w:tc>
          <w:tcPr>
            <w:tcW w:w="500" w:type="dxa"/>
            <w:vAlign w:val="bottom"/>
            <w:tcBorders>
              <w:bottom w:val="single" w:sz="8" w:color="auto"/>
              <w:right w:val="single" w:sz="8" w:color="A6A6A6"/>
            </w:tcBorders>
            <w:vMerge w:val="continue"/>
            <w:shd w:val="clear" w:color="auto" w:fill="A6A6A6"/>
          </w:tcPr>
          <w:p>
            <w:pPr>
              <w:spacing w:after="0"/>
              <w:rPr>
                <w:sz w:val="7"/>
                <w:szCs w:val="7"/>
                <w:color w:val="auto"/>
              </w:rPr>
            </w:pPr>
          </w:p>
        </w:tc>
        <w:tc>
          <w:tcPr>
            <w:tcW w:w="220" w:type="dxa"/>
            <w:vAlign w:val="bottom"/>
            <w:tcBorders>
              <w:bottom w:val="single" w:sz="8" w:color="auto"/>
              <w:right w:val="single" w:sz="8" w:color="auto"/>
            </w:tcBorders>
            <w:shd w:val="clear" w:color="auto" w:fill="A6A6A6"/>
          </w:tcPr>
          <w:p>
            <w:pPr>
              <w:spacing w:after="0"/>
              <w:rPr>
                <w:sz w:val="7"/>
                <w:szCs w:val="7"/>
                <w:color w:val="auto"/>
              </w:rPr>
            </w:pPr>
          </w:p>
        </w:tc>
        <w:tc>
          <w:tcPr>
            <w:tcW w:w="500" w:type="dxa"/>
            <w:vAlign w:val="bottom"/>
            <w:tcBorders>
              <w:bottom w:val="single" w:sz="8" w:color="auto"/>
            </w:tcBorders>
            <w:shd w:val="clear" w:color="auto" w:fill="A6A6A6"/>
          </w:tcPr>
          <w:p>
            <w:pPr>
              <w:spacing w:after="0"/>
              <w:rPr>
                <w:sz w:val="7"/>
                <w:szCs w:val="7"/>
                <w:color w:val="auto"/>
              </w:rPr>
            </w:pPr>
          </w:p>
        </w:tc>
        <w:tc>
          <w:tcPr>
            <w:tcW w:w="100" w:type="dxa"/>
            <w:vAlign w:val="bottom"/>
            <w:tcBorders>
              <w:bottom w:val="single" w:sz="8" w:color="auto"/>
              <w:right w:val="single" w:sz="8" w:color="A6A6A6"/>
            </w:tcBorders>
            <w:shd w:val="clear" w:color="auto" w:fill="A6A6A6"/>
          </w:tcPr>
          <w:p>
            <w:pPr>
              <w:spacing w:after="0"/>
              <w:rPr>
                <w:sz w:val="7"/>
                <w:szCs w:val="7"/>
                <w:color w:val="auto"/>
              </w:rPr>
            </w:pPr>
          </w:p>
        </w:tc>
        <w:tc>
          <w:tcPr>
            <w:tcW w:w="320" w:type="dxa"/>
            <w:vAlign w:val="bottom"/>
            <w:tcBorders>
              <w:bottom w:val="single" w:sz="8" w:color="auto"/>
              <w:right w:val="single" w:sz="8" w:color="auto"/>
            </w:tcBorders>
            <w:shd w:val="clear" w:color="auto" w:fill="A6A6A6"/>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A6A6A6"/>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right w:val="single" w:sz="8" w:color="auto"/>
            </w:tcBorders>
            <w:gridSpan w:val="3"/>
          </w:tcPr>
          <w:p>
            <w:pPr>
              <w:ind w:left="40"/>
              <w:spacing w:after="0" w:line="164" w:lineRule="exact"/>
              <w:rPr>
                <w:sz w:val="20"/>
                <w:szCs w:val="20"/>
                <w:color w:val="auto"/>
              </w:rPr>
            </w:pPr>
            <w:r>
              <w:rPr>
                <w:rFonts w:ascii="Arial" w:cs="Arial" w:eastAsia="Arial" w:hAnsi="Arial"/>
                <w:sz w:val="15"/>
                <w:szCs w:val="15"/>
                <w:color w:val="auto"/>
              </w:rPr>
              <w:t>(1) Number and (2) total value of current accounts by segment: (a)</w:t>
            </w: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rPr>
              <w:t>1,238,098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center"/>
              <w:ind w:right="3"/>
              <w:spacing w:after="0"/>
              <w:rPr>
                <w:sz w:val="20"/>
                <w:szCs w:val="20"/>
                <w:color w:val="auto"/>
              </w:rPr>
            </w:pPr>
            <w:r>
              <w:rPr>
                <w:rFonts w:ascii="Arial" w:cs="Arial" w:eastAsia="Arial" w:hAnsi="Arial"/>
                <w:sz w:val="15"/>
                <w:szCs w:val="15"/>
                <w:b w:val="1"/>
                <w:bCs w:val="1"/>
                <w:color w:val="auto"/>
              </w:rPr>
              <w:t>3,082</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color w:val="auto"/>
              </w:rPr>
              <w:t>1,617,307</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3,498</w:t>
            </w:r>
          </w:p>
        </w:tc>
        <w:tc>
          <w:tcPr>
            <w:tcW w:w="0" w:type="dxa"/>
            <w:vAlign w:val="bottom"/>
          </w:tcPr>
          <w:p>
            <w:pPr>
              <w:spacing w:after="0"/>
              <w:rPr>
                <w:sz w:val="1"/>
                <w:szCs w:val="1"/>
                <w:color w:val="auto"/>
              </w:rPr>
            </w:pPr>
          </w:p>
        </w:tc>
      </w:tr>
      <w:tr>
        <w:trPr>
          <w:trHeight w:val="93"/>
        </w:trPr>
        <w:tc>
          <w:tcPr>
            <w:tcW w:w="720" w:type="dxa"/>
            <w:vAlign w:val="bottom"/>
            <w:tcBorders>
              <w:left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5"/>
                <w:szCs w:val="15"/>
                <w:color w:val="auto"/>
              </w:rPr>
              <w:t>personal</w:t>
            </w:r>
          </w:p>
        </w:tc>
        <w:tc>
          <w:tcPr>
            <w:tcW w:w="142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gridSpan w:val="3"/>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60" w:type="dxa"/>
            <w:vAlign w:val="bottom"/>
            <w:tcBorders>
              <w:bottom w:val="single" w:sz="8" w:color="auto"/>
              <w:right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right w:val="single" w:sz="8" w:color="auto"/>
            </w:tcBorders>
            <w:gridSpan w:val="3"/>
          </w:tcPr>
          <w:p>
            <w:pPr>
              <w:ind w:left="40"/>
              <w:spacing w:after="0" w:line="164" w:lineRule="exact"/>
              <w:rPr>
                <w:sz w:val="20"/>
                <w:szCs w:val="20"/>
                <w:color w:val="auto"/>
              </w:rPr>
            </w:pPr>
            <w:r>
              <w:rPr>
                <w:rFonts w:ascii="Arial" w:cs="Arial" w:eastAsia="Arial" w:hAnsi="Arial"/>
                <w:sz w:val="15"/>
                <w:szCs w:val="15"/>
                <w:color w:val="auto"/>
              </w:rPr>
              <w:t>(1) Number and (2) total value of current accounts by segment: (b) small</w:t>
            </w: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rPr>
              <w:t>465,217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10,851</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color w:val="auto"/>
              </w:rPr>
              <w:t>313,842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11,275</w:t>
            </w:r>
          </w:p>
        </w:tc>
        <w:tc>
          <w:tcPr>
            <w:tcW w:w="0" w:type="dxa"/>
            <w:vAlign w:val="bottom"/>
          </w:tcPr>
          <w:p>
            <w:pPr>
              <w:spacing w:after="0"/>
              <w:rPr>
                <w:sz w:val="1"/>
                <w:szCs w:val="1"/>
                <w:color w:val="auto"/>
              </w:rPr>
            </w:pPr>
          </w:p>
        </w:tc>
      </w:tr>
      <w:tr>
        <w:trPr>
          <w:trHeight w:val="93"/>
        </w:trPr>
        <w:tc>
          <w:tcPr>
            <w:tcW w:w="7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FN-CB-</w:t>
            </w:r>
          </w:p>
        </w:tc>
        <w:tc>
          <w:tcPr>
            <w:tcW w:w="508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5"/>
                <w:szCs w:val="15"/>
                <w:color w:val="auto"/>
              </w:rPr>
              <w:t>businesses</w:t>
            </w:r>
          </w:p>
        </w:tc>
        <w:tc>
          <w:tcPr>
            <w:tcW w:w="142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gridSpan w:val="3"/>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720" w:type="dxa"/>
            <w:vAlign w:val="bottom"/>
            <w:tcBorders>
              <w:left w:val="single" w:sz="8" w:color="auto"/>
              <w:right w:val="single" w:sz="8" w:color="auto"/>
            </w:tcBorders>
            <w:vMerge w:val="continue"/>
          </w:tcPr>
          <w:p>
            <w:pPr>
              <w:spacing w:after="0"/>
              <w:rPr>
                <w:sz w:val="6"/>
                <w:szCs w:val="6"/>
                <w:color w:val="auto"/>
              </w:rPr>
            </w:pPr>
          </w:p>
        </w:tc>
        <w:tc>
          <w:tcPr>
            <w:tcW w:w="5080" w:type="dxa"/>
            <w:vAlign w:val="bottom"/>
            <w:tcBorders>
              <w:bottom w:val="single" w:sz="8" w:color="auto"/>
              <w:right w:val="single" w:sz="8" w:color="auto"/>
            </w:tcBorders>
            <w:gridSpan w:val="4"/>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000.A</w:t>
            </w:r>
          </w:p>
        </w:tc>
        <w:tc>
          <w:tcPr>
            <w:tcW w:w="20" w:type="dxa"/>
            <w:vAlign w:val="bottom"/>
          </w:tcPr>
          <w:p>
            <w:pPr>
              <w:spacing w:after="0"/>
              <w:rPr>
                <w:sz w:val="14"/>
                <w:szCs w:val="14"/>
                <w:color w:val="auto"/>
              </w:rPr>
            </w:pPr>
          </w:p>
        </w:tc>
        <w:tc>
          <w:tcPr>
            <w:tcW w:w="5060" w:type="dxa"/>
            <w:vAlign w:val="bottom"/>
            <w:tcBorders>
              <w:right w:val="single" w:sz="8" w:color="auto"/>
            </w:tcBorders>
            <w:gridSpan w:val="3"/>
          </w:tcPr>
          <w:p>
            <w:pPr>
              <w:ind w:left="40"/>
              <w:spacing w:after="0" w:line="164" w:lineRule="exact"/>
              <w:rPr>
                <w:sz w:val="20"/>
                <w:szCs w:val="20"/>
                <w:color w:val="auto"/>
              </w:rPr>
            </w:pPr>
            <w:r>
              <w:rPr>
                <w:rFonts w:ascii="Arial" w:cs="Arial" w:eastAsia="Arial" w:hAnsi="Arial"/>
                <w:sz w:val="15"/>
                <w:szCs w:val="15"/>
                <w:color w:val="auto"/>
              </w:rPr>
              <w:t>(1) Number and (2) total value of savings accounts by segment: (a)</w:t>
            </w: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rPr>
              <w:t>12,884,528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42,285</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color w:val="auto"/>
              </w:rPr>
              <w:t>13,216,537</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41,628</w:t>
            </w:r>
          </w:p>
        </w:tc>
        <w:tc>
          <w:tcPr>
            <w:tcW w:w="0" w:type="dxa"/>
            <w:vAlign w:val="bottom"/>
          </w:tcPr>
          <w:p>
            <w:pPr>
              <w:spacing w:after="0"/>
              <w:rPr>
                <w:sz w:val="1"/>
                <w:szCs w:val="1"/>
                <w:color w:val="auto"/>
              </w:rPr>
            </w:pPr>
          </w:p>
        </w:tc>
      </w:tr>
      <w:tr>
        <w:trPr>
          <w:trHeight w:val="93"/>
        </w:trPr>
        <w:tc>
          <w:tcPr>
            <w:tcW w:w="720" w:type="dxa"/>
            <w:vAlign w:val="bottom"/>
            <w:tcBorders>
              <w:left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5"/>
                <w:szCs w:val="15"/>
                <w:color w:val="auto"/>
              </w:rPr>
              <w:t>personal</w:t>
            </w:r>
          </w:p>
        </w:tc>
        <w:tc>
          <w:tcPr>
            <w:tcW w:w="142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gridSpan w:val="3"/>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60" w:type="dxa"/>
            <w:vAlign w:val="bottom"/>
            <w:tcBorders>
              <w:bottom w:val="single" w:sz="8" w:color="auto"/>
              <w:right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right w:val="single" w:sz="8" w:color="auto"/>
            </w:tcBorders>
            <w:gridSpan w:val="3"/>
          </w:tcPr>
          <w:p>
            <w:pPr>
              <w:ind w:left="40"/>
              <w:spacing w:after="0" w:line="164" w:lineRule="exact"/>
              <w:rPr>
                <w:sz w:val="20"/>
                <w:szCs w:val="20"/>
                <w:color w:val="auto"/>
              </w:rPr>
            </w:pPr>
            <w:r>
              <w:rPr>
                <w:rFonts w:ascii="Arial" w:cs="Arial" w:eastAsia="Arial" w:hAnsi="Arial"/>
                <w:sz w:val="15"/>
                <w:szCs w:val="15"/>
                <w:color w:val="auto"/>
              </w:rPr>
              <w:t>(1) Number and (2) total value of savings accounts per segment: (b)</w:t>
            </w: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rPr>
              <w:t>3,650,580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center"/>
              <w:ind w:right="3"/>
              <w:spacing w:after="0"/>
              <w:rPr>
                <w:sz w:val="20"/>
                <w:szCs w:val="20"/>
                <w:color w:val="auto"/>
              </w:rPr>
            </w:pPr>
            <w:r>
              <w:rPr>
                <w:rFonts w:ascii="Arial" w:cs="Arial" w:eastAsia="Arial" w:hAnsi="Arial"/>
                <w:sz w:val="15"/>
                <w:szCs w:val="15"/>
                <w:b w:val="1"/>
                <w:bCs w:val="1"/>
                <w:color w:val="auto"/>
              </w:rPr>
              <w:t>6,608</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color w:val="auto"/>
              </w:rPr>
              <w:t>1,732,310</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4,375</w:t>
            </w:r>
          </w:p>
        </w:tc>
        <w:tc>
          <w:tcPr>
            <w:tcW w:w="0" w:type="dxa"/>
            <w:vAlign w:val="bottom"/>
          </w:tcPr>
          <w:p>
            <w:pPr>
              <w:spacing w:after="0"/>
              <w:rPr>
                <w:sz w:val="1"/>
                <w:szCs w:val="1"/>
                <w:color w:val="auto"/>
              </w:rPr>
            </w:pPr>
          </w:p>
        </w:tc>
      </w:tr>
      <w:tr>
        <w:trPr>
          <w:trHeight w:val="93"/>
        </w:trPr>
        <w:tc>
          <w:tcPr>
            <w:tcW w:w="720" w:type="dxa"/>
            <w:vAlign w:val="bottom"/>
            <w:tcBorders>
              <w:left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5"/>
                <w:szCs w:val="15"/>
                <w:color w:val="auto"/>
              </w:rPr>
              <w:t>small businesses</w:t>
            </w:r>
          </w:p>
        </w:tc>
        <w:tc>
          <w:tcPr>
            <w:tcW w:w="142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gridSpan w:val="3"/>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60" w:type="dxa"/>
            <w:vAlign w:val="bottom"/>
            <w:tcBorders>
              <w:bottom w:val="single" w:sz="8" w:color="auto"/>
              <w:right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Borders>
              <w:left w:val="single" w:sz="8" w:color="auto"/>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180" w:type="dxa"/>
            <w:vAlign w:val="bottom"/>
            <w:tcBorders>
              <w:right w:val="single" w:sz="8" w:color="auto"/>
            </w:tcBorders>
            <w:shd w:val="clear" w:color="auto" w:fill="000000"/>
          </w:tcPr>
          <w:p>
            <w:pPr>
              <w:spacing w:after="0"/>
              <w:rPr>
                <w:sz w:val="17"/>
                <w:szCs w:val="17"/>
                <w:color w:val="auto"/>
              </w:rPr>
            </w:pPr>
          </w:p>
        </w:tc>
        <w:tc>
          <w:tcPr>
            <w:tcW w:w="4780" w:type="dxa"/>
            <w:vAlign w:val="bottom"/>
            <w:tcBorders>
              <w:right w:val="single" w:sz="8" w:color="auto"/>
            </w:tcBorders>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1320" w:type="dxa"/>
            <w:vAlign w:val="bottom"/>
            <w:tcBorders>
              <w:right w:val="single" w:sz="8" w:color="auto"/>
            </w:tcBorders>
            <w:shd w:val="clear" w:color="auto" w:fill="000000"/>
          </w:tcPr>
          <w:p>
            <w:pPr>
              <w:jc w:val="center"/>
              <w:ind w:left="663"/>
              <w:spacing w:after="0"/>
              <w:rPr>
                <w:sz w:val="20"/>
                <w:szCs w:val="20"/>
                <w:color w:val="auto"/>
              </w:rPr>
            </w:pPr>
            <w:r>
              <w:rPr>
                <w:rFonts w:ascii="Arial" w:cs="Arial" w:eastAsia="Arial" w:hAnsi="Arial"/>
                <w:sz w:val="15"/>
                <w:szCs w:val="15"/>
                <w:b w:val="1"/>
                <w:bCs w:val="1"/>
                <w:color w:val="FFFFFF"/>
              </w:rPr>
              <w:t>2022</w:t>
            </w:r>
          </w:p>
        </w:tc>
        <w:tc>
          <w:tcPr>
            <w:tcW w:w="120" w:type="dxa"/>
            <w:vAlign w:val="bottom"/>
            <w:shd w:val="clear" w:color="auto" w:fill="000000"/>
          </w:tcPr>
          <w:p>
            <w:pPr>
              <w:spacing w:after="0"/>
              <w:rPr>
                <w:sz w:val="17"/>
                <w:szCs w:val="17"/>
                <w:color w:val="auto"/>
              </w:rPr>
            </w:pPr>
          </w:p>
        </w:tc>
        <w:tc>
          <w:tcPr>
            <w:tcW w:w="160" w:type="dxa"/>
            <w:vAlign w:val="bottom"/>
            <w:tcBorders>
              <w:right w:val="single" w:sz="8" w:color="auto"/>
            </w:tcBorders>
            <w:shd w:val="clear" w:color="auto" w:fill="000000"/>
          </w:tcPr>
          <w:p>
            <w:pPr>
              <w:spacing w:after="0"/>
              <w:rPr>
                <w:sz w:val="17"/>
                <w:szCs w:val="17"/>
                <w:color w:val="auto"/>
              </w:rPr>
            </w:pPr>
          </w:p>
        </w:tc>
        <w:tc>
          <w:tcPr>
            <w:tcW w:w="500" w:type="dxa"/>
            <w:vAlign w:val="bottom"/>
            <w:tcBorders>
              <w:right w:val="single" w:sz="8" w:color="auto"/>
            </w:tcBorders>
            <w:shd w:val="clear" w:color="auto" w:fill="000000"/>
          </w:tcPr>
          <w:p>
            <w:pPr>
              <w:spacing w:after="0"/>
              <w:rPr>
                <w:sz w:val="17"/>
                <w:szCs w:val="17"/>
                <w:color w:val="auto"/>
              </w:rPr>
            </w:pPr>
          </w:p>
        </w:tc>
        <w:tc>
          <w:tcPr>
            <w:tcW w:w="220" w:type="dxa"/>
            <w:vAlign w:val="bottom"/>
            <w:tcBorders>
              <w:right w:val="single" w:sz="8" w:color="auto"/>
            </w:tcBorders>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1420" w:type="dxa"/>
            <w:vAlign w:val="bottom"/>
            <w:tcBorders>
              <w:right w:val="single" w:sz="8" w:color="auto"/>
            </w:tcBorders>
            <w:gridSpan w:val="3"/>
            <w:shd w:val="clear" w:color="auto" w:fill="000000"/>
          </w:tcPr>
          <w:p>
            <w:pPr>
              <w:jc w:val="center"/>
              <w:ind w:right="66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54"/>
        </w:trPr>
        <w:tc>
          <w:tcPr>
            <w:tcW w:w="740" w:type="dxa"/>
            <w:vAlign w:val="bottom"/>
            <w:tcBorders>
              <w:left w:val="single" w:sz="8" w:color="auto"/>
            </w:tcBorders>
            <w:gridSpan w:val="2"/>
            <w:vMerge w:val="restart"/>
            <w:shd w:val="clear" w:color="auto" w:fill="000000"/>
          </w:tcPr>
          <w:p>
            <w:pPr>
              <w:ind w:left="180"/>
              <w:spacing w:after="0"/>
              <w:rPr>
                <w:sz w:val="20"/>
                <w:szCs w:val="20"/>
                <w:color w:val="auto"/>
              </w:rPr>
            </w:pPr>
            <w:r>
              <w:rPr>
                <w:rFonts w:ascii="Arial" w:cs="Arial" w:eastAsia="Arial" w:hAnsi="Arial"/>
                <w:sz w:val="15"/>
                <w:szCs w:val="15"/>
                <w:b w:val="1"/>
                <w:bCs w:val="1"/>
                <w:color w:val="FFFFFF"/>
              </w:rPr>
              <w:t>CODE</w:t>
            </w:r>
          </w:p>
        </w:tc>
        <w:tc>
          <w:tcPr>
            <w:tcW w:w="100" w:type="dxa"/>
            <w:vAlign w:val="bottom"/>
            <w:tcBorders>
              <w:right w:val="single" w:sz="8" w:color="auto"/>
            </w:tcBorders>
            <w:shd w:val="clear" w:color="auto" w:fill="000000"/>
          </w:tcPr>
          <w:p>
            <w:pPr>
              <w:spacing w:after="0"/>
              <w:rPr>
                <w:sz w:val="13"/>
                <w:szCs w:val="13"/>
                <w:color w:val="auto"/>
              </w:rPr>
            </w:pPr>
          </w:p>
        </w:tc>
        <w:tc>
          <w:tcPr>
            <w:tcW w:w="180" w:type="dxa"/>
            <w:vAlign w:val="bottom"/>
            <w:tcBorders>
              <w:right w:val="single" w:sz="8" w:color="auto"/>
            </w:tcBorders>
            <w:shd w:val="clear" w:color="auto" w:fill="000000"/>
          </w:tcPr>
          <w:p>
            <w:pPr>
              <w:spacing w:after="0"/>
              <w:rPr>
                <w:sz w:val="13"/>
                <w:szCs w:val="13"/>
                <w:color w:val="auto"/>
              </w:rPr>
            </w:pPr>
          </w:p>
        </w:tc>
        <w:tc>
          <w:tcPr>
            <w:tcW w:w="4780" w:type="dxa"/>
            <w:vAlign w:val="bottom"/>
            <w:tcBorders>
              <w:right w:val="single" w:sz="8" w:color="auto"/>
            </w:tcBorders>
            <w:vMerge w:val="restart"/>
            <w:shd w:val="clear" w:color="auto" w:fill="000000"/>
          </w:tcPr>
          <w:p>
            <w:pPr>
              <w:ind w:left="1340"/>
              <w:spacing w:after="0"/>
              <w:rPr>
                <w:sz w:val="20"/>
                <w:szCs w:val="20"/>
                <w:color w:val="auto"/>
              </w:rPr>
            </w:pPr>
            <w:r>
              <w:rPr>
                <w:rFonts w:ascii="Arial" w:cs="Arial" w:eastAsia="Arial" w:hAnsi="Arial"/>
                <w:sz w:val="15"/>
                <w:szCs w:val="15"/>
                <w:b w:val="1"/>
                <w:bCs w:val="1"/>
                <w:color w:val="FFFFFF"/>
              </w:rPr>
              <w:t>PARAMETER OF ACTIVITY</w:t>
            </w:r>
          </w:p>
        </w:tc>
        <w:tc>
          <w:tcPr>
            <w:tcW w:w="100" w:type="dxa"/>
            <w:vAlign w:val="bottom"/>
            <w:tcBorders>
              <w:right w:val="single" w:sz="8" w:color="auto"/>
            </w:tcBorders>
            <w:shd w:val="clear" w:color="auto" w:fill="000000"/>
          </w:tcPr>
          <w:p>
            <w:pPr>
              <w:spacing w:after="0"/>
              <w:rPr>
                <w:sz w:val="13"/>
                <w:szCs w:val="13"/>
                <w:color w:val="auto"/>
              </w:rPr>
            </w:pPr>
          </w:p>
        </w:tc>
        <w:tc>
          <w:tcPr>
            <w:tcW w:w="2100" w:type="dxa"/>
            <w:vAlign w:val="bottom"/>
            <w:tcBorders>
              <w:right w:val="single" w:sz="8" w:color="auto"/>
            </w:tcBorders>
            <w:gridSpan w:val="4"/>
            <w:shd w:val="clear" w:color="auto" w:fill="A6A6A6"/>
          </w:tcPr>
          <w:p>
            <w:pPr>
              <w:jc w:val="center"/>
              <w:spacing w:after="0" w:line="154" w:lineRule="exact"/>
              <w:rPr>
                <w:sz w:val="20"/>
                <w:szCs w:val="20"/>
                <w:color w:val="auto"/>
              </w:rPr>
            </w:pPr>
            <w:r>
              <w:rPr>
                <w:rFonts w:ascii="Arial" w:cs="Arial" w:eastAsia="Arial" w:hAnsi="Arial"/>
                <w:sz w:val="15"/>
                <w:szCs w:val="15"/>
                <w:b w:val="1"/>
                <w:bCs w:val="1"/>
                <w:color w:val="auto"/>
              </w:rPr>
              <w:t>Total (BCP Peru + Mibanco</w:t>
            </w:r>
          </w:p>
        </w:tc>
        <w:tc>
          <w:tcPr>
            <w:tcW w:w="2140" w:type="dxa"/>
            <w:vAlign w:val="bottom"/>
            <w:tcBorders>
              <w:right w:val="single" w:sz="8" w:color="auto"/>
            </w:tcBorders>
            <w:gridSpan w:val="5"/>
            <w:shd w:val="clear" w:color="auto" w:fill="A6A6A6"/>
          </w:tcPr>
          <w:p>
            <w:pPr>
              <w:jc w:val="center"/>
              <w:spacing w:after="0" w:line="154" w:lineRule="exact"/>
              <w:rPr>
                <w:sz w:val="20"/>
                <w:szCs w:val="20"/>
                <w:color w:val="auto"/>
              </w:rPr>
            </w:pPr>
            <w:r>
              <w:rPr>
                <w:rFonts w:ascii="Arial" w:cs="Arial" w:eastAsia="Arial" w:hAnsi="Arial"/>
                <w:sz w:val="15"/>
                <w:szCs w:val="15"/>
                <w:b w:val="1"/>
                <w:bCs w:val="1"/>
                <w:color w:val="auto"/>
              </w:rPr>
              <w:t>Total (BCP Peru + Mibanco</w:t>
            </w:r>
          </w:p>
        </w:tc>
        <w:tc>
          <w:tcPr>
            <w:tcW w:w="0" w:type="dxa"/>
            <w:vAlign w:val="bottom"/>
          </w:tcPr>
          <w:p>
            <w:pPr>
              <w:spacing w:after="0"/>
              <w:rPr>
                <w:sz w:val="1"/>
                <w:szCs w:val="1"/>
                <w:color w:val="auto"/>
              </w:rPr>
            </w:pPr>
          </w:p>
        </w:tc>
      </w:tr>
      <w:tr>
        <w:trPr>
          <w:trHeight w:val="111"/>
        </w:trPr>
        <w:tc>
          <w:tcPr>
            <w:tcW w:w="740" w:type="dxa"/>
            <w:vAlign w:val="bottom"/>
            <w:tcBorders>
              <w:left w:val="single" w:sz="8" w:color="auto"/>
            </w:tcBorders>
            <w:gridSpan w:val="2"/>
            <w:vMerge w:val="continue"/>
            <w:shd w:val="clear" w:color="auto" w:fill="000000"/>
          </w:tcPr>
          <w:p>
            <w:pPr>
              <w:spacing w:after="0"/>
              <w:rPr>
                <w:sz w:val="9"/>
                <w:szCs w:val="9"/>
                <w:color w:val="auto"/>
              </w:rPr>
            </w:pPr>
          </w:p>
        </w:tc>
        <w:tc>
          <w:tcPr>
            <w:tcW w:w="100" w:type="dxa"/>
            <w:vAlign w:val="bottom"/>
            <w:tcBorders>
              <w:right w:val="single" w:sz="8" w:color="auto"/>
            </w:tcBorders>
            <w:shd w:val="clear" w:color="auto" w:fill="000000"/>
          </w:tcPr>
          <w:p>
            <w:pPr>
              <w:spacing w:after="0"/>
              <w:rPr>
                <w:sz w:val="9"/>
                <w:szCs w:val="9"/>
                <w:color w:val="auto"/>
              </w:rPr>
            </w:pPr>
          </w:p>
        </w:tc>
        <w:tc>
          <w:tcPr>
            <w:tcW w:w="180" w:type="dxa"/>
            <w:vAlign w:val="bottom"/>
            <w:tcBorders>
              <w:right w:val="single" w:sz="8" w:color="auto"/>
            </w:tcBorders>
            <w:shd w:val="clear" w:color="auto" w:fill="000000"/>
          </w:tcPr>
          <w:p>
            <w:pPr>
              <w:spacing w:after="0"/>
              <w:rPr>
                <w:sz w:val="9"/>
                <w:szCs w:val="9"/>
                <w:color w:val="auto"/>
              </w:rPr>
            </w:pPr>
          </w:p>
        </w:tc>
        <w:tc>
          <w:tcPr>
            <w:tcW w:w="4780" w:type="dxa"/>
            <w:vAlign w:val="bottom"/>
            <w:tcBorders>
              <w:right w:val="single" w:sz="8" w:color="auto"/>
            </w:tcBorders>
            <w:vMerge w:val="continue"/>
            <w:shd w:val="clear" w:color="auto" w:fill="000000"/>
          </w:tcPr>
          <w:p>
            <w:pPr>
              <w:spacing w:after="0"/>
              <w:rPr>
                <w:sz w:val="9"/>
                <w:szCs w:val="9"/>
                <w:color w:val="auto"/>
              </w:rPr>
            </w:pPr>
          </w:p>
        </w:tc>
        <w:tc>
          <w:tcPr>
            <w:tcW w:w="100" w:type="dxa"/>
            <w:vAlign w:val="bottom"/>
            <w:tcBorders>
              <w:right w:val="single" w:sz="8" w:color="auto"/>
            </w:tcBorders>
            <w:shd w:val="clear" w:color="auto" w:fill="000000"/>
          </w:tcPr>
          <w:p>
            <w:pPr>
              <w:spacing w:after="0"/>
              <w:rPr>
                <w:sz w:val="9"/>
                <w:szCs w:val="9"/>
                <w:color w:val="auto"/>
              </w:rPr>
            </w:pPr>
          </w:p>
        </w:tc>
        <w:tc>
          <w:tcPr>
            <w:tcW w:w="1440" w:type="dxa"/>
            <w:vAlign w:val="bottom"/>
            <w:gridSpan w:val="2"/>
            <w:vMerge w:val="restart"/>
            <w:shd w:val="clear" w:color="auto" w:fill="A6A6A6"/>
          </w:tcPr>
          <w:p>
            <w:pPr>
              <w:jc w:val="center"/>
              <w:ind w:left="563"/>
              <w:spacing w:after="0"/>
              <w:rPr>
                <w:sz w:val="20"/>
                <w:szCs w:val="20"/>
                <w:color w:val="auto"/>
              </w:rPr>
            </w:pPr>
            <w:r>
              <w:rPr>
                <w:rFonts w:ascii="Arial" w:cs="Arial" w:eastAsia="Arial" w:hAnsi="Arial"/>
                <w:sz w:val="15"/>
                <w:szCs w:val="15"/>
                <w:b w:val="1"/>
                <w:bCs w:val="1"/>
                <w:color w:val="auto"/>
              </w:rPr>
              <w:t>Peru)</w:t>
            </w:r>
          </w:p>
        </w:tc>
        <w:tc>
          <w:tcPr>
            <w:tcW w:w="160" w:type="dxa"/>
            <w:vAlign w:val="bottom"/>
            <w:tcBorders>
              <w:right w:val="single" w:sz="8" w:color="A6A6A6"/>
            </w:tcBorders>
            <w:shd w:val="clear" w:color="auto" w:fill="A6A6A6"/>
          </w:tcPr>
          <w:p>
            <w:pPr>
              <w:spacing w:after="0"/>
              <w:rPr>
                <w:sz w:val="9"/>
                <w:szCs w:val="9"/>
                <w:color w:val="auto"/>
              </w:rPr>
            </w:pPr>
          </w:p>
        </w:tc>
        <w:tc>
          <w:tcPr>
            <w:tcW w:w="500" w:type="dxa"/>
            <w:vAlign w:val="bottom"/>
            <w:tcBorders>
              <w:right w:val="single" w:sz="8" w:color="auto"/>
            </w:tcBorders>
            <w:shd w:val="clear" w:color="auto" w:fill="A6A6A6"/>
          </w:tcPr>
          <w:p>
            <w:pPr>
              <w:spacing w:after="0"/>
              <w:rPr>
                <w:sz w:val="9"/>
                <w:szCs w:val="9"/>
                <w:color w:val="auto"/>
              </w:rPr>
            </w:pPr>
          </w:p>
        </w:tc>
        <w:tc>
          <w:tcPr>
            <w:tcW w:w="220" w:type="dxa"/>
            <w:vAlign w:val="bottom"/>
            <w:tcBorders>
              <w:right w:val="single" w:sz="8" w:color="A6A6A6"/>
            </w:tcBorders>
            <w:shd w:val="clear" w:color="auto" w:fill="A6A6A6"/>
          </w:tcPr>
          <w:p>
            <w:pPr>
              <w:spacing w:after="0"/>
              <w:rPr>
                <w:sz w:val="9"/>
                <w:szCs w:val="9"/>
                <w:color w:val="auto"/>
              </w:rPr>
            </w:pPr>
          </w:p>
        </w:tc>
        <w:tc>
          <w:tcPr>
            <w:tcW w:w="500" w:type="dxa"/>
            <w:vAlign w:val="bottom"/>
            <w:shd w:val="clear" w:color="auto" w:fill="A6A6A6"/>
          </w:tcPr>
          <w:p>
            <w:pPr>
              <w:spacing w:after="0"/>
              <w:rPr>
                <w:sz w:val="9"/>
                <w:szCs w:val="9"/>
                <w:color w:val="auto"/>
              </w:rPr>
            </w:pPr>
          </w:p>
        </w:tc>
        <w:tc>
          <w:tcPr>
            <w:tcW w:w="100" w:type="dxa"/>
            <w:vAlign w:val="bottom"/>
            <w:tcBorders>
              <w:right w:val="single" w:sz="8" w:color="A6A6A6"/>
            </w:tcBorders>
            <w:shd w:val="clear" w:color="auto" w:fill="A6A6A6"/>
          </w:tcPr>
          <w:p>
            <w:pPr>
              <w:spacing w:after="0"/>
              <w:rPr>
                <w:sz w:val="9"/>
                <w:szCs w:val="9"/>
                <w:color w:val="auto"/>
              </w:rPr>
            </w:pPr>
          </w:p>
        </w:tc>
        <w:tc>
          <w:tcPr>
            <w:tcW w:w="1320" w:type="dxa"/>
            <w:vAlign w:val="bottom"/>
            <w:tcBorders>
              <w:right w:val="single" w:sz="8" w:color="auto"/>
            </w:tcBorders>
            <w:gridSpan w:val="2"/>
            <w:vMerge w:val="restart"/>
            <w:shd w:val="clear" w:color="auto" w:fill="A6A6A6"/>
          </w:tcPr>
          <w:p>
            <w:pPr>
              <w:jc w:val="center"/>
              <w:ind w:right="763"/>
              <w:spacing w:after="0"/>
              <w:rPr>
                <w:sz w:val="20"/>
                <w:szCs w:val="20"/>
                <w:color w:val="auto"/>
              </w:rPr>
            </w:pPr>
            <w:r>
              <w:rPr>
                <w:rFonts w:ascii="Arial" w:cs="Arial" w:eastAsia="Arial" w:hAnsi="Arial"/>
                <w:sz w:val="15"/>
                <w:szCs w:val="15"/>
                <w:b w:val="1"/>
                <w:bCs w:val="1"/>
                <w:color w:val="auto"/>
              </w:rPr>
              <w:t>Peru)</w:t>
            </w:r>
          </w:p>
        </w:tc>
        <w:tc>
          <w:tcPr>
            <w:tcW w:w="0" w:type="dxa"/>
            <w:vAlign w:val="bottom"/>
          </w:tcPr>
          <w:p>
            <w:pPr>
              <w:spacing w:after="0"/>
              <w:rPr>
                <w:sz w:val="1"/>
                <w:szCs w:val="1"/>
                <w:color w:val="auto"/>
              </w:rPr>
            </w:pPr>
          </w:p>
        </w:tc>
      </w:tr>
      <w:tr>
        <w:trPr>
          <w:trHeight w:val="81"/>
        </w:trPr>
        <w:tc>
          <w:tcPr>
            <w:tcW w:w="720" w:type="dxa"/>
            <w:vAlign w:val="bottom"/>
            <w:tcBorders>
              <w:left w:val="single" w:sz="8" w:color="auto"/>
              <w:bottom w:val="single" w:sz="8" w:color="auto"/>
              <w:right w:val="single" w:sz="8" w:color="auto"/>
            </w:tcBorders>
            <w:shd w:val="clear" w:color="auto" w:fill="000000"/>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00" w:type="dxa"/>
            <w:vAlign w:val="bottom"/>
            <w:tcBorders>
              <w:bottom w:val="single" w:sz="8" w:color="auto"/>
              <w:right w:val="single" w:sz="8" w:color="auto"/>
            </w:tcBorders>
            <w:shd w:val="clear" w:color="auto" w:fill="000000"/>
          </w:tcPr>
          <w:p>
            <w:pPr>
              <w:spacing w:after="0"/>
              <w:rPr>
                <w:sz w:val="7"/>
                <w:szCs w:val="7"/>
                <w:color w:val="auto"/>
              </w:rPr>
            </w:pPr>
          </w:p>
        </w:tc>
        <w:tc>
          <w:tcPr>
            <w:tcW w:w="180" w:type="dxa"/>
            <w:vAlign w:val="bottom"/>
            <w:tcBorders>
              <w:bottom w:val="single" w:sz="8" w:color="auto"/>
              <w:right w:val="single" w:sz="8" w:color="auto"/>
            </w:tcBorders>
            <w:shd w:val="clear" w:color="auto" w:fill="000000"/>
          </w:tcPr>
          <w:p>
            <w:pPr>
              <w:spacing w:after="0"/>
              <w:rPr>
                <w:sz w:val="7"/>
                <w:szCs w:val="7"/>
                <w:color w:val="auto"/>
              </w:rPr>
            </w:pPr>
          </w:p>
        </w:tc>
        <w:tc>
          <w:tcPr>
            <w:tcW w:w="4780" w:type="dxa"/>
            <w:vAlign w:val="bottom"/>
            <w:tcBorders>
              <w:bottom w:val="single" w:sz="8" w:color="auto"/>
              <w:right w:val="single" w:sz="8" w:color="auto"/>
            </w:tcBorders>
            <w:shd w:val="clear" w:color="auto" w:fill="000000"/>
          </w:tcPr>
          <w:p>
            <w:pPr>
              <w:spacing w:after="0"/>
              <w:rPr>
                <w:sz w:val="7"/>
                <w:szCs w:val="7"/>
                <w:color w:val="auto"/>
              </w:rPr>
            </w:pPr>
          </w:p>
        </w:tc>
        <w:tc>
          <w:tcPr>
            <w:tcW w:w="100" w:type="dxa"/>
            <w:vAlign w:val="bottom"/>
            <w:tcBorders>
              <w:bottom w:val="single" w:sz="8" w:color="auto"/>
              <w:right w:val="single" w:sz="8" w:color="auto"/>
            </w:tcBorders>
            <w:shd w:val="clear" w:color="auto" w:fill="000000"/>
          </w:tcPr>
          <w:p>
            <w:pPr>
              <w:spacing w:after="0"/>
              <w:rPr>
                <w:sz w:val="7"/>
                <w:szCs w:val="7"/>
                <w:color w:val="auto"/>
              </w:rPr>
            </w:pPr>
          </w:p>
        </w:tc>
        <w:tc>
          <w:tcPr>
            <w:tcW w:w="1440" w:type="dxa"/>
            <w:vAlign w:val="bottom"/>
            <w:tcBorders>
              <w:bottom w:val="single" w:sz="8" w:color="auto"/>
            </w:tcBorders>
            <w:gridSpan w:val="2"/>
            <w:vMerge w:val="continue"/>
            <w:shd w:val="clear" w:color="auto" w:fill="A6A6A6"/>
          </w:tcPr>
          <w:p>
            <w:pPr>
              <w:spacing w:after="0"/>
              <w:rPr>
                <w:sz w:val="7"/>
                <w:szCs w:val="7"/>
                <w:color w:val="auto"/>
              </w:rPr>
            </w:pPr>
          </w:p>
        </w:tc>
        <w:tc>
          <w:tcPr>
            <w:tcW w:w="160" w:type="dxa"/>
            <w:vAlign w:val="bottom"/>
            <w:tcBorders>
              <w:bottom w:val="single" w:sz="8" w:color="auto"/>
              <w:right w:val="single" w:sz="8" w:color="A6A6A6"/>
            </w:tcBorders>
            <w:shd w:val="clear" w:color="auto" w:fill="A6A6A6"/>
          </w:tcPr>
          <w:p>
            <w:pPr>
              <w:spacing w:after="0"/>
              <w:rPr>
                <w:sz w:val="7"/>
                <w:szCs w:val="7"/>
                <w:color w:val="auto"/>
              </w:rPr>
            </w:pPr>
          </w:p>
        </w:tc>
        <w:tc>
          <w:tcPr>
            <w:tcW w:w="500" w:type="dxa"/>
            <w:vAlign w:val="bottom"/>
            <w:tcBorders>
              <w:bottom w:val="single" w:sz="8" w:color="auto"/>
              <w:right w:val="single" w:sz="8" w:color="auto"/>
            </w:tcBorders>
            <w:shd w:val="clear" w:color="auto" w:fill="A6A6A6"/>
          </w:tcPr>
          <w:p>
            <w:pPr>
              <w:spacing w:after="0"/>
              <w:rPr>
                <w:sz w:val="7"/>
                <w:szCs w:val="7"/>
                <w:color w:val="auto"/>
              </w:rPr>
            </w:pPr>
          </w:p>
        </w:tc>
        <w:tc>
          <w:tcPr>
            <w:tcW w:w="220" w:type="dxa"/>
            <w:vAlign w:val="bottom"/>
            <w:tcBorders>
              <w:bottom w:val="single" w:sz="8" w:color="auto"/>
              <w:right w:val="single" w:sz="8" w:color="A6A6A6"/>
            </w:tcBorders>
            <w:shd w:val="clear" w:color="auto" w:fill="A6A6A6"/>
          </w:tcPr>
          <w:p>
            <w:pPr>
              <w:spacing w:after="0"/>
              <w:rPr>
                <w:sz w:val="7"/>
                <w:szCs w:val="7"/>
                <w:color w:val="auto"/>
              </w:rPr>
            </w:pPr>
          </w:p>
        </w:tc>
        <w:tc>
          <w:tcPr>
            <w:tcW w:w="500" w:type="dxa"/>
            <w:vAlign w:val="bottom"/>
            <w:tcBorders>
              <w:bottom w:val="single" w:sz="8" w:color="auto"/>
            </w:tcBorders>
            <w:shd w:val="clear" w:color="auto" w:fill="A6A6A6"/>
          </w:tcPr>
          <w:p>
            <w:pPr>
              <w:spacing w:after="0"/>
              <w:rPr>
                <w:sz w:val="7"/>
                <w:szCs w:val="7"/>
                <w:color w:val="auto"/>
              </w:rPr>
            </w:pPr>
          </w:p>
        </w:tc>
        <w:tc>
          <w:tcPr>
            <w:tcW w:w="100" w:type="dxa"/>
            <w:vAlign w:val="bottom"/>
            <w:tcBorders>
              <w:bottom w:val="single" w:sz="8" w:color="auto"/>
              <w:right w:val="single" w:sz="8" w:color="A6A6A6"/>
            </w:tcBorders>
            <w:shd w:val="clear" w:color="auto" w:fill="A6A6A6"/>
          </w:tcPr>
          <w:p>
            <w:pPr>
              <w:spacing w:after="0"/>
              <w:rPr>
                <w:sz w:val="7"/>
                <w:szCs w:val="7"/>
                <w:color w:val="auto"/>
              </w:rPr>
            </w:pPr>
          </w:p>
        </w:tc>
        <w:tc>
          <w:tcPr>
            <w:tcW w:w="1320" w:type="dxa"/>
            <w:vAlign w:val="bottom"/>
            <w:tcBorders>
              <w:bottom w:val="single" w:sz="8" w:color="auto"/>
              <w:right w:val="single" w:sz="8" w:color="auto"/>
            </w:tcBorders>
            <w:gridSpan w:val="2"/>
            <w:vMerge w:val="continue"/>
            <w:shd w:val="clear" w:color="auto" w:fill="A6A6A6"/>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auto"/>
              <w:bottom w:val="single" w:sz="8" w:color="auto"/>
              <w:right w:val="single" w:sz="8" w:color="auto"/>
            </w:tcBorders>
            <w:shd w:val="clear" w:color="auto" w:fill="000000"/>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00" w:type="dxa"/>
            <w:vAlign w:val="bottom"/>
            <w:tcBorders>
              <w:bottom w:val="single" w:sz="8" w:color="auto"/>
              <w:right w:val="single" w:sz="8" w:color="auto"/>
            </w:tcBorders>
            <w:shd w:val="clear" w:color="auto" w:fill="000000"/>
          </w:tcPr>
          <w:p>
            <w:pPr>
              <w:spacing w:after="0"/>
              <w:rPr>
                <w:sz w:val="14"/>
                <w:szCs w:val="14"/>
                <w:color w:val="auto"/>
              </w:rPr>
            </w:pPr>
          </w:p>
        </w:tc>
        <w:tc>
          <w:tcPr>
            <w:tcW w:w="180" w:type="dxa"/>
            <w:vAlign w:val="bottom"/>
            <w:tcBorders>
              <w:bottom w:val="single" w:sz="8" w:color="auto"/>
              <w:right w:val="single" w:sz="8" w:color="auto"/>
            </w:tcBorders>
            <w:shd w:val="clear" w:color="auto" w:fill="000000"/>
          </w:tcPr>
          <w:p>
            <w:pPr>
              <w:spacing w:after="0"/>
              <w:rPr>
                <w:sz w:val="14"/>
                <w:szCs w:val="14"/>
                <w:color w:val="auto"/>
              </w:rPr>
            </w:pPr>
          </w:p>
        </w:tc>
        <w:tc>
          <w:tcPr>
            <w:tcW w:w="4780" w:type="dxa"/>
            <w:vAlign w:val="bottom"/>
            <w:tcBorders>
              <w:bottom w:val="single" w:sz="8" w:color="auto"/>
              <w:right w:val="single" w:sz="8" w:color="auto"/>
            </w:tcBorders>
            <w:shd w:val="clear" w:color="auto" w:fill="000000"/>
          </w:tcPr>
          <w:p>
            <w:pPr>
              <w:spacing w:after="0"/>
              <w:rPr>
                <w:sz w:val="14"/>
                <w:szCs w:val="14"/>
                <w:color w:val="auto"/>
              </w:rPr>
            </w:pPr>
          </w:p>
        </w:tc>
        <w:tc>
          <w:tcPr>
            <w:tcW w:w="100" w:type="dxa"/>
            <w:vAlign w:val="bottom"/>
            <w:tcBorders>
              <w:bottom w:val="single" w:sz="8" w:color="auto"/>
              <w:right w:val="single" w:sz="8" w:color="auto"/>
            </w:tcBorders>
            <w:shd w:val="clear" w:color="auto" w:fill="000000"/>
          </w:tcPr>
          <w:p>
            <w:pPr>
              <w:spacing w:after="0"/>
              <w:rPr>
                <w:sz w:val="14"/>
                <w:szCs w:val="14"/>
                <w:color w:val="auto"/>
              </w:rPr>
            </w:pPr>
          </w:p>
        </w:tc>
        <w:tc>
          <w:tcPr>
            <w:tcW w:w="1440" w:type="dxa"/>
            <w:vAlign w:val="bottom"/>
            <w:tcBorders>
              <w:bottom w:val="single" w:sz="8" w:color="auto"/>
            </w:tcBorders>
            <w:gridSpan w:val="2"/>
            <w:shd w:val="clear" w:color="auto" w:fill="A6A6A6"/>
          </w:tcPr>
          <w:p>
            <w:pPr>
              <w:jc w:val="center"/>
              <w:ind w:left="543"/>
              <w:spacing w:after="0" w:line="164" w:lineRule="exact"/>
              <w:rPr>
                <w:sz w:val="20"/>
                <w:szCs w:val="20"/>
                <w:color w:val="auto"/>
              </w:rPr>
            </w:pPr>
            <w:r>
              <w:rPr>
                <w:rFonts w:ascii="Arial" w:cs="Arial" w:eastAsia="Arial" w:hAnsi="Arial"/>
                <w:sz w:val="15"/>
                <w:szCs w:val="15"/>
                <w:b w:val="1"/>
                <w:bCs w:val="1"/>
                <w:color w:val="auto"/>
              </w:rPr>
              <w:t>Number</w:t>
            </w:r>
          </w:p>
        </w:tc>
        <w:tc>
          <w:tcPr>
            <w:tcW w:w="160" w:type="dxa"/>
            <w:vAlign w:val="bottom"/>
            <w:tcBorders>
              <w:bottom w:val="single" w:sz="8" w:color="auto"/>
              <w:right w:val="single" w:sz="8" w:color="A6A6A6"/>
            </w:tcBorders>
            <w:shd w:val="clear" w:color="auto" w:fill="A6A6A6"/>
          </w:tcPr>
          <w:p>
            <w:pPr>
              <w:spacing w:after="0"/>
              <w:rPr>
                <w:sz w:val="14"/>
                <w:szCs w:val="14"/>
                <w:color w:val="auto"/>
              </w:rPr>
            </w:pPr>
          </w:p>
        </w:tc>
        <w:tc>
          <w:tcPr>
            <w:tcW w:w="500" w:type="dxa"/>
            <w:vAlign w:val="bottom"/>
            <w:tcBorders>
              <w:bottom w:val="single" w:sz="8" w:color="auto"/>
              <w:right w:val="single" w:sz="8" w:color="auto"/>
            </w:tcBorders>
            <w:shd w:val="clear" w:color="auto" w:fill="A6A6A6"/>
          </w:tcPr>
          <w:p>
            <w:pPr>
              <w:spacing w:after="0"/>
              <w:rPr>
                <w:sz w:val="14"/>
                <w:szCs w:val="14"/>
                <w:color w:val="auto"/>
              </w:rPr>
            </w:pPr>
          </w:p>
        </w:tc>
        <w:tc>
          <w:tcPr>
            <w:tcW w:w="220" w:type="dxa"/>
            <w:vAlign w:val="bottom"/>
            <w:tcBorders>
              <w:bottom w:val="single" w:sz="8" w:color="auto"/>
              <w:right w:val="single" w:sz="8" w:color="A6A6A6"/>
            </w:tcBorders>
            <w:shd w:val="clear" w:color="auto" w:fill="A6A6A6"/>
          </w:tcPr>
          <w:p>
            <w:pPr>
              <w:spacing w:after="0"/>
              <w:rPr>
                <w:sz w:val="14"/>
                <w:szCs w:val="14"/>
                <w:color w:val="auto"/>
              </w:rPr>
            </w:pPr>
          </w:p>
        </w:tc>
        <w:tc>
          <w:tcPr>
            <w:tcW w:w="500" w:type="dxa"/>
            <w:vAlign w:val="bottom"/>
            <w:tcBorders>
              <w:bottom w:val="single" w:sz="8" w:color="auto"/>
            </w:tcBorders>
            <w:shd w:val="clear" w:color="auto" w:fill="A6A6A6"/>
          </w:tcPr>
          <w:p>
            <w:pPr>
              <w:spacing w:after="0"/>
              <w:rPr>
                <w:sz w:val="14"/>
                <w:szCs w:val="14"/>
                <w:color w:val="auto"/>
              </w:rPr>
            </w:pPr>
          </w:p>
        </w:tc>
        <w:tc>
          <w:tcPr>
            <w:tcW w:w="1420" w:type="dxa"/>
            <w:vAlign w:val="bottom"/>
            <w:tcBorders>
              <w:bottom w:val="single" w:sz="8" w:color="auto"/>
              <w:right w:val="single" w:sz="8" w:color="auto"/>
            </w:tcBorders>
            <w:gridSpan w:val="3"/>
            <w:shd w:val="clear" w:color="auto" w:fill="A6A6A6"/>
          </w:tcPr>
          <w:p>
            <w:pPr>
              <w:jc w:val="center"/>
              <w:ind w:right="683"/>
              <w:spacing w:after="0" w:line="164" w:lineRule="exact"/>
              <w:rPr>
                <w:sz w:val="20"/>
                <w:szCs w:val="20"/>
                <w:color w:val="auto"/>
              </w:rPr>
            </w:pPr>
            <w:r>
              <w:rPr>
                <w:rFonts w:ascii="Arial" w:cs="Arial" w:eastAsia="Arial" w:hAnsi="Arial"/>
                <w:sz w:val="15"/>
                <w:szCs w:val="15"/>
                <w:b w:val="1"/>
                <w:bCs w:val="1"/>
                <w:color w:val="auto"/>
              </w:rPr>
              <w:t>Number</w:t>
            </w:r>
          </w:p>
        </w:tc>
        <w:tc>
          <w:tcPr>
            <w:tcW w:w="0" w:type="dxa"/>
            <w:vAlign w:val="bottom"/>
          </w:tcPr>
          <w:p>
            <w:pPr>
              <w:spacing w:after="0"/>
              <w:rPr>
                <w:sz w:val="1"/>
                <w:szCs w:val="1"/>
                <w:color w:val="auto"/>
              </w:rPr>
            </w:pPr>
          </w:p>
        </w:tc>
      </w:tr>
      <w:tr>
        <w:trPr>
          <w:trHeight w:val="164"/>
        </w:trPr>
        <w:tc>
          <w:tcPr>
            <w:tcW w:w="72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960" w:type="dxa"/>
            <w:vAlign w:val="bottom"/>
            <w:tcBorders>
              <w:bottom w:val="single" w:sz="8" w:color="auto"/>
            </w:tcBorders>
            <w:gridSpan w:val="2"/>
          </w:tcPr>
          <w:p>
            <w:pPr>
              <w:ind w:left="40"/>
              <w:spacing w:after="0" w:line="164" w:lineRule="exact"/>
              <w:rPr>
                <w:sz w:val="20"/>
                <w:szCs w:val="20"/>
                <w:color w:val="auto"/>
              </w:rPr>
            </w:pPr>
            <w:r>
              <w:rPr>
                <w:rFonts w:ascii="Arial" w:cs="Arial" w:eastAsia="Arial" w:hAnsi="Arial"/>
                <w:sz w:val="15"/>
                <w:szCs w:val="15"/>
                <w:color w:val="auto"/>
              </w:rPr>
              <w:t>(1) Number of loans per segment: (a) personal</w:t>
            </w:r>
          </w:p>
        </w:tc>
        <w:tc>
          <w:tcPr>
            <w:tcW w:w="1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563"/>
              <w:spacing w:after="0" w:line="164" w:lineRule="exact"/>
              <w:rPr>
                <w:sz w:val="20"/>
                <w:szCs w:val="20"/>
                <w:color w:val="auto"/>
              </w:rPr>
            </w:pPr>
            <w:r>
              <w:rPr>
                <w:rFonts w:ascii="Arial" w:cs="Arial" w:eastAsia="Arial" w:hAnsi="Arial"/>
                <w:sz w:val="15"/>
                <w:szCs w:val="15"/>
                <w:b w:val="1"/>
                <w:bCs w:val="1"/>
                <w:color w:val="auto"/>
              </w:rPr>
              <w:t>999,379</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gridSpan w:val="3"/>
          </w:tcPr>
          <w:p>
            <w:pPr>
              <w:jc w:val="center"/>
              <w:ind w:right="663"/>
              <w:spacing w:after="0" w:line="164" w:lineRule="exact"/>
              <w:rPr>
                <w:sz w:val="20"/>
                <w:szCs w:val="20"/>
                <w:color w:val="auto"/>
              </w:rPr>
            </w:pPr>
            <w:r>
              <w:rPr>
                <w:rFonts w:ascii="Arial" w:cs="Arial" w:eastAsia="Arial" w:hAnsi="Arial"/>
                <w:sz w:val="15"/>
                <w:szCs w:val="15"/>
                <w:b w:val="1"/>
                <w:bCs w:val="1"/>
                <w:color w:val="auto"/>
              </w:rPr>
              <w:t>781,346</w:t>
            </w:r>
          </w:p>
        </w:tc>
        <w:tc>
          <w:tcPr>
            <w:tcW w:w="0" w:type="dxa"/>
            <w:vAlign w:val="bottom"/>
          </w:tcPr>
          <w:p>
            <w:pPr>
              <w:spacing w:after="0"/>
              <w:rPr>
                <w:sz w:val="1"/>
                <w:szCs w:val="1"/>
                <w:color w:val="auto"/>
              </w:rPr>
            </w:pPr>
          </w:p>
        </w:tc>
      </w:tr>
      <w:tr>
        <w:trPr>
          <w:trHeight w:val="164"/>
        </w:trPr>
        <w:tc>
          <w:tcPr>
            <w:tcW w:w="740" w:type="dxa"/>
            <w:vAlign w:val="bottom"/>
            <w:tcBorders>
              <w:left w:val="single" w:sz="8" w:color="auto"/>
            </w:tcBorders>
            <w:gridSpan w:val="2"/>
            <w:vMerge w:val="restart"/>
          </w:tcPr>
          <w:p>
            <w:pPr>
              <w:ind w:left="60"/>
              <w:spacing w:after="0"/>
              <w:rPr>
                <w:sz w:val="20"/>
                <w:szCs w:val="20"/>
                <w:color w:val="auto"/>
              </w:rPr>
            </w:pPr>
            <w:r>
              <w:rPr>
                <w:rFonts w:ascii="Arial" w:cs="Arial" w:eastAsia="Arial" w:hAnsi="Arial"/>
                <w:sz w:val="15"/>
                <w:szCs w:val="15"/>
                <w:color w:val="auto"/>
              </w:rPr>
              <w:t>FN-CB-</w:t>
            </w:r>
          </w:p>
        </w:tc>
        <w:tc>
          <w:tcPr>
            <w:tcW w:w="100" w:type="dxa"/>
            <w:vAlign w:val="bottom"/>
            <w:tcBorders>
              <w:right w:val="single" w:sz="8" w:color="auto"/>
            </w:tcBorders>
          </w:tcPr>
          <w:p>
            <w:pPr>
              <w:spacing w:after="0"/>
              <w:rPr>
                <w:sz w:val="14"/>
                <w:szCs w:val="14"/>
                <w:color w:val="auto"/>
              </w:rPr>
            </w:pPr>
          </w:p>
        </w:tc>
        <w:tc>
          <w:tcPr>
            <w:tcW w:w="4960" w:type="dxa"/>
            <w:vAlign w:val="bottom"/>
            <w:tcBorders>
              <w:bottom w:val="single" w:sz="8" w:color="auto"/>
            </w:tcBorders>
            <w:gridSpan w:val="2"/>
          </w:tcPr>
          <w:p>
            <w:pPr>
              <w:ind w:left="40"/>
              <w:spacing w:after="0" w:line="164" w:lineRule="exact"/>
              <w:rPr>
                <w:sz w:val="20"/>
                <w:szCs w:val="20"/>
                <w:color w:val="auto"/>
              </w:rPr>
            </w:pPr>
            <w:r>
              <w:rPr>
                <w:rFonts w:ascii="Arial" w:cs="Arial" w:eastAsia="Arial" w:hAnsi="Arial"/>
                <w:sz w:val="15"/>
                <w:szCs w:val="15"/>
                <w:color w:val="auto"/>
              </w:rPr>
              <w:t>(1) Number of loans per segment: (b) small businesses,</w:t>
            </w:r>
          </w:p>
        </w:tc>
        <w:tc>
          <w:tcPr>
            <w:tcW w:w="1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563"/>
              <w:spacing w:after="0" w:line="164" w:lineRule="exact"/>
              <w:rPr>
                <w:sz w:val="20"/>
                <w:szCs w:val="20"/>
                <w:color w:val="auto"/>
              </w:rPr>
            </w:pPr>
            <w:r>
              <w:rPr>
                <w:rFonts w:ascii="Arial" w:cs="Arial" w:eastAsia="Arial" w:hAnsi="Arial"/>
                <w:sz w:val="15"/>
                <w:szCs w:val="15"/>
                <w:b w:val="1"/>
                <w:bCs w:val="1"/>
                <w:color w:val="auto"/>
              </w:rPr>
              <w:t>1,607,160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gridSpan w:val="3"/>
          </w:tcPr>
          <w:p>
            <w:pPr>
              <w:jc w:val="center"/>
              <w:ind w:right="663"/>
              <w:spacing w:after="0" w:line="164" w:lineRule="exact"/>
              <w:rPr>
                <w:sz w:val="20"/>
                <w:szCs w:val="20"/>
                <w:color w:val="auto"/>
              </w:rPr>
            </w:pPr>
            <w:r>
              <w:rPr>
                <w:rFonts w:ascii="Arial" w:cs="Arial" w:eastAsia="Arial" w:hAnsi="Arial"/>
                <w:sz w:val="15"/>
                <w:szCs w:val="15"/>
                <w:b w:val="1"/>
                <w:bCs w:val="1"/>
                <w:color w:val="auto"/>
              </w:rPr>
              <w:t>1,382,506</w:t>
            </w:r>
          </w:p>
        </w:tc>
        <w:tc>
          <w:tcPr>
            <w:tcW w:w="0" w:type="dxa"/>
            <w:vAlign w:val="bottom"/>
          </w:tcPr>
          <w:p>
            <w:pPr>
              <w:spacing w:after="0"/>
              <w:rPr>
                <w:sz w:val="1"/>
                <w:szCs w:val="1"/>
                <w:color w:val="auto"/>
              </w:rPr>
            </w:pPr>
          </w:p>
        </w:tc>
      </w:tr>
      <w:tr>
        <w:trPr>
          <w:trHeight w:val="71"/>
        </w:trPr>
        <w:tc>
          <w:tcPr>
            <w:tcW w:w="740" w:type="dxa"/>
            <w:vAlign w:val="bottom"/>
            <w:tcBorders>
              <w:left w:val="single" w:sz="8" w:color="auto"/>
            </w:tcBorders>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960" w:type="dxa"/>
            <w:vAlign w:val="bottom"/>
            <w:gridSpan w:val="2"/>
            <w:vMerge w:val="restart"/>
          </w:tcPr>
          <w:p>
            <w:pPr>
              <w:ind w:left="40"/>
              <w:spacing w:after="0" w:line="164" w:lineRule="exact"/>
              <w:rPr>
                <w:sz w:val="20"/>
                <w:szCs w:val="20"/>
                <w:color w:val="auto"/>
              </w:rPr>
            </w:pPr>
            <w:r>
              <w:rPr>
                <w:rFonts w:ascii="Arial" w:cs="Arial" w:eastAsia="Arial" w:hAnsi="Arial"/>
                <w:sz w:val="15"/>
                <w:szCs w:val="15"/>
                <w:color w:val="auto"/>
              </w:rPr>
              <w:t>(1) Number of loans per segment: (c) corporate – Corporate Banking</w:t>
            </w:r>
          </w:p>
        </w:tc>
        <w:tc>
          <w:tcPr>
            <w:tcW w:w="100" w:type="dxa"/>
            <w:vAlign w:val="bottom"/>
            <w:tcBorders>
              <w:right w:val="single" w:sz="8" w:color="auto"/>
            </w:tcBorders>
          </w:tcPr>
          <w:p>
            <w:pPr>
              <w:spacing w:after="0"/>
              <w:rPr>
                <w:sz w:val="6"/>
                <w:szCs w:val="6"/>
                <w:color w:val="auto"/>
              </w:rPr>
            </w:pPr>
          </w:p>
        </w:tc>
        <w:tc>
          <w:tcPr>
            <w:tcW w:w="1440" w:type="dxa"/>
            <w:vAlign w:val="bottom"/>
            <w:gridSpan w:val="2"/>
            <w:vMerge w:val="restart"/>
          </w:tcPr>
          <w:p>
            <w:pPr>
              <w:jc w:val="center"/>
              <w:ind w:left="563"/>
              <w:spacing w:after="0" w:line="164" w:lineRule="exact"/>
              <w:rPr>
                <w:sz w:val="20"/>
                <w:szCs w:val="20"/>
                <w:color w:val="auto"/>
              </w:rPr>
            </w:pPr>
            <w:r>
              <w:rPr>
                <w:rFonts w:ascii="Arial" w:cs="Arial" w:eastAsia="Arial" w:hAnsi="Arial"/>
                <w:sz w:val="15"/>
                <w:szCs w:val="15"/>
                <w:b w:val="1"/>
                <w:bCs w:val="1"/>
                <w:color w:val="auto"/>
              </w:rPr>
              <w:t>198,708</w:t>
            </w: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20" w:type="dxa"/>
            <w:vAlign w:val="bottom"/>
            <w:tcBorders>
              <w:right w:val="single" w:sz="8" w:color="auto"/>
            </w:tcBorders>
            <w:gridSpan w:val="3"/>
            <w:vMerge w:val="restart"/>
          </w:tcPr>
          <w:p>
            <w:pPr>
              <w:jc w:val="center"/>
              <w:ind w:right="663"/>
              <w:spacing w:after="0" w:line="164" w:lineRule="exact"/>
              <w:rPr>
                <w:sz w:val="20"/>
                <w:szCs w:val="20"/>
                <w:color w:val="auto"/>
              </w:rPr>
            </w:pPr>
            <w:r>
              <w:rPr>
                <w:rFonts w:ascii="Arial" w:cs="Arial" w:eastAsia="Arial" w:hAnsi="Arial"/>
                <w:sz w:val="15"/>
                <w:szCs w:val="15"/>
                <w:b w:val="1"/>
                <w:bCs w:val="1"/>
                <w:color w:val="auto"/>
              </w:rPr>
              <w:t>206,232</w:t>
            </w:r>
          </w:p>
        </w:tc>
        <w:tc>
          <w:tcPr>
            <w:tcW w:w="0" w:type="dxa"/>
            <w:vAlign w:val="bottom"/>
          </w:tcPr>
          <w:p>
            <w:pPr>
              <w:spacing w:after="0"/>
              <w:rPr>
                <w:sz w:val="1"/>
                <w:szCs w:val="1"/>
                <w:color w:val="auto"/>
              </w:rPr>
            </w:pPr>
          </w:p>
        </w:tc>
      </w:tr>
      <w:tr>
        <w:trPr>
          <w:trHeight w:val="93"/>
        </w:trPr>
        <w:tc>
          <w:tcPr>
            <w:tcW w:w="740" w:type="dxa"/>
            <w:vAlign w:val="bottom"/>
            <w:tcBorders>
              <w:left w:val="single" w:sz="8" w:color="auto"/>
            </w:tcBorders>
            <w:gridSpan w:val="2"/>
            <w:vMerge w:val="restart"/>
          </w:tcPr>
          <w:p>
            <w:pPr>
              <w:ind w:left="60"/>
              <w:spacing w:after="0"/>
              <w:rPr>
                <w:sz w:val="20"/>
                <w:szCs w:val="20"/>
                <w:color w:val="auto"/>
              </w:rPr>
            </w:pPr>
            <w:r>
              <w:rPr>
                <w:rFonts w:ascii="Arial" w:cs="Arial" w:eastAsia="Arial" w:hAnsi="Arial"/>
                <w:sz w:val="15"/>
                <w:szCs w:val="15"/>
                <w:color w:val="auto"/>
              </w:rPr>
              <w:t>000.B</w:t>
            </w:r>
          </w:p>
        </w:tc>
        <w:tc>
          <w:tcPr>
            <w:tcW w:w="100" w:type="dxa"/>
            <w:vAlign w:val="bottom"/>
            <w:tcBorders>
              <w:right w:val="single" w:sz="8" w:color="auto"/>
            </w:tcBorders>
          </w:tcPr>
          <w:p>
            <w:pPr>
              <w:spacing w:after="0"/>
              <w:rPr>
                <w:sz w:val="8"/>
                <w:szCs w:val="8"/>
                <w:color w:val="auto"/>
              </w:rPr>
            </w:pPr>
          </w:p>
        </w:tc>
        <w:tc>
          <w:tcPr>
            <w:tcW w:w="496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740" w:type="dxa"/>
            <w:vAlign w:val="bottom"/>
            <w:tcBorders>
              <w:left w:val="single" w:sz="8" w:color="auto"/>
            </w:tcBorders>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960" w:type="dxa"/>
            <w:vAlign w:val="bottom"/>
            <w:gridSpan w:val="2"/>
            <w:vMerge w:val="restart"/>
          </w:tcPr>
          <w:p>
            <w:pPr>
              <w:ind w:left="40"/>
              <w:spacing w:after="0" w:line="164" w:lineRule="exact"/>
              <w:rPr>
                <w:sz w:val="20"/>
                <w:szCs w:val="20"/>
                <w:color w:val="auto"/>
              </w:rPr>
            </w:pPr>
            <w:r>
              <w:rPr>
                <w:rFonts w:ascii="Arial" w:cs="Arial" w:eastAsia="Arial" w:hAnsi="Arial"/>
                <w:sz w:val="15"/>
                <w:szCs w:val="15"/>
                <w:color w:val="auto"/>
              </w:rPr>
              <w:t>(1) Number of loans per segment: (c) corporate – Middle Market</w:t>
            </w:r>
          </w:p>
        </w:tc>
        <w:tc>
          <w:tcPr>
            <w:tcW w:w="100" w:type="dxa"/>
            <w:vAlign w:val="bottom"/>
            <w:tcBorders>
              <w:right w:val="single" w:sz="8" w:color="auto"/>
            </w:tcBorders>
          </w:tcPr>
          <w:p>
            <w:pPr>
              <w:spacing w:after="0"/>
              <w:rPr>
                <w:sz w:val="6"/>
                <w:szCs w:val="6"/>
                <w:color w:val="auto"/>
              </w:rPr>
            </w:pPr>
          </w:p>
        </w:tc>
        <w:tc>
          <w:tcPr>
            <w:tcW w:w="1320" w:type="dxa"/>
            <w:vAlign w:val="bottom"/>
            <w:vMerge w:val="restart"/>
          </w:tcPr>
          <w:p>
            <w:pPr>
              <w:jc w:val="center"/>
              <w:ind w:left="683"/>
              <w:spacing w:after="0"/>
              <w:rPr>
                <w:sz w:val="20"/>
                <w:szCs w:val="20"/>
                <w:color w:val="auto"/>
              </w:rPr>
            </w:pPr>
            <w:r>
              <w:rPr>
                <w:rFonts w:ascii="Arial" w:cs="Arial" w:eastAsia="Arial" w:hAnsi="Arial"/>
                <w:sz w:val="15"/>
                <w:szCs w:val="15"/>
                <w:b w:val="1"/>
                <w:bCs w:val="1"/>
                <w:color w:val="auto"/>
              </w:rPr>
              <w:t>77,962</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20" w:type="dxa"/>
            <w:vAlign w:val="bottom"/>
            <w:tcBorders>
              <w:right w:val="single" w:sz="8" w:color="auto"/>
            </w:tcBorders>
            <w:gridSpan w:val="3"/>
            <w:vMerge w:val="restart"/>
          </w:tcPr>
          <w:p>
            <w:pPr>
              <w:jc w:val="center"/>
              <w:ind w:right="663"/>
              <w:spacing w:after="0"/>
              <w:rPr>
                <w:sz w:val="20"/>
                <w:szCs w:val="20"/>
                <w:color w:val="auto"/>
              </w:rPr>
            </w:pPr>
            <w:r>
              <w:rPr>
                <w:rFonts w:ascii="Arial" w:cs="Arial" w:eastAsia="Arial" w:hAnsi="Arial"/>
                <w:sz w:val="15"/>
                <w:szCs w:val="15"/>
                <w:b w:val="1"/>
                <w:bCs w:val="1"/>
                <w:color w:val="auto"/>
              </w:rPr>
              <w:t>64,839</w:t>
            </w:r>
          </w:p>
        </w:tc>
        <w:tc>
          <w:tcPr>
            <w:tcW w:w="0" w:type="dxa"/>
            <w:vAlign w:val="bottom"/>
          </w:tcPr>
          <w:p>
            <w:pPr>
              <w:spacing w:after="0"/>
              <w:rPr>
                <w:sz w:val="1"/>
                <w:szCs w:val="1"/>
                <w:color w:val="auto"/>
              </w:rPr>
            </w:pPr>
          </w:p>
        </w:tc>
      </w:tr>
      <w:tr>
        <w:trPr>
          <w:trHeight w:val="92"/>
        </w:trPr>
        <w:tc>
          <w:tcPr>
            <w:tcW w:w="72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2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tcBorders>
              <w:lef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960" w:type="dxa"/>
            <w:vAlign w:val="bottom"/>
            <w:gridSpan w:val="2"/>
            <w:vMerge w:val="restart"/>
          </w:tcPr>
          <w:p>
            <w:pPr>
              <w:ind w:left="40"/>
              <w:spacing w:after="0"/>
              <w:rPr>
                <w:sz w:val="20"/>
                <w:szCs w:val="20"/>
                <w:color w:val="auto"/>
              </w:rPr>
            </w:pPr>
            <w:r>
              <w:rPr>
                <w:rFonts w:ascii="Arial" w:cs="Arial" w:eastAsia="Arial" w:hAnsi="Arial"/>
                <w:sz w:val="15"/>
                <w:szCs w:val="15"/>
                <w:color w:val="auto"/>
              </w:rPr>
              <w:t>Banking</w:t>
            </w:r>
          </w:p>
        </w:tc>
        <w:tc>
          <w:tcPr>
            <w:tcW w:w="100" w:type="dxa"/>
            <w:vAlign w:val="bottom"/>
            <w:tcBorders>
              <w:right w:val="single" w:sz="8" w:color="auto"/>
            </w:tcBorders>
          </w:tcPr>
          <w:p>
            <w:pPr>
              <w:spacing w:after="0"/>
              <w:rPr>
                <w:sz w:val="8"/>
                <w:szCs w:val="8"/>
                <w:color w:val="auto"/>
              </w:rPr>
            </w:pPr>
          </w:p>
        </w:tc>
        <w:tc>
          <w:tcPr>
            <w:tcW w:w="1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96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7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Borders>
              <w:left w:val="single" w:sz="8" w:color="auto"/>
            </w:tcBorders>
            <w:gridSpan w:val="2"/>
            <w:shd w:val="clear" w:color="auto" w:fill="000000"/>
          </w:tcPr>
          <w:p>
            <w:pPr>
              <w:ind w:left="280"/>
              <w:spacing w:after="0"/>
              <w:rPr>
                <w:sz w:val="20"/>
                <w:szCs w:val="20"/>
                <w:color w:val="auto"/>
              </w:rPr>
            </w:pPr>
            <w:r>
              <w:rPr>
                <w:rFonts w:ascii="Arial" w:cs="Arial" w:eastAsia="Arial" w:hAnsi="Arial"/>
                <w:sz w:val="15"/>
                <w:szCs w:val="15"/>
                <w:b w:val="1"/>
                <w:bCs w:val="1"/>
                <w:color w:val="FFFFFF"/>
              </w:rPr>
              <w:t>CODE</w:t>
            </w:r>
          </w:p>
        </w:tc>
        <w:tc>
          <w:tcPr>
            <w:tcW w:w="100" w:type="dxa"/>
            <w:vAlign w:val="bottom"/>
            <w:tcBorders>
              <w:right w:val="single" w:sz="8" w:color="auto"/>
            </w:tcBorders>
            <w:shd w:val="clear" w:color="auto" w:fill="000000"/>
          </w:tcPr>
          <w:p>
            <w:pPr>
              <w:spacing w:after="0"/>
              <w:rPr>
                <w:sz w:val="17"/>
                <w:szCs w:val="17"/>
                <w:color w:val="auto"/>
              </w:rPr>
            </w:pPr>
          </w:p>
        </w:tc>
        <w:tc>
          <w:tcPr>
            <w:tcW w:w="180" w:type="dxa"/>
            <w:vAlign w:val="bottom"/>
            <w:tcBorders>
              <w:right w:val="single" w:sz="8" w:color="auto"/>
            </w:tcBorders>
            <w:shd w:val="clear" w:color="auto" w:fill="000000"/>
          </w:tcPr>
          <w:p>
            <w:pPr>
              <w:spacing w:after="0"/>
              <w:rPr>
                <w:sz w:val="17"/>
                <w:szCs w:val="17"/>
                <w:color w:val="auto"/>
              </w:rPr>
            </w:pPr>
          </w:p>
        </w:tc>
        <w:tc>
          <w:tcPr>
            <w:tcW w:w="4780" w:type="dxa"/>
            <w:vAlign w:val="bottom"/>
            <w:tcBorders>
              <w:right w:val="single" w:sz="8" w:color="auto"/>
            </w:tcBorders>
            <w:shd w:val="clear" w:color="auto" w:fill="000000"/>
          </w:tcPr>
          <w:p>
            <w:pPr>
              <w:ind w:left="2200"/>
              <w:spacing w:after="0"/>
              <w:rPr>
                <w:sz w:val="20"/>
                <w:szCs w:val="20"/>
                <w:color w:val="auto"/>
              </w:rPr>
            </w:pPr>
            <w:r>
              <w:rPr>
                <w:rFonts w:ascii="Arial" w:cs="Arial" w:eastAsia="Arial" w:hAnsi="Arial"/>
                <w:sz w:val="15"/>
                <w:szCs w:val="15"/>
                <w:b w:val="1"/>
                <w:bCs w:val="1"/>
                <w:color w:val="FFFFFF"/>
              </w:rPr>
              <w:t>ACCOUNTING PARAMETER</w:t>
            </w:r>
          </w:p>
        </w:tc>
        <w:tc>
          <w:tcPr>
            <w:tcW w:w="100" w:type="dxa"/>
            <w:vAlign w:val="bottom"/>
            <w:tcBorders>
              <w:right w:val="single" w:sz="8" w:color="auto"/>
            </w:tcBorders>
            <w:shd w:val="clear" w:color="auto" w:fill="000000"/>
          </w:tcPr>
          <w:p>
            <w:pPr>
              <w:spacing w:after="0"/>
              <w:rPr>
                <w:sz w:val="17"/>
                <w:szCs w:val="17"/>
                <w:color w:val="auto"/>
              </w:rPr>
            </w:pPr>
          </w:p>
        </w:tc>
        <w:tc>
          <w:tcPr>
            <w:tcW w:w="1320" w:type="dxa"/>
            <w:vAlign w:val="bottom"/>
            <w:tcBorders>
              <w:right w:val="single" w:sz="8" w:color="auto"/>
            </w:tcBorders>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60" w:type="dxa"/>
            <w:vAlign w:val="bottom"/>
            <w:tcBorders>
              <w:right w:val="single" w:sz="8" w:color="auto"/>
            </w:tcBorders>
            <w:shd w:val="clear" w:color="auto" w:fill="000000"/>
          </w:tcPr>
          <w:p>
            <w:pPr>
              <w:spacing w:after="0"/>
              <w:rPr>
                <w:sz w:val="17"/>
                <w:szCs w:val="17"/>
                <w:color w:val="auto"/>
              </w:rPr>
            </w:pPr>
          </w:p>
        </w:tc>
        <w:tc>
          <w:tcPr>
            <w:tcW w:w="500" w:type="dxa"/>
            <w:vAlign w:val="bottom"/>
            <w:tcBorders>
              <w:right w:val="single" w:sz="8" w:color="auto"/>
            </w:tcBorders>
            <w:shd w:val="clear" w:color="auto" w:fill="000000"/>
          </w:tcPr>
          <w:p>
            <w:pPr>
              <w:spacing w:after="0"/>
              <w:rPr>
                <w:sz w:val="17"/>
                <w:szCs w:val="17"/>
                <w:color w:val="auto"/>
              </w:rPr>
            </w:pPr>
          </w:p>
        </w:tc>
        <w:tc>
          <w:tcPr>
            <w:tcW w:w="720" w:type="dxa"/>
            <w:vAlign w:val="bottom"/>
            <w:gridSpan w:val="2"/>
            <w:shd w:val="clear" w:color="auto" w:fill="000000"/>
          </w:tcPr>
          <w:p>
            <w:pPr>
              <w:jc w:val="right"/>
              <w:ind w:right="323"/>
              <w:spacing w:after="0"/>
              <w:rPr>
                <w:sz w:val="20"/>
                <w:szCs w:val="20"/>
                <w:color w:val="auto"/>
              </w:rPr>
            </w:pPr>
            <w:r>
              <w:rPr>
                <w:rFonts w:ascii="Arial" w:cs="Arial" w:eastAsia="Arial" w:hAnsi="Arial"/>
                <w:sz w:val="15"/>
                <w:szCs w:val="15"/>
                <w:b w:val="1"/>
                <w:bCs w:val="1"/>
                <w:color w:val="FFFFFF"/>
                <w:w w:val="89"/>
              </w:rPr>
              <w:t>2022</w:t>
            </w:r>
          </w:p>
        </w:tc>
        <w:tc>
          <w:tcPr>
            <w:tcW w:w="100" w:type="dxa"/>
            <w:vAlign w:val="bottom"/>
            <w:tcBorders>
              <w:right w:val="single" w:sz="8" w:color="auto"/>
            </w:tcBorders>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1000" w:type="dxa"/>
            <w:vAlign w:val="bottom"/>
            <w:tcBorders>
              <w:right w:val="single" w:sz="8" w:color="auto"/>
            </w:tcBorders>
            <w:shd w:val="clear" w:color="auto" w:fill="000000"/>
          </w:tcPr>
          <w:p>
            <w:pPr>
              <w:jc w:val="right"/>
              <w:ind w:right="42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54"/>
        </w:trPr>
        <w:tc>
          <w:tcPr>
            <w:tcW w:w="720" w:type="dxa"/>
            <w:vAlign w:val="bottom"/>
            <w:tcBorders>
              <w:left w:val="single" w:sz="8" w:color="auto"/>
              <w:right w:val="single" w:sz="8" w:color="A6A6A6"/>
            </w:tcBorders>
            <w:shd w:val="clear" w:color="auto" w:fill="A6A6A6"/>
          </w:tcPr>
          <w:p>
            <w:pPr>
              <w:spacing w:after="0"/>
              <w:rPr>
                <w:sz w:val="13"/>
                <w:szCs w:val="13"/>
                <w:color w:val="auto"/>
              </w:rPr>
            </w:pPr>
          </w:p>
        </w:tc>
        <w:tc>
          <w:tcPr>
            <w:tcW w:w="20" w:type="dxa"/>
            <w:vAlign w:val="bottom"/>
            <w:shd w:val="clear" w:color="auto" w:fill="A6A6A6"/>
          </w:tcPr>
          <w:p>
            <w:pPr>
              <w:spacing w:after="0"/>
              <w:rPr>
                <w:sz w:val="13"/>
                <w:szCs w:val="13"/>
                <w:color w:val="auto"/>
              </w:rPr>
            </w:pPr>
          </w:p>
        </w:tc>
        <w:tc>
          <w:tcPr>
            <w:tcW w:w="100" w:type="dxa"/>
            <w:vAlign w:val="bottom"/>
            <w:tcBorders>
              <w:right w:val="single" w:sz="8" w:color="A6A6A6"/>
            </w:tcBorders>
            <w:shd w:val="clear" w:color="auto" w:fill="A6A6A6"/>
          </w:tcPr>
          <w:p>
            <w:pPr>
              <w:spacing w:after="0"/>
              <w:rPr>
                <w:sz w:val="13"/>
                <w:szCs w:val="13"/>
                <w:color w:val="auto"/>
              </w:rPr>
            </w:pPr>
          </w:p>
        </w:tc>
        <w:tc>
          <w:tcPr>
            <w:tcW w:w="180" w:type="dxa"/>
            <w:vAlign w:val="bottom"/>
            <w:tcBorders>
              <w:right w:val="single" w:sz="8" w:color="A6A6A6"/>
            </w:tcBorders>
            <w:shd w:val="clear" w:color="auto" w:fill="A6A6A6"/>
          </w:tcPr>
          <w:p>
            <w:pPr>
              <w:spacing w:after="0"/>
              <w:rPr>
                <w:sz w:val="13"/>
                <w:szCs w:val="13"/>
                <w:color w:val="auto"/>
              </w:rPr>
            </w:pPr>
          </w:p>
        </w:tc>
        <w:tc>
          <w:tcPr>
            <w:tcW w:w="4780" w:type="dxa"/>
            <w:vAlign w:val="bottom"/>
            <w:tcBorders>
              <w:right w:val="single" w:sz="8" w:color="A6A6A6"/>
            </w:tcBorders>
            <w:shd w:val="clear" w:color="auto" w:fill="A6A6A6"/>
          </w:tcPr>
          <w:p>
            <w:pPr>
              <w:spacing w:after="0"/>
              <w:rPr>
                <w:sz w:val="13"/>
                <w:szCs w:val="13"/>
                <w:color w:val="auto"/>
              </w:rPr>
            </w:pPr>
          </w:p>
        </w:tc>
        <w:tc>
          <w:tcPr>
            <w:tcW w:w="100" w:type="dxa"/>
            <w:vAlign w:val="bottom"/>
            <w:tcBorders>
              <w:right w:val="single" w:sz="8" w:color="A6A6A6"/>
            </w:tcBorders>
            <w:shd w:val="clear" w:color="auto" w:fill="A6A6A6"/>
          </w:tcPr>
          <w:p>
            <w:pPr>
              <w:spacing w:after="0"/>
              <w:rPr>
                <w:sz w:val="13"/>
                <w:szCs w:val="13"/>
                <w:color w:val="auto"/>
              </w:rPr>
            </w:pPr>
          </w:p>
        </w:tc>
        <w:tc>
          <w:tcPr>
            <w:tcW w:w="1320" w:type="dxa"/>
            <w:vAlign w:val="bottom"/>
            <w:tcBorders>
              <w:right w:val="single" w:sz="8" w:color="A6A6A6"/>
            </w:tcBorders>
            <w:shd w:val="clear" w:color="auto" w:fill="A6A6A6"/>
          </w:tcPr>
          <w:p>
            <w:pPr>
              <w:spacing w:after="0"/>
              <w:rPr>
                <w:sz w:val="13"/>
                <w:szCs w:val="13"/>
                <w:color w:val="auto"/>
              </w:rPr>
            </w:pPr>
          </w:p>
        </w:tc>
        <w:tc>
          <w:tcPr>
            <w:tcW w:w="120" w:type="dxa"/>
            <w:vAlign w:val="bottom"/>
            <w:shd w:val="clear" w:color="auto" w:fill="A6A6A6"/>
          </w:tcPr>
          <w:p>
            <w:pPr>
              <w:spacing w:after="0"/>
              <w:rPr>
                <w:sz w:val="13"/>
                <w:szCs w:val="13"/>
                <w:color w:val="auto"/>
              </w:rPr>
            </w:pPr>
          </w:p>
        </w:tc>
        <w:tc>
          <w:tcPr>
            <w:tcW w:w="160" w:type="dxa"/>
            <w:vAlign w:val="bottom"/>
            <w:tcBorders>
              <w:right w:val="single" w:sz="8" w:color="auto"/>
            </w:tcBorders>
            <w:shd w:val="clear" w:color="auto" w:fill="A6A6A6"/>
          </w:tcPr>
          <w:p>
            <w:pPr>
              <w:spacing w:after="0"/>
              <w:rPr>
                <w:sz w:val="13"/>
                <w:szCs w:val="13"/>
                <w:color w:val="auto"/>
              </w:rPr>
            </w:pPr>
          </w:p>
        </w:tc>
        <w:tc>
          <w:tcPr>
            <w:tcW w:w="1220" w:type="dxa"/>
            <w:vAlign w:val="bottom"/>
            <w:gridSpan w:val="3"/>
            <w:shd w:val="clear" w:color="auto" w:fill="A6A6A6"/>
          </w:tcPr>
          <w:p>
            <w:pPr>
              <w:jc w:val="center"/>
              <w:ind w:left="3"/>
              <w:spacing w:after="0" w:line="154" w:lineRule="exact"/>
              <w:rPr>
                <w:sz w:val="20"/>
                <w:szCs w:val="20"/>
                <w:color w:val="auto"/>
              </w:rPr>
            </w:pPr>
            <w:r>
              <w:rPr>
                <w:rFonts w:ascii="Arial" w:cs="Arial" w:eastAsia="Arial" w:hAnsi="Arial"/>
                <w:sz w:val="15"/>
                <w:szCs w:val="15"/>
                <w:b w:val="1"/>
                <w:bCs w:val="1"/>
                <w:color w:val="auto"/>
              </w:rPr>
              <w:t>Total (Mibanco</w:t>
            </w:r>
          </w:p>
        </w:tc>
        <w:tc>
          <w:tcPr>
            <w:tcW w:w="100" w:type="dxa"/>
            <w:vAlign w:val="bottom"/>
            <w:tcBorders>
              <w:right w:val="single" w:sz="8" w:color="auto"/>
            </w:tcBorders>
            <w:shd w:val="clear" w:color="auto" w:fill="A6A6A6"/>
          </w:tcPr>
          <w:p>
            <w:pPr>
              <w:spacing w:after="0"/>
              <w:rPr>
                <w:sz w:val="13"/>
                <w:szCs w:val="13"/>
                <w:color w:val="auto"/>
              </w:rPr>
            </w:pPr>
          </w:p>
        </w:tc>
        <w:tc>
          <w:tcPr>
            <w:tcW w:w="1320" w:type="dxa"/>
            <w:vAlign w:val="bottom"/>
            <w:tcBorders>
              <w:right w:val="single" w:sz="8" w:color="auto"/>
            </w:tcBorders>
            <w:gridSpan w:val="2"/>
            <w:shd w:val="clear" w:color="auto" w:fill="A6A6A6"/>
          </w:tcPr>
          <w:p>
            <w:pPr>
              <w:jc w:val="center"/>
              <w:spacing w:after="0" w:line="154" w:lineRule="exact"/>
              <w:rPr>
                <w:sz w:val="20"/>
                <w:szCs w:val="20"/>
                <w:color w:val="auto"/>
              </w:rPr>
            </w:pPr>
            <w:r>
              <w:rPr>
                <w:rFonts w:ascii="Arial" w:cs="Arial" w:eastAsia="Arial" w:hAnsi="Arial"/>
                <w:sz w:val="15"/>
                <w:szCs w:val="15"/>
                <w:b w:val="1"/>
                <w:bCs w:val="1"/>
                <w:color w:val="auto"/>
              </w:rPr>
              <w:t>Total (Mibanco</w:t>
            </w:r>
          </w:p>
        </w:tc>
        <w:tc>
          <w:tcPr>
            <w:tcW w:w="0" w:type="dxa"/>
            <w:vAlign w:val="bottom"/>
          </w:tcPr>
          <w:p>
            <w:pPr>
              <w:spacing w:after="0"/>
              <w:rPr>
                <w:sz w:val="1"/>
                <w:szCs w:val="1"/>
                <w:color w:val="auto"/>
              </w:rPr>
            </w:pPr>
          </w:p>
        </w:tc>
      </w:tr>
      <w:tr>
        <w:trPr>
          <w:trHeight w:val="173"/>
        </w:trPr>
        <w:tc>
          <w:tcPr>
            <w:tcW w:w="5800" w:type="dxa"/>
            <w:vAlign w:val="bottom"/>
            <w:tcBorders>
              <w:left w:val="single" w:sz="8" w:color="auto"/>
              <w:right w:val="single" w:sz="8" w:color="A6A6A6"/>
            </w:tcBorders>
            <w:gridSpan w:val="5"/>
            <w:shd w:val="clear" w:color="auto" w:fill="A6A6A6"/>
          </w:tcPr>
          <w:p>
            <w:pPr>
              <w:ind w:left="60"/>
              <w:spacing w:after="0"/>
              <w:rPr>
                <w:sz w:val="20"/>
                <w:szCs w:val="20"/>
                <w:color w:val="auto"/>
              </w:rPr>
            </w:pPr>
            <w:r>
              <w:rPr>
                <w:rFonts w:ascii="Arial" w:cs="Arial" w:eastAsia="Arial" w:hAnsi="Arial"/>
                <w:sz w:val="15"/>
                <w:szCs w:val="15"/>
                <w:b w:val="1"/>
                <w:bCs w:val="1"/>
                <w:color w:val="auto"/>
              </w:rPr>
              <w:t>Generation of financial inclusion and financial skills</w:t>
            </w:r>
          </w:p>
        </w:tc>
        <w:tc>
          <w:tcPr>
            <w:tcW w:w="100" w:type="dxa"/>
            <w:vAlign w:val="bottom"/>
            <w:tcBorders>
              <w:right w:val="single" w:sz="8" w:color="A6A6A6"/>
            </w:tcBorders>
            <w:shd w:val="clear" w:color="auto" w:fill="A6A6A6"/>
          </w:tcPr>
          <w:p>
            <w:pPr>
              <w:spacing w:after="0"/>
              <w:rPr>
                <w:sz w:val="15"/>
                <w:szCs w:val="15"/>
                <w:color w:val="auto"/>
              </w:rPr>
            </w:pPr>
          </w:p>
        </w:tc>
        <w:tc>
          <w:tcPr>
            <w:tcW w:w="1320" w:type="dxa"/>
            <w:vAlign w:val="bottom"/>
            <w:tcBorders>
              <w:right w:val="single" w:sz="8" w:color="A6A6A6"/>
            </w:tcBorders>
            <w:shd w:val="clear" w:color="auto" w:fill="A6A6A6"/>
          </w:tcPr>
          <w:p>
            <w:pPr>
              <w:spacing w:after="0"/>
              <w:rPr>
                <w:sz w:val="15"/>
                <w:szCs w:val="15"/>
                <w:color w:val="auto"/>
              </w:rPr>
            </w:pPr>
          </w:p>
        </w:tc>
        <w:tc>
          <w:tcPr>
            <w:tcW w:w="120" w:type="dxa"/>
            <w:vAlign w:val="bottom"/>
            <w:shd w:val="clear" w:color="auto" w:fill="A6A6A6"/>
          </w:tcPr>
          <w:p>
            <w:pPr>
              <w:spacing w:after="0"/>
              <w:rPr>
                <w:sz w:val="15"/>
                <w:szCs w:val="15"/>
                <w:color w:val="auto"/>
              </w:rPr>
            </w:pPr>
          </w:p>
        </w:tc>
        <w:tc>
          <w:tcPr>
            <w:tcW w:w="160" w:type="dxa"/>
            <w:vAlign w:val="bottom"/>
            <w:tcBorders>
              <w:right w:val="single" w:sz="8" w:color="auto"/>
            </w:tcBorders>
            <w:shd w:val="clear" w:color="auto" w:fill="A6A6A6"/>
          </w:tcPr>
          <w:p>
            <w:pPr>
              <w:spacing w:after="0"/>
              <w:rPr>
                <w:sz w:val="15"/>
                <w:szCs w:val="15"/>
                <w:color w:val="auto"/>
              </w:rPr>
            </w:pPr>
          </w:p>
        </w:tc>
        <w:tc>
          <w:tcPr>
            <w:tcW w:w="1220" w:type="dxa"/>
            <w:vAlign w:val="bottom"/>
            <w:gridSpan w:val="3"/>
            <w:shd w:val="clear" w:color="auto" w:fill="A6A6A6"/>
          </w:tcPr>
          <w:p>
            <w:pPr>
              <w:jc w:val="center"/>
              <w:ind w:left="3"/>
              <w:spacing w:after="0"/>
              <w:rPr>
                <w:sz w:val="20"/>
                <w:szCs w:val="20"/>
                <w:color w:val="auto"/>
              </w:rPr>
            </w:pPr>
            <w:r>
              <w:rPr>
                <w:rFonts w:ascii="Arial" w:cs="Arial" w:eastAsia="Arial" w:hAnsi="Arial"/>
                <w:sz w:val="15"/>
                <w:szCs w:val="15"/>
                <w:b w:val="1"/>
                <w:bCs w:val="1"/>
                <w:color w:val="auto"/>
              </w:rPr>
              <w:t>Peru + Mibanco</w:t>
            </w:r>
          </w:p>
        </w:tc>
        <w:tc>
          <w:tcPr>
            <w:tcW w:w="100" w:type="dxa"/>
            <w:vAlign w:val="bottom"/>
            <w:tcBorders>
              <w:right w:val="single" w:sz="8" w:color="auto"/>
            </w:tcBorders>
            <w:shd w:val="clear" w:color="auto" w:fill="A6A6A6"/>
          </w:tcPr>
          <w:p>
            <w:pPr>
              <w:spacing w:after="0"/>
              <w:rPr>
                <w:sz w:val="15"/>
                <w:szCs w:val="15"/>
                <w:color w:val="auto"/>
              </w:rPr>
            </w:pPr>
          </w:p>
        </w:tc>
        <w:tc>
          <w:tcPr>
            <w:tcW w:w="1320" w:type="dxa"/>
            <w:vAlign w:val="bottom"/>
            <w:tcBorders>
              <w:right w:val="single" w:sz="8" w:color="auto"/>
            </w:tcBorders>
            <w:gridSpan w:val="2"/>
            <w:shd w:val="clear" w:color="auto" w:fill="A6A6A6"/>
          </w:tcPr>
          <w:p>
            <w:pPr>
              <w:jc w:val="center"/>
              <w:spacing w:after="0"/>
              <w:rPr>
                <w:sz w:val="20"/>
                <w:szCs w:val="20"/>
                <w:color w:val="auto"/>
              </w:rPr>
            </w:pPr>
            <w:r>
              <w:rPr>
                <w:rFonts w:ascii="Arial" w:cs="Arial" w:eastAsia="Arial" w:hAnsi="Arial"/>
                <w:sz w:val="15"/>
                <w:szCs w:val="15"/>
                <w:b w:val="1"/>
                <w:bCs w:val="1"/>
                <w:color w:val="auto"/>
              </w:rPr>
              <w:t>Peru + Mibanco</w:t>
            </w:r>
          </w:p>
        </w:tc>
        <w:tc>
          <w:tcPr>
            <w:tcW w:w="0" w:type="dxa"/>
            <w:vAlign w:val="bottom"/>
          </w:tcPr>
          <w:p>
            <w:pPr>
              <w:spacing w:after="0"/>
              <w:rPr>
                <w:sz w:val="1"/>
                <w:szCs w:val="1"/>
                <w:color w:val="auto"/>
              </w:rPr>
            </w:pPr>
          </w:p>
        </w:tc>
      </w:tr>
      <w:tr>
        <w:trPr>
          <w:trHeight w:val="192"/>
        </w:trPr>
        <w:tc>
          <w:tcPr>
            <w:tcW w:w="720" w:type="dxa"/>
            <w:vAlign w:val="bottom"/>
            <w:tcBorders>
              <w:left w:val="single" w:sz="8" w:color="auto"/>
              <w:bottom w:val="single" w:sz="8" w:color="auto"/>
              <w:right w:val="single" w:sz="8" w:color="A6A6A6"/>
            </w:tcBorders>
            <w:shd w:val="clear" w:color="auto" w:fill="A6A6A6"/>
          </w:tcPr>
          <w:p>
            <w:pPr>
              <w:spacing w:after="0"/>
              <w:rPr>
                <w:sz w:val="16"/>
                <w:szCs w:val="16"/>
                <w:color w:val="auto"/>
              </w:rPr>
            </w:pPr>
          </w:p>
        </w:tc>
        <w:tc>
          <w:tcPr>
            <w:tcW w:w="20" w:type="dxa"/>
            <w:vAlign w:val="bottom"/>
            <w:tcBorders>
              <w:bottom w:val="single" w:sz="8" w:color="auto"/>
            </w:tcBorders>
            <w:shd w:val="clear" w:color="auto" w:fill="A6A6A6"/>
          </w:tcPr>
          <w:p>
            <w:pPr>
              <w:spacing w:after="0"/>
              <w:rPr>
                <w:sz w:val="16"/>
                <w:szCs w:val="16"/>
                <w:color w:val="auto"/>
              </w:rPr>
            </w:pPr>
          </w:p>
        </w:tc>
        <w:tc>
          <w:tcPr>
            <w:tcW w:w="100" w:type="dxa"/>
            <w:vAlign w:val="bottom"/>
            <w:tcBorders>
              <w:bottom w:val="single" w:sz="8" w:color="auto"/>
              <w:right w:val="single" w:sz="8" w:color="A6A6A6"/>
            </w:tcBorders>
            <w:shd w:val="clear" w:color="auto" w:fill="A6A6A6"/>
          </w:tcPr>
          <w:p>
            <w:pPr>
              <w:spacing w:after="0"/>
              <w:rPr>
                <w:sz w:val="16"/>
                <w:szCs w:val="16"/>
                <w:color w:val="auto"/>
              </w:rPr>
            </w:pPr>
          </w:p>
        </w:tc>
        <w:tc>
          <w:tcPr>
            <w:tcW w:w="180" w:type="dxa"/>
            <w:vAlign w:val="bottom"/>
            <w:tcBorders>
              <w:bottom w:val="single" w:sz="8" w:color="auto"/>
              <w:right w:val="single" w:sz="8" w:color="A6A6A6"/>
            </w:tcBorders>
            <w:shd w:val="clear" w:color="auto" w:fill="A6A6A6"/>
          </w:tcPr>
          <w:p>
            <w:pPr>
              <w:spacing w:after="0"/>
              <w:rPr>
                <w:sz w:val="16"/>
                <w:szCs w:val="16"/>
                <w:color w:val="auto"/>
              </w:rPr>
            </w:pPr>
          </w:p>
        </w:tc>
        <w:tc>
          <w:tcPr>
            <w:tcW w:w="4780" w:type="dxa"/>
            <w:vAlign w:val="bottom"/>
            <w:tcBorders>
              <w:bottom w:val="single" w:sz="8" w:color="auto"/>
              <w:right w:val="single" w:sz="8" w:color="A6A6A6"/>
            </w:tcBorders>
            <w:shd w:val="clear" w:color="auto" w:fill="A6A6A6"/>
          </w:tcPr>
          <w:p>
            <w:pPr>
              <w:spacing w:after="0"/>
              <w:rPr>
                <w:sz w:val="16"/>
                <w:szCs w:val="16"/>
                <w:color w:val="auto"/>
              </w:rPr>
            </w:pPr>
          </w:p>
        </w:tc>
        <w:tc>
          <w:tcPr>
            <w:tcW w:w="100" w:type="dxa"/>
            <w:vAlign w:val="bottom"/>
            <w:tcBorders>
              <w:bottom w:val="single" w:sz="8" w:color="auto"/>
              <w:right w:val="single" w:sz="8" w:color="A6A6A6"/>
            </w:tcBorders>
            <w:shd w:val="clear" w:color="auto" w:fill="A6A6A6"/>
          </w:tcPr>
          <w:p>
            <w:pPr>
              <w:spacing w:after="0"/>
              <w:rPr>
                <w:sz w:val="16"/>
                <w:szCs w:val="16"/>
                <w:color w:val="auto"/>
              </w:rPr>
            </w:pPr>
          </w:p>
        </w:tc>
        <w:tc>
          <w:tcPr>
            <w:tcW w:w="1320" w:type="dxa"/>
            <w:vAlign w:val="bottom"/>
            <w:tcBorders>
              <w:bottom w:val="single" w:sz="8" w:color="auto"/>
              <w:right w:val="single" w:sz="8" w:color="A6A6A6"/>
            </w:tcBorders>
            <w:shd w:val="clear" w:color="auto" w:fill="A6A6A6"/>
          </w:tcPr>
          <w:p>
            <w:pPr>
              <w:spacing w:after="0"/>
              <w:rPr>
                <w:sz w:val="16"/>
                <w:szCs w:val="16"/>
                <w:color w:val="auto"/>
              </w:rPr>
            </w:pPr>
          </w:p>
        </w:tc>
        <w:tc>
          <w:tcPr>
            <w:tcW w:w="120" w:type="dxa"/>
            <w:vAlign w:val="bottom"/>
            <w:tcBorders>
              <w:bottom w:val="single" w:sz="8" w:color="auto"/>
            </w:tcBorders>
            <w:shd w:val="clear" w:color="auto" w:fill="A6A6A6"/>
          </w:tcPr>
          <w:p>
            <w:pPr>
              <w:spacing w:after="0"/>
              <w:rPr>
                <w:sz w:val="16"/>
                <w:szCs w:val="16"/>
                <w:color w:val="auto"/>
              </w:rPr>
            </w:pPr>
          </w:p>
        </w:tc>
        <w:tc>
          <w:tcPr>
            <w:tcW w:w="160" w:type="dxa"/>
            <w:vAlign w:val="bottom"/>
            <w:tcBorders>
              <w:bottom w:val="single" w:sz="8" w:color="auto"/>
              <w:right w:val="single" w:sz="8" w:color="auto"/>
            </w:tcBorders>
            <w:shd w:val="clear" w:color="auto" w:fill="A6A6A6"/>
          </w:tcPr>
          <w:p>
            <w:pPr>
              <w:spacing w:after="0"/>
              <w:rPr>
                <w:sz w:val="16"/>
                <w:szCs w:val="16"/>
                <w:color w:val="auto"/>
              </w:rPr>
            </w:pPr>
          </w:p>
        </w:tc>
        <w:tc>
          <w:tcPr>
            <w:tcW w:w="1220" w:type="dxa"/>
            <w:vAlign w:val="bottom"/>
            <w:tcBorders>
              <w:bottom w:val="single" w:sz="8" w:color="auto"/>
            </w:tcBorders>
            <w:gridSpan w:val="3"/>
            <w:shd w:val="clear" w:color="auto" w:fill="A6A6A6"/>
          </w:tcPr>
          <w:p>
            <w:pPr>
              <w:jc w:val="center"/>
              <w:ind w:left="3"/>
              <w:spacing w:after="0"/>
              <w:rPr>
                <w:sz w:val="20"/>
                <w:szCs w:val="20"/>
                <w:color w:val="auto"/>
              </w:rPr>
            </w:pPr>
            <w:r>
              <w:rPr>
                <w:rFonts w:ascii="Arial" w:cs="Arial" w:eastAsia="Arial" w:hAnsi="Arial"/>
                <w:sz w:val="15"/>
                <w:szCs w:val="15"/>
                <w:b w:val="1"/>
                <w:bCs w:val="1"/>
                <w:color w:val="auto"/>
              </w:rPr>
              <w:t>Colombia)</w:t>
            </w:r>
          </w:p>
        </w:tc>
        <w:tc>
          <w:tcPr>
            <w:tcW w:w="100" w:type="dxa"/>
            <w:vAlign w:val="bottom"/>
            <w:tcBorders>
              <w:bottom w:val="single" w:sz="8" w:color="auto"/>
              <w:right w:val="single" w:sz="8" w:color="auto"/>
            </w:tcBorders>
            <w:shd w:val="clear" w:color="auto" w:fill="A6A6A6"/>
          </w:tcPr>
          <w:p>
            <w:pPr>
              <w:spacing w:after="0"/>
              <w:rPr>
                <w:sz w:val="16"/>
                <w:szCs w:val="16"/>
                <w:color w:val="auto"/>
              </w:rPr>
            </w:pPr>
          </w:p>
        </w:tc>
        <w:tc>
          <w:tcPr>
            <w:tcW w:w="320" w:type="dxa"/>
            <w:vAlign w:val="bottom"/>
            <w:tcBorders>
              <w:bottom w:val="single" w:sz="8" w:color="auto"/>
              <w:right w:val="single" w:sz="8" w:color="A6A6A6"/>
            </w:tcBorders>
            <w:shd w:val="clear" w:color="auto" w:fill="A6A6A6"/>
          </w:tcPr>
          <w:p>
            <w:pPr>
              <w:spacing w:after="0"/>
              <w:rPr>
                <w:sz w:val="16"/>
                <w:szCs w:val="16"/>
                <w:color w:val="auto"/>
              </w:rPr>
            </w:pPr>
          </w:p>
        </w:tc>
        <w:tc>
          <w:tcPr>
            <w:tcW w:w="1000" w:type="dxa"/>
            <w:vAlign w:val="bottom"/>
            <w:tcBorders>
              <w:bottom w:val="single" w:sz="8" w:color="auto"/>
              <w:right w:val="single" w:sz="8" w:color="auto"/>
            </w:tcBorders>
            <w:shd w:val="clear" w:color="auto" w:fill="A6A6A6"/>
          </w:tcPr>
          <w:p>
            <w:pPr>
              <w:jc w:val="center"/>
              <w:ind w:right="223"/>
              <w:spacing w:after="0"/>
              <w:rPr>
                <w:sz w:val="20"/>
                <w:szCs w:val="20"/>
                <w:color w:val="auto"/>
              </w:rPr>
            </w:pPr>
            <w:r>
              <w:rPr>
                <w:rFonts w:ascii="Arial" w:cs="Arial" w:eastAsia="Arial" w:hAnsi="Arial"/>
                <w:sz w:val="15"/>
                <w:szCs w:val="15"/>
                <w:b w:val="1"/>
                <w:bCs w:val="1"/>
                <w:color w:val="auto"/>
                <w:w w:val="95"/>
              </w:rPr>
              <w:t>Colombia)</w:t>
            </w:r>
          </w:p>
        </w:tc>
        <w:tc>
          <w:tcPr>
            <w:tcW w:w="0" w:type="dxa"/>
            <w:vAlign w:val="bottom"/>
          </w:tcPr>
          <w:p>
            <w:pPr>
              <w:spacing w:after="0"/>
              <w:rPr>
                <w:sz w:val="1"/>
                <w:szCs w:val="1"/>
                <w:color w:val="auto"/>
              </w:rPr>
            </w:pPr>
          </w:p>
        </w:tc>
      </w:tr>
      <w:tr>
        <w:trPr>
          <w:trHeight w:val="164"/>
        </w:trPr>
        <w:tc>
          <w:tcPr>
            <w:tcW w:w="740" w:type="dxa"/>
            <w:vAlign w:val="bottom"/>
            <w:tcBorders>
              <w:left w:val="single" w:sz="8" w:color="auto"/>
            </w:tcBorders>
            <w:gridSpan w:val="2"/>
          </w:tcPr>
          <w:p>
            <w:pPr>
              <w:ind w:left="60"/>
              <w:spacing w:after="0" w:line="164" w:lineRule="exact"/>
              <w:rPr>
                <w:sz w:val="20"/>
                <w:szCs w:val="20"/>
                <w:color w:val="auto"/>
              </w:rPr>
            </w:pPr>
            <w:r>
              <w:rPr>
                <w:rFonts w:ascii="Arial" w:cs="Arial" w:eastAsia="Arial" w:hAnsi="Arial"/>
                <w:sz w:val="15"/>
                <w:szCs w:val="15"/>
                <w:color w:val="auto"/>
              </w:rPr>
              <w:t>FN-CB-</w:t>
            </w:r>
          </w:p>
        </w:tc>
        <w:tc>
          <w:tcPr>
            <w:tcW w:w="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480" w:type="dxa"/>
            <w:vAlign w:val="bottom"/>
            <w:tcBorders>
              <w:right w:val="single" w:sz="8" w:color="auto"/>
            </w:tcBorders>
            <w:gridSpan w:val="5"/>
          </w:tcPr>
          <w:p>
            <w:pPr>
              <w:ind w:left="60"/>
              <w:spacing w:after="0" w:line="164" w:lineRule="exact"/>
              <w:rPr>
                <w:sz w:val="20"/>
                <w:szCs w:val="20"/>
                <w:color w:val="auto"/>
              </w:rPr>
            </w:pPr>
            <w:r>
              <w:rPr>
                <w:rFonts w:ascii="Arial" w:cs="Arial" w:eastAsia="Arial" w:hAnsi="Arial"/>
                <w:sz w:val="15"/>
                <w:szCs w:val="15"/>
                <w:color w:val="auto"/>
              </w:rPr>
              <w:t>Number of no-cost retail current accounts provided to clients who were not previously banked</w:t>
            </w:r>
          </w:p>
        </w:tc>
        <w:tc>
          <w:tcPr>
            <w:tcW w:w="1220" w:type="dxa"/>
            <w:vAlign w:val="bottom"/>
            <w:gridSpan w:val="3"/>
            <w:vMerge w:val="restart"/>
          </w:tcPr>
          <w:p>
            <w:pPr>
              <w:jc w:val="right"/>
              <w:ind w:right="303"/>
              <w:spacing w:after="0"/>
              <w:rPr>
                <w:sz w:val="20"/>
                <w:szCs w:val="20"/>
                <w:color w:val="auto"/>
              </w:rPr>
            </w:pPr>
            <w:r>
              <w:rPr>
                <w:rFonts w:ascii="Arial" w:cs="Arial" w:eastAsia="Arial" w:hAnsi="Arial"/>
                <w:sz w:val="15"/>
                <w:szCs w:val="15"/>
                <w:b w:val="1"/>
                <w:bCs w:val="1"/>
                <w:color w:val="auto"/>
              </w:rPr>
              <w:t>1,579</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Borders>
              <w:right w:val="single" w:sz="8" w:color="auto"/>
            </w:tcBorders>
            <w:vMerge w:val="restart"/>
          </w:tcPr>
          <w:p>
            <w:pPr>
              <w:jc w:val="right"/>
              <w:ind w:right="403"/>
              <w:spacing w:after="0"/>
              <w:rPr>
                <w:sz w:val="20"/>
                <w:szCs w:val="20"/>
                <w:color w:val="auto"/>
              </w:rPr>
            </w:pPr>
            <w:r>
              <w:rPr>
                <w:rFonts w:ascii="Arial" w:cs="Arial" w:eastAsia="Arial" w:hAnsi="Arial"/>
                <w:sz w:val="15"/>
                <w:szCs w:val="15"/>
                <w:b w:val="1"/>
                <w:bCs w:val="1"/>
                <w:color w:val="auto"/>
              </w:rPr>
              <w:t>4,520</w:t>
            </w:r>
          </w:p>
        </w:tc>
        <w:tc>
          <w:tcPr>
            <w:tcW w:w="0" w:type="dxa"/>
            <w:vAlign w:val="bottom"/>
          </w:tcPr>
          <w:p>
            <w:pPr>
              <w:spacing w:after="0"/>
              <w:rPr>
                <w:sz w:val="1"/>
                <w:szCs w:val="1"/>
                <w:color w:val="auto"/>
              </w:rPr>
            </w:pPr>
          </w:p>
        </w:tc>
      </w:tr>
      <w:tr>
        <w:trPr>
          <w:trHeight w:val="93"/>
        </w:trPr>
        <w:tc>
          <w:tcPr>
            <w:tcW w:w="740" w:type="dxa"/>
            <w:vAlign w:val="bottom"/>
            <w:tcBorders>
              <w:left w:val="single" w:sz="8" w:color="auto"/>
            </w:tcBorders>
            <w:gridSpan w:val="2"/>
            <w:vMerge w:val="restart"/>
          </w:tcPr>
          <w:p>
            <w:pPr>
              <w:ind w:left="60"/>
              <w:spacing w:after="0"/>
              <w:rPr>
                <w:sz w:val="20"/>
                <w:szCs w:val="20"/>
                <w:color w:val="auto"/>
              </w:rPr>
            </w:pPr>
            <w:r>
              <w:rPr>
                <w:rFonts w:ascii="Arial" w:cs="Arial" w:eastAsia="Arial" w:hAnsi="Arial"/>
                <w:sz w:val="15"/>
                <w:szCs w:val="15"/>
                <w:color w:val="auto"/>
              </w:rPr>
              <w:t>240a.3</w:t>
            </w:r>
          </w:p>
        </w:tc>
        <w:tc>
          <w:tcPr>
            <w:tcW w:w="1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4780" w:type="dxa"/>
            <w:vAlign w:val="bottom"/>
            <w:vMerge w:val="restart"/>
          </w:tcPr>
          <w:p>
            <w:pPr>
              <w:ind w:left="60"/>
              <w:spacing w:after="0"/>
              <w:rPr>
                <w:sz w:val="20"/>
                <w:szCs w:val="20"/>
                <w:color w:val="auto"/>
              </w:rPr>
            </w:pPr>
            <w:r>
              <w:rPr>
                <w:rFonts w:ascii="Arial" w:cs="Arial" w:eastAsia="Arial" w:hAnsi="Arial"/>
                <w:sz w:val="15"/>
                <w:szCs w:val="15"/>
                <w:color w:val="auto"/>
              </w:rPr>
              <w:t>our infrabanked.</w:t>
            </w: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47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178" w:name="page179"/>
    <w:bookmarkEnd w:id="178"/>
    <w:p>
      <w:pPr>
        <w:spacing w:after="0"/>
        <w:rPr>
          <w:sz w:val="20"/>
          <w:szCs w:val="20"/>
          <w:color w:val="auto"/>
        </w:rPr>
      </w:pPr>
      <w:r>
        <w:rPr>
          <w:rFonts w:ascii="Arial" w:cs="Arial" w:eastAsia="Arial" w:hAnsi="Arial"/>
          <w:sz w:val="25"/>
          <w:szCs w:val="25"/>
          <w:b w:val="1"/>
          <w:bCs w:val="1"/>
          <w:color w:val="auto"/>
        </w:rPr>
        <w:t>GRI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5264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Declaration of use</w:t>
            </w:r>
          </w:p>
        </w:tc>
        <w:tc>
          <w:tcPr>
            <w:tcW w:w="9460" w:type="dxa"/>
            <w:vAlign w:val="bottom"/>
            <w:tcBorders>
              <w:top w:val="single" w:sz="8" w:color="auto"/>
              <w:right w:val="single" w:sz="8" w:color="auto"/>
            </w:tcBorders>
            <w:gridSpan w:val="7"/>
          </w:tcPr>
          <w:p>
            <w:pPr>
              <w:ind w:left="80"/>
              <w:spacing w:after="0"/>
              <w:rPr>
                <w:sz w:val="20"/>
                <w:szCs w:val="20"/>
                <w:color w:val="auto"/>
              </w:rPr>
            </w:pPr>
            <w:r>
              <w:rPr>
                <w:rFonts w:ascii="Arial" w:cs="Arial" w:eastAsia="Arial" w:hAnsi="Arial"/>
                <w:sz w:val="15"/>
                <w:szCs w:val="15"/>
                <w:color w:val="auto"/>
              </w:rPr>
              <w:t>CREDICORP has presented the report in accordance with the GRI Standards for the period between January 1st and December 31st,</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shd w:val="clear" w:color="auto" w:fill="BFBFBF"/>
          </w:tcPr>
          <w:p>
            <w:pPr>
              <w:spacing w:after="0"/>
              <w:rPr>
                <w:sz w:val="8"/>
                <w:szCs w:val="8"/>
                <w:color w:val="auto"/>
              </w:rPr>
            </w:pPr>
          </w:p>
        </w:tc>
        <w:tc>
          <w:tcPr>
            <w:tcW w:w="1580" w:type="dxa"/>
            <w:vAlign w:val="bottom"/>
            <w:vMerge w:val="restart"/>
          </w:tcPr>
          <w:p>
            <w:pPr>
              <w:ind w:left="80"/>
              <w:spacing w:after="0"/>
              <w:rPr>
                <w:sz w:val="20"/>
                <w:szCs w:val="20"/>
                <w:color w:val="auto"/>
              </w:rPr>
            </w:pPr>
            <w:r>
              <w:rPr>
                <w:rFonts w:ascii="Arial" w:cs="Arial" w:eastAsia="Arial" w:hAnsi="Arial"/>
                <w:sz w:val="15"/>
                <w:szCs w:val="15"/>
                <w:color w:val="auto"/>
              </w:rPr>
              <w:t>2022.</w:t>
            </w:r>
          </w:p>
        </w:tc>
        <w:tc>
          <w:tcPr>
            <w:tcW w:w="1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BFBFBF"/>
          </w:tcPr>
          <w:p>
            <w:pPr>
              <w:spacing w:after="0"/>
              <w:rPr>
                <w:sz w:val="8"/>
                <w:szCs w:val="8"/>
                <w:color w:val="auto"/>
              </w:rPr>
            </w:pPr>
          </w:p>
        </w:tc>
        <w:tc>
          <w:tcPr>
            <w:tcW w:w="158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5"/>
                <w:szCs w:val="15"/>
                <w:b w:val="1"/>
                <w:bCs w:val="1"/>
                <w:color w:val="auto"/>
              </w:rPr>
              <w:t>GRI 1 used</w:t>
            </w:r>
          </w:p>
        </w:tc>
        <w:tc>
          <w:tcPr>
            <w:tcW w:w="3060" w:type="dxa"/>
            <w:vAlign w:val="bottom"/>
            <w:gridSpan w:val="2"/>
          </w:tcPr>
          <w:p>
            <w:pPr>
              <w:ind w:left="80"/>
              <w:spacing w:after="0"/>
              <w:rPr>
                <w:sz w:val="20"/>
                <w:szCs w:val="20"/>
                <w:color w:val="auto"/>
              </w:rPr>
            </w:pPr>
            <w:r>
              <w:rPr>
                <w:rFonts w:ascii="Arial" w:cs="Arial" w:eastAsia="Arial" w:hAnsi="Arial"/>
                <w:sz w:val="15"/>
                <w:szCs w:val="15"/>
                <w:color w:val="auto"/>
              </w:rPr>
              <w:t>GRI 1: Fundamentals 2021</w:t>
            </w: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808080"/>
          </w:tcPr>
          <w:p>
            <w:pPr>
              <w:jc w:val="center"/>
              <w:spacing w:after="0"/>
              <w:rPr>
                <w:sz w:val="20"/>
                <w:szCs w:val="20"/>
                <w:color w:val="auto"/>
              </w:rPr>
            </w:pPr>
            <w:r>
              <w:rPr>
                <w:rFonts w:ascii="Arial" w:cs="Arial" w:eastAsia="Arial" w:hAnsi="Arial"/>
                <w:sz w:val="15"/>
                <w:szCs w:val="15"/>
                <w:b w:val="1"/>
                <w:bCs w:val="1"/>
                <w:color w:val="auto"/>
              </w:rPr>
              <w:t>GRI</w:t>
            </w:r>
          </w:p>
        </w:tc>
        <w:tc>
          <w:tcPr>
            <w:tcW w:w="1580" w:type="dxa"/>
            <w:vAlign w:val="bottom"/>
            <w:tcBorders>
              <w:right w:val="single" w:sz="8" w:color="auto"/>
            </w:tcBorders>
            <w:shd w:val="clear" w:color="auto" w:fill="808080"/>
          </w:tcPr>
          <w:p>
            <w:pPr>
              <w:spacing w:after="0"/>
              <w:rPr>
                <w:sz w:val="17"/>
                <w:szCs w:val="17"/>
                <w:color w:val="auto"/>
              </w:rPr>
            </w:pPr>
          </w:p>
        </w:tc>
        <w:tc>
          <w:tcPr>
            <w:tcW w:w="1480" w:type="dxa"/>
            <w:vAlign w:val="bottom"/>
            <w:tcBorders>
              <w:right w:val="single" w:sz="8" w:color="auto"/>
            </w:tcBorders>
            <w:shd w:val="clear" w:color="auto" w:fill="808080"/>
          </w:tcPr>
          <w:p>
            <w:pPr>
              <w:spacing w:after="0"/>
              <w:rPr>
                <w:sz w:val="17"/>
                <w:szCs w:val="17"/>
                <w:color w:val="auto"/>
              </w:rPr>
            </w:pPr>
          </w:p>
        </w:tc>
        <w:tc>
          <w:tcPr>
            <w:tcW w:w="1700" w:type="dxa"/>
            <w:vAlign w:val="bottom"/>
            <w:tcBorders>
              <w:right w:val="single" w:sz="8" w:color="808080"/>
            </w:tcBorders>
            <w:shd w:val="clear" w:color="auto" w:fill="808080"/>
          </w:tcPr>
          <w:p>
            <w:pPr>
              <w:spacing w:after="0"/>
              <w:rPr>
                <w:sz w:val="17"/>
                <w:szCs w:val="17"/>
                <w:color w:val="auto"/>
              </w:rPr>
            </w:pPr>
          </w:p>
        </w:tc>
        <w:tc>
          <w:tcPr>
            <w:tcW w:w="1340" w:type="dxa"/>
            <w:vAlign w:val="bottom"/>
            <w:tcBorders>
              <w:right w:val="single" w:sz="8" w:color="808080"/>
            </w:tcBorders>
            <w:shd w:val="clear" w:color="auto" w:fill="808080"/>
          </w:tcPr>
          <w:p>
            <w:pPr>
              <w:jc w:val="center"/>
              <w:ind w:right="83"/>
              <w:spacing w:after="0"/>
              <w:rPr>
                <w:sz w:val="20"/>
                <w:szCs w:val="20"/>
                <w:color w:val="auto"/>
              </w:rPr>
            </w:pPr>
            <w:r>
              <w:rPr>
                <w:rFonts w:ascii="Arial" w:cs="Arial" w:eastAsia="Arial" w:hAnsi="Arial"/>
                <w:sz w:val="15"/>
                <w:szCs w:val="15"/>
                <w:b w:val="1"/>
                <w:bCs w:val="1"/>
                <w:color w:val="auto"/>
              </w:rPr>
              <w:t>OMISSIÓN</w:t>
            </w:r>
          </w:p>
        </w:tc>
        <w:tc>
          <w:tcPr>
            <w:tcW w:w="1560" w:type="dxa"/>
            <w:vAlign w:val="bottom"/>
            <w:tcBorders>
              <w:right w:val="single" w:sz="8" w:color="auto"/>
            </w:tcBorders>
            <w:shd w:val="clear" w:color="auto" w:fill="808080"/>
          </w:tcPr>
          <w:p>
            <w:pPr>
              <w:spacing w:after="0"/>
              <w:rPr>
                <w:sz w:val="17"/>
                <w:szCs w:val="17"/>
                <w:color w:val="auto"/>
              </w:rPr>
            </w:pPr>
          </w:p>
        </w:tc>
        <w:tc>
          <w:tcPr>
            <w:tcW w:w="1800" w:type="dxa"/>
            <w:vAlign w:val="bottom"/>
            <w:tcBorders>
              <w:right w:val="single" w:sz="8" w:color="auto"/>
            </w:tcBorders>
            <w:gridSpan w:val="2"/>
            <w:shd w:val="clear" w:color="auto" w:fill="808080"/>
          </w:tcPr>
          <w:p>
            <w:pPr>
              <w:ind w:left="360"/>
              <w:spacing w:after="0"/>
              <w:rPr>
                <w:sz w:val="20"/>
                <w:szCs w:val="20"/>
                <w:color w:val="auto"/>
              </w:rPr>
            </w:pPr>
            <w:r>
              <w:rPr>
                <w:rFonts w:ascii="Arial" w:cs="Arial" w:eastAsia="Arial" w:hAnsi="Arial"/>
                <w:sz w:val="15"/>
                <w:szCs w:val="15"/>
                <w:b w:val="1"/>
                <w:bCs w:val="1"/>
                <w:color w:val="auto"/>
              </w:rPr>
              <w:t>AGENDA 2030</w:t>
            </w:r>
          </w:p>
        </w:tc>
        <w:tc>
          <w:tcPr>
            <w:tcW w:w="0" w:type="dxa"/>
            <w:vAlign w:val="bottom"/>
          </w:tcPr>
          <w:p>
            <w:pPr>
              <w:spacing w:after="0"/>
              <w:rPr>
                <w:sz w:val="1"/>
                <w:szCs w:val="1"/>
                <w:color w:val="auto"/>
              </w:rPr>
            </w:pPr>
          </w:p>
        </w:tc>
      </w:tr>
      <w:tr>
        <w:trPr>
          <w:trHeight w:val="76"/>
        </w:trPr>
        <w:tc>
          <w:tcPr>
            <w:tcW w:w="1820" w:type="dxa"/>
            <w:vAlign w:val="bottom"/>
            <w:tcBorders>
              <w:left w:val="single" w:sz="8" w:color="auto"/>
              <w:bottom w:val="single" w:sz="8" w:color="808080"/>
              <w:right w:val="single" w:sz="8" w:color="auto"/>
            </w:tcBorders>
            <w:vMerge w:val="restart"/>
            <w:shd w:val="clear" w:color="auto" w:fill="808080"/>
          </w:tcPr>
          <w:p>
            <w:pPr>
              <w:jc w:val="center"/>
              <w:spacing w:after="0"/>
              <w:rPr>
                <w:sz w:val="20"/>
                <w:szCs w:val="20"/>
                <w:color w:val="auto"/>
              </w:rPr>
            </w:pPr>
            <w:r>
              <w:rPr>
                <w:rFonts w:ascii="Arial" w:cs="Arial" w:eastAsia="Arial" w:hAnsi="Arial"/>
                <w:sz w:val="15"/>
                <w:szCs w:val="15"/>
                <w:b w:val="1"/>
                <w:bCs w:val="1"/>
                <w:color w:val="auto"/>
              </w:rPr>
              <w:t>STANDARD/OTHER</w:t>
            </w:r>
          </w:p>
        </w:tc>
        <w:tc>
          <w:tcPr>
            <w:tcW w:w="1580" w:type="dxa"/>
            <w:vAlign w:val="bottom"/>
            <w:tcBorders>
              <w:bottom w:val="single" w:sz="8" w:color="808080"/>
              <w:right w:val="single" w:sz="8" w:color="auto"/>
            </w:tcBorders>
            <w:vMerge w:val="restart"/>
            <w:shd w:val="clear" w:color="auto" w:fill="808080"/>
          </w:tcPr>
          <w:p>
            <w:pPr>
              <w:ind w:left="360"/>
              <w:spacing w:after="0"/>
              <w:rPr>
                <w:sz w:val="20"/>
                <w:szCs w:val="20"/>
                <w:color w:val="auto"/>
              </w:rPr>
            </w:pPr>
            <w:r>
              <w:rPr>
                <w:rFonts w:ascii="Arial" w:cs="Arial" w:eastAsia="Arial" w:hAnsi="Arial"/>
                <w:sz w:val="15"/>
                <w:szCs w:val="15"/>
                <w:b w:val="1"/>
                <w:bCs w:val="1"/>
                <w:color w:val="auto"/>
              </w:rPr>
              <w:t>CONTENTS</w:t>
            </w:r>
          </w:p>
        </w:tc>
        <w:tc>
          <w:tcPr>
            <w:tcW w:w="1480" w:type="dxa"/>
            <w:vAlign w:val="bottom"/>
            <w:tcBorders>
              <w:bottom w:val="single" w:sz="8" w:color="808080"/>
              <w:right w:val="single" w:sz="8" w:color="auto"/>
            </w:tcBorders>
            <w:vMerge w:val="restart"/>
            <w:shd w:val="clear" w:color="auto" w:fill="808080"/>
          </w:tcPr>
          <w:p>
            <w:pPr>
              <w:jc w:val="center"/>
              <w:spacing w:after="0"/>
              <w:rPr>
                <w:sz w:val="20"/>
                <w:szCs w:val="20"/>
                <w:color w:val="auto"/>
              </w:rPr>
            </w:pPr>
            <w:r>
              <w:rPr>
                <w:rFonts w:ascii="Arial" w:cs="Arial" w:eastAsia="Arial" w:hAnsi="Arial"/>
                <w:sz w:val="15"/>
                <w:szCs w:val="15"/>
                <w:b w:val="1"/>
                <w:bCs w:val="1"/>
                <w:color w:val="auto"/>
              </w:rPr>
              <w:t>SECTION</w:t>
            </w:r>
          </w:p>
        </w:tc>
        <w:tc>
          <w:tcPr>
            <w:tcW w:w="1700" w:type="dxa"/>
            <w:vAlign w:val="bottom"/>
            <w:tcBorders>
              <w:bottom w:val="single" w:sz="8" w:color="auto"/>
              <w:right w:val="single" w:sz="8" w:color="808080"/>
            </w:tcBorders>
            <w:shd w:val="clear" w:color="auto" w:fill="808080"/>
          </w:tcPr>
          <w:p>
            <w:pPr>
              <w:spacing w:after="0"/>
              <w:rPr>
                <w:sz w:val="6"/>
                <w:szCs w:val="6"/>
                <w:color w:val="auto"/>
              </w:rPr>
            </w:pPr>
          </w:p>
        </w:tc>
        <w:tc>
          <w:tcPr>
            <w:tcW w:w="1340" w:type="dxa"/>
            <w:vAlign w:val="bottom"/>
            <w:tcBorders>
              <w:bottom w:val="single" w:sz="8" w:color="auto"/>
              <w:right w:val="single" w:sz="8" w:color="808080"/>
            </w:tcBorders>
            <w:shd w:val="clear" w:color="auto" w:fill="808080"/>
          </w:tcPr>
          <w:p>
            <w:pPr>
              <w:spacing w:after="0"/>
              <w:rPr>
                <w:sz w:val="6"/>
                <w:szCs w:val="6"/>
                <w:color w:val="auto"/>
              </w:rPr>
            </w:pPr>
          </w:p>
        </w:tc>
        <w:tc>
          <w:tcPr>
            <w:tcW w:w="1560" w:type="dxa"/>
            <w:vAlign w:val="bottom"/>
            <w:tcBorders>
              <w:bottom w:val="single" w:sz="8" w:color="auto"/>
              <w:right w:val="single" w:sz="8" w:color="auto"/>
            </w:tcBorders>
            <w:shd w:val="clear" w:color="auto" w:fill="808080"/>
          </w:tcPr>
          <w:p>
            <w:pPr>
              <w:spacing w:after="0"/>
              <w:rPr>
                <w:sz w:val="6"/>
                <w:szCs w:val="6"/>
                <w:color w:val="auto"/>
              </w:rPr>
            </w:pPr>
          </w:p>
        </w:tc>
        <w:tc>
          <w:tcPr>
            <w:tcW w:w="800" w:type="dxa"/>
            <w:vAlign w:val="bottom"/>
            <w:tcBorders>
              <w:bottom w:val="single" w:sz="8" w:color="auto"/>
              <w:right w:val="single" w:sz="8" w:color="808080"/>
            </w:tcBorders>
            <w:shd w:val="clear" w:color="auto" w:fill="808080"/>
          </w:tcPr>
          <w:p>
            <w:pPr>
              <w:spacing w:after="0"/>
              <w:rPr>
                <w:sz w:val="6"/>
                <w:szCs w:val="6"/>
                <w:color w:val="auto"/>
              </w:rPr>
            </w:pPr>
          </w:p>
        </w:tc>
        <w:tc>
          <w:tcPr>
            <w:tcW w:w="1000" w:type="dxa"/>
            <w:vAlign w:val="bottom"/>
            <w:tcBorders>
              <w:bottom w:val="single" w:sz="8" w:color="auto"/>
              <w:right w:val="single" w:sz="8" w:color="auto"/>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continue"/>
            <w:shd w:val="clear" w:color="auto" w:fill="808080"/>
          </w:tcPr>
          <w:p>
            <w:pPr>
              <w:spacing w:after="0"/>
              <w:rPr>
                <w:sz w:val="6"/>
                <w:szCs w:val="6"/>
                <w:color w:val="auto"/>
              </w:rPr>
            </w:pPr>
          </w:p>
        </w:tc>
        <w:tc>
          <w:tcPr>
            <w:tcW w:w="1580" w:type="dxa"/>
            <w:vAlign w:val="bottom"/>
            <w:tcBorders>
              <w:right w:val="single" w:sz="8" w:color="auto"/>
            </w:tcBorders>
            <w:vMerge w:val="continue"/>
            <w:shd w:val="clear" w:color="auto" w:fill="808080"/>
          </w:tcPr>
          <w:p>
            <w:pPr>
              <w:spacing w:after="0"/>
              <w:rPr>
                <w:sz w:val="6"/>
                <w:szCs w:val="6"/>
                <w:color w:val="auto"/>
              </w:rPr>
            </w:pPr>
          </w:p>
        </w:tc>
        <w:tc>
          <w:tcPr>
            <w:tcW w:w="1480" w:type="dxa"/>
            <w:vAlign w:val="bottom"/>
            <w:tcBorders>
              <w:right w:val="single" w:sz="8" w:color="auto"/>
            </w:tcBorders>
            <w:vMerge w:val="continue"/>
            <w:shd w:val="clear" w:color="auto" w:fill="808080"/>
          </w:tcPr>
          <w:p>
            <w:pPr>
              <w:spacing w:after="0"/>
              <w:rPr>
                <w:sz w:val="6"/>
                <w:szCs w:val="6"/>
                <w:color w:val="auto"/>
              </w:rPr>
            </w:pPr>
          </w:p>
        </w:tc>
        <w:tc>
          <w:tcPr>
            <w:tcW w:w="1700" w:type="dxa"/>
            <w:vAlign w:val="bottom"/>
            <w:tcBorders>
              <w:right w:val="single" w:sz="8" w:color="auto"/>
            </w:tcBorders>
            <w:vMerge w:val="restart"/>
            <w:shd w:val="clear" w:color="auto" w:fill="808080"/>
          </w:tcPr>
          <w:p>
            <w:pPr>
              <w:jc w:val="center"/>
              <w:ind w:right="3"/>
              <w:spacing w:after="0" w:line="146" w:lineRule="exact"/>
              <w:rPr>
                <w:sz w:val="20"/>
                <w:szCs w:val="20"/>
                <w:color w:val="auto"/>
              </w:rPr>
            </w:pPr>
            <w:r>
              <w:rPr>
                <w:rFonts w:ascii="Arial" w:cs="Arial" w:eastAsia="Arial" w:hAnsi="Arial"/>
                <w:sz w:val="15"/>
                <w:szCs w:val="15"/>
                <w:b w:val="1"/>
                <w:bCs w:val="1"/>
                <w:color w:val="auto"/>
              </w:rPr>
              <w:t>REQUIREMENTS</w:t>
            </w:r>
          </w:p>
        </w:tc>
        <w:tc>
          <w:tcPr>
            <w:tcW w:w="1340" w:type="dxa"/>
            <w:vAlign w:val="bottom"/>
            <w:tcBorders>
              <w:right w:val="single" w:sz="8" w:color="auto"/>
            </w:tcBorders>
            <w:vMerge w:val="restart"/>
            <w:shd w:val="clear" w:color="auto" w:fill="808080"/>
          </w:tcPr>
          <w:p>
            <w:pPr>
              <w:jc w:val="center"/>
              <w:ind w:right="43"/>
              <w:spacing w:after="0"/>
              <w:rPr>
                <w:sz w:val="20"/>
                <w:szCs w:val="20"/>
                <w:color w:val="auto"/>
              </w:rPr>
            </w:pPr>
            <w:r>
              <w:rPr>
                <w:rFonts w:ascii="Arial" w:cs="Arial" w:eastAsia="Arial" w:hAnsi="Arial"/>
                <w:sz w:val="15"/>
                <w:szCs w:val="15"/>
                <w:b w:val="1"/>
                <w:bCs w:val="1"/>
                <w:color w:val="auto"/>
              </w:rPr>
              <w:t>REASON</w:t>
            </w:r>
          </w:p>
        </w:tc>
        <w:tc>
          <w:tcPr>
            <w:tcW w:w="1560" w:type="dxa"/>
            <w:vAlign w:val="bottom"/>
            <w:tcBorders>
              <w:right w:val="single" w:sz="8" w:color="auto"/>
            </w:tcBorders>
            <w:vMerge w:val="restart"/>
            <w:shd w:val="clear" w:color="auto" w:fill="808080"/>
          </w:tcPr>
          <w:p>
            <w:pPr>
              <w:ind w:left="220"/>
              <w:spacing w:after="0"/>
              <w:rPr>
                <w:sz w:val="20"/>
                <w:szCs w:val="20"/>
                <w:color w:val="auto"/>
              </w:rPr>
            </w:pPr>
            <w:r>
              <w:rPr>
                <w:rFonts w:ascii="Arial" w:cs="Arial" w:eastAsia="Arial" w:hAnsi="Arial"/>
                <w:sz w:val="15"/>
                <w:szCs w:val="15"/>
                <w:b w:val="1"/>
                <w:bCs w:val="1"/>
                <w:color w:val="auto"/>
              </w:rPr>
              <w:t>EXPLANATION</w:t>
            </w:r>
          </w:p>
        </w:tc>
        <w:tc>
          <w:tcPr>
            <w:tcW w:w="800" w:type="dxa"/>
            <w:vAlign w:val="bottom"/>
            <w:tcBorders>
              <w:right w:val="single" w:sz="8" w:color="auto"/>
            </w:tcBorders>
            <w:vMerge w:val="restart"/>
            <w:shd w:val="clear" w:color="auto" w:fill="808080"/>
          </w:tcPr>
          <w:p>
            <w:pPr>
              <w:ind w:left="220"/>
              <w:spacing w:after="0"/>
              <w:rPr>
                <w:sz w:val="20"/>
                <w:szCs w:val="20"/>
                <w:color w:val="auto"/>
              </w:rPr>
            </w:pPr>
            <w:r>
              <w:rPr>
                <w:rFonts w:ascii="Arial" w:cs="Arial" w:eastAsia="Arial" w:hAnsi="Arial"/>
                <w:sz w:val="15"/>
                <w:szCs w:val="15"/>
                <w:b w:val="1"/>
                <w:bCs w:val="1"/>
                <w:color w:val="auto"/>
              </w:rPr>
              <w:t>SDG</w:t>
            </w:r>
          </w:p>
        </w:tc>
        <w:tc>
          <w:tcPr>
            <w:tcW w:w="1000" w:type="dxa"/>
            <w:vAlign w:val="bottom"/>
            <w:tcBorders>
              <w:right w:val="single" w:sz="8" w:color="auto"/>
            </w:tcBorders>
            <w:vMerge w:val="restart"/>
            <w:shd w:val="clear" w:color="auto" w:fill="808080"/>
          </w:tcPr>
          <w:p>
            <w:pPr>
              <w:ind w:left="260"/>
              <w:spacing w:after="0"/>
              <w:rPr>
                <w:sz w:val="20"/>
                <w:szCs w:val="20"/>
                <w:color w:val="auto"/>
              </w:rPr>
            </w:pPr>
            <w:r>
              <w:rPr>
                <w:rFonts w:ascii="Arial" w:cs="Arial" w:eastAsia="Arial" w:hAnsi="Arial"/>
                <w:sz w:val="15"/>
                <w:szCs w:val="15"/>
                <w:b w:val="1"/>
                <w:bCs w:val="1"/>
                <w:color w:val="auto"/>
              </w:rPr>
              <w:t>GOAL</w:t>
            </w:r>
          </w:p>
        </w:tc>
        <w:tc>
          <w:tcPr>
            <w:tcW w:w="0" w:type="dxa"/>
            <w:vAlign w:val="bottom"/>
          </w:tcPr>
          <w:p>
            <w:pPr>
              <w:spacing w:after="0"/>
              <w:rPr>
                <w:sz w:val="1"/>
                <w:szCs w:val="1"/>
                <w:color w:val="auto"/>
              </w:rPr>
            </w:pPr>
          </w:p>
        </w:tc>
      </w:tr>
      <w:tr>
        <w:trPr>
          <w:trHeight w:val="69"/>
        </w:trPr>
        <w:tc>
          <w:tcPr>
            <w:tcW w:w="1820" w:type="dxa"/>
            <w:vAlign w:val="bottom"/>
            <w:tcBorders>
              <w:left w:val="single" w:sz="8" w:color="auto"/>
              <w:right w:val="single" w:sz="8" w:color="auto"/>
            </w:tcBorders>
            <w:vMerge w:val="restart"/>
            <w:shd w:val="clear" w:color="auto" w:fill="808080"/>
          </w:tcPr>
          <w:p>
            <w:pPr>
              <w:jc w:val="center"/>
              <w:spacing w:after="0"/>
              <w:rPr>
                <w:sz w:val="20"/>
                <w:szCs w:val="20"/>
                <w:color w:val="auto"/>
              </w:rPr>
            </w:pPr>
            <w:r>
              <w:rPr>
                <w:rFonts w:ascii="Arial" w:cs="Arial" w:eastAsia="Arial" w:hAnsi="Arial"/>
                <w:sz w:val="15"/>
                <w:szCs w:val="15"/>
                <w:b w:val="1"/>
                <w:bCs w:val="1"/>
                <w:color w:val="auto"/>
              </w:rPr>
              <w:t>SOURCE</w:t>
            </w:r>
          </w:p>
        </w:tc>
        <w:tc>
          <w:tcPr>
            <w:tcW w:w="1580" w:type="dxa"/>
            <w:vAlign w:val="bottom"/>
            <w:tcBorders>
              <w:right w:val="single" w:sz="8" w:color="auto"/>
            </w:tcBorders>
            <w:shd w:val="clear" w:color="auto" w:fill="808080"/>
          </w:tcPr>
          <w:p>
            <w:pPr>
              <w:spacing w:after="0"/>
              <w:rPr>
                <w:sz w:val="6"/>
                <w:szCs w:val="6"/>
                <w:color w:val="auto"/>
              </w:rPr>
            </w:pPr>
          </w:p>
        </w:tc>
        <w:tc>
          <w:tcPr>
            <w:tcW w:w="1480" w:type="dxa"/>
            <w:vAlign w:val="bottom"/>
            <w:tcBorders>
              <w:right w:val="single" w:sz="8" w:color="auto"/>
            </w:tcBorders>
            <w:shd w:val="clear" w:color="auto" w:fill="808080"/>
          </w:tcPr>
          <w:p>
            <w:pPr>
              <w:spacing w:after="0"/>
              <w:rPr>
                <w:sz w:val="6"/>
                <w:szCs w:val="6"/>
                <w:color w:val="auto"/>
              </w:rPr>
            </w:pPr>
          </w:p>
        </w:tc>
        <w:tc>
          <w:tcPr>
            <w:tcW w:w="1700" w:type="dxa"/>
            <w:vAlign w:val="bottom"/>
            <w:tcBorders>
              <w:right w:val="single" w:sz="8" w:color="auto"/>
            </w:tcBorders>
            <w:vMerge w:val="continue"/>
            <w:shd w:val="clear" w:color="auto" w:fill="808080"/>
          </w:tcPr>
          <w:p>
            <w:pPr>
              <w:spacing w:after="0"/>
              <w:rPr>
                <w:sz w:val="6"/>
                <w:szCs w:val="6"/>
                <w:color w:val="auto"/>
              </w:rPr>
            </w:pPr>
          </w:p>
        </w:tc>
        <w:tc>
          <w:tcPr>
            <w:tcW w:w="1340" w:type="dxa"/>
            <w:vAlign w:val="bottom"/>
            <w:tcBorders>
              <w:right w:val="single" w:sz="8" w:color="auto"/>
            </w:tcBorders>
            <w:vMerge w:val="continue"/>
            <w:shd w:val="clear" w:color="auto" w:fill="808080"/>
          </w:tcPr>
          <w:p>
            <w:pPr>
              <w:spacing w:after="0"/>
              <w:rPr>
                <w:sz w:val="6"/>
                <w:szCs w:val="6"/>
                <w:color w:val="auto"/>
              </w:rPr>
            </w:pPr>
          </w:p>
        </w:tc>
        <w:tc>
          <w:tcPr>
            <w:tcW w:w="1560" w:type="dxa"/>
            <w:vAlign w:val="bottom"/>
            <w:tcBorders>
              <w:right w:val="single" w:sz="8" w:color="auto"/>
            </w:tcBorders>
            <w:vMerge w:val="continue"/>
            <w:shd w:val="clear" w:color="auto" w:fill="808080"/>
          </w:tcPr>
          <w:p>
            <w:pPr>
              <w:spacing w:after="0"/>
              <w:rPr>
                <w:sz w:val="6"/>
                <w:szCs w:val="6"/>
                <w:color w:val="auto"/>
              </w:rPr>
            </w:pPr>
          </w:p>
        </w:tc>
        <w:tc>
          <w:tcPr>
            <w:tcW w:w="800" w:type="dxa"/>
            <w:vAlign w:val="bottom"/>
            <w:tcBorders>
              <w:right w:val="single" w:sz="8" w:color="auto"/>
            </w:tcBorders>
            <w:vMerge w:val="continue"/>
            <w:shd w:val="clear" w:color="auto" w:fill="808080"/>
          </w:tcPr>
          <w:p>
            <w:pPr>
              <w:spacing w:after="0"/>
              <w:rPr>
                <w:sz w:val="6"/>
                <w:szCs w:val="6"/>
                <w:color w:val="auto"/>
              </w:rPr>
            </w:pPr>
          </w:p>
        </w:tc>
        <w:tc>
          <w:tcPr>
            <w:tcW w:w="1000" w:type="dxa"/>
            <w:vAlign w:val="bottom"/>
            <w:tcBorders>
              <w:right w:val="single" w:sz="8" w:color="auto"/>
            </w:tcBorders>
            <w:vMerge w:val="continue"/>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82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1580" w:type="dxa"/>
            <w:vAlign w:val="bottom"/>
            <w:tcBorders>
              <w:right w:val="single" w:sz="8" w:color="auto"/>
            </w:tcBorders>
            <w:shd w:val="clear" w:color="auto" w:fill="808080"/>
          </w:tcPr>
          <w:p>
            <w:pPr>
              <w:spacing w:after="0"/>
              <w:rPr>
                <w:sz w:val="11"/>
                <w:szCs w:val="11"/>
                <w:color w:val="auto"/>
              </w:rPr>
            </w:pPr>
          </w:p>
        </w:tc>
        <w:tc>
          <w:tcPr>
            <w:tcW w:w="1480" w:type="dxa"/>
            <w:vAlign w:val="bottom"/>
            <w:tcBorders>
              <w:right w:val="single" w:sz="8" w:color="auto"/>
            </w:tcBorders>
            <w:shd w:val="clear" w:color="auto" w:fill="808080"/>
          </w:tcPr>
          <w:p>
            <w:pPr>
              <w:spacing w:after="0"/>
              <w:rPr>
                <w:sz w:val="11"/>
                <w:szCs w:val="11"/>
                <w:color w:val="auto"/>
              </w:rPr>
            </w:pPr>
          </w:p>
        </w:tc>
        <w:tc>
          <w:tcPr>
            <w:tcW w:w="1700" w:type="dxa"/>
            <w:vAlign w:val="bottom"/>
            <w:tcBorders>
              <w:right w:val="single" w:sz="8" w:color="auto"/>
            </w:tcBorders>
            <w:vMerge w:val="restart"/>
            <w:shd w:val="clear" w:color="auto" w:fill="808080"/>
          </w:tcPr>
          <w:p>
            <w:pPr>
              <w:jc w:val="center"/>
              <w:spacing w:after="0"/>
              <w:rPr>
                <w:sz w:val="20"/>
                <w:szCs w:val="20"/>
                <w:color w:val="auto"/>
              </w:rPr>
            </w:pPr>
            <w:r>
              <w:rPr>
                <w:rFonts w:ascii="Arial" w:cs="Arial" w:eastAsia="Arial" w:hAnsi="Arial"/>
                <w:sz w:val="15"/>
                <w:szCs w:val="15"/>
                <w:b w:val="1"/>
                <w:bCs w:val="1"/>
                <w:color w:val="auto"/>
              </w:rPr>
              <w:t>OMISSION</w:t>
            </w:r>
          </w:p>
        </w:tc>
        <w:tc>
          <w:tcPr>
            <w:tcW w:w="1340" w:type="dxa"/>
            <w:vAlign w:val="bottom"/>
            <w:tcBorders>
              <w:right w:val="single" w:sz="8" w:color="auto"/>
            </w:tcBorders>
            <w:vMerge w:val="continue"/>
            <w:shd w:val="clear" w:color="auto" w:fill="808080"/>
          </w:tcPr>
          <w:p>
            <w:pPr>
              <w:spacing w:after="0"/>
              <w:rPr>
                <w:sz w:val="11"/>
                <w:szCs w:val="11"/>
                <w:color w:val="auto"/>
              </w:rPr>
            </w:pPr>
          </w:p>
        </w:tc>
        <w:tc>
          <w:tcPr>
            <w:tcW w:w="1560" w:type="dxa"/>
            <w:vAlign w:val="bottom"/>
            <w:tcBorders>
              <w:right w:val="single" w:sz="8" w:color="auto"/>
            </w:tcBorders>
            <w:vMerge w:val="continue"/>
            <w:shd w:val="clear" w:color="auto" w:fill="808080"/>
          </w:tcPr>
          <w:p>
            <w:pPr>
              <w:spacing w:after="0"/>
              <w:rPr>
                <w:sz w:val="11"/>
                <w:szCs w:val="11"/>
                <w:color w:val="auto"/>
              </w:rPr>
            </w:pPr>
          </w:p>
        </w:tc>
        <w:tc>
          <w:tcPr>
            <w:tcW w:w="800" w:type="dxa"/>
            <w:vAlign w:val="bottom"/>
            <w:tcBorders>
              <w:right w:val="single" w:sz="8" w:color="auto"/>
            </w:tcBorders>
            <w:vMerge w:val="continue"/>
            <w:shd w:val="clear" w:color="auto" w:fill="808080"/>
          </w:tcPr>
          <w:p>
            <w:pPr>
              <w:spacing w:after="0"/>
              <w:rPr>
                <w:sz w:val="11"/>
                <w:szCs w:val="11"/>
                <w:color w:val="auto"/>
              </w:rPr>
            </w:pPr>
          </w:p>
        </w:tc>
        <w:tc>
          <w:tcPr>
            <w:tcW w:w="1000" w:type="dxa"/>
            <w:vAlign w:val="bottom"/>
            <w:tcBorders>
              <w:right w:val="single" w:sz="8" w:color="auto"/>
            </w:tcBorders>
            <w:vMerge w:val="continue"/>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820" w:type="dxa"/>
            <w:vAlign w:val="bottom"/>
            <w:tcBorders>
              <w:left w:val="single" w:sz="8" w:color="auto"/>
              <w:right w:val="single" w:sz="8" w:color="auto"/>
            </w:tcBorders>
            <w:shd w:val="clear" w:color="auto" w:fill="808080"/>
          </w:tcPr>
          <w:p>
            <w:pPr>
              <w:spacing w:after="0"/>
              <w:rPr>
                <w:sz w:val="6"/>
                <w:szCs w:val="6"/>
                <w:color w:val="auto"/>
              </w:rPr>
            </w:pPr>
          </w:p>
        </w:tc>
        <w:tc>
          <w:tcPr>
            <w:tcW w:w="1580" w:type="dxa"/>
            <w:vAlign w:val="bottom"/>
            <w:tcBorders>
              <w:right w:val="single" w:sz="8" w:color="auto"/>
            </w:tcBorders>
            <w:shd w:val="clear" w:color="auto" w:fill="808080"/>
          </w:tcPr>
          <w:p>
            <w:pPr>
              <w:spacing w:after="0"/>
              <w:rPr>
                <w:sz w:val="6"/>
                <w:szCs w:val="6"/>
                <w:color w:val="auto"/>
              </w:rPr>
            </w:pPr>
          </w:p>
        </w:tc>
        <w:tc>
          <w:tcPr>
            <w:tcW w:w="1480" w:type="dxa"/>
            <w:vAlign w:val="bottom"/>
            <w:tcBorders>
              <w:right w:val="single" w:sz="8" w:color="auto"/>
            </w:tcBorders>
            <w:shd w:val="clear" w:color="auto" w:fill="808080"/>
          </w:tcPr>
          <w:p>
            <w:pPr>
              <w:spacing w:after="0"/>
              <w:rPr>
                <w:sz w:val="6"/>
                <w:szCs w:val="6"/>
                <w:color w:val="auto"/>
              </w:rPr>
            </w:pPr>
          </w:p>
        </w:tc>
        <w:tc>
          <w:tcPr>
            <w:tcW w:w="1700" w:type="dxa"/>
            <w:vAlign w:val="bottom"/>
            <w:tcBorders>
              <w:right w:val="single" w:sz="8" w:color="auto"/>
            </w:tcBorders>
            <w:vMerge w:val="continue"/>
            <w:shd w:val="clear" w:color="auto" w:fill="808080"/>
          </w:tcPr>
          <w:p>
            <w:pPr>
              <w:spacing w:after="0"/>
              <w:rPr>
                <w:sz w:val="6"/>
                <w:szCs w:val="6"/>
                <w:color w:val="auto"/>
              </w:rPr>
            </w:pPr>
          </w:p>
        </w:tc>
        <w:tc>
          <w:tcPr>
            <w:tcW w:w="1340" w:type="dxa"/>
            <w:vAlign w:val="bottom"/>
            <w:tcBorders>
              <w:right w:val="single" w:sz="8" w:color="auto"/>
            </w:tcBorders>
            <w:shd w:val="clear" w:color="auto" w:fill="808080"/>
          </w:tcPr>
          <w:p>
            <w:pPr>
              <w:spacing w:after="0"/>
              <w:rPr>
                <w:sz w:val="6"/>
                <w:szCs w:val="6"/>
                <w:color w:val="auto"/>
              </w:rPr>
            </w:pPr>
          </w:p>
        </w:tc>
        <w:tc>
          <w:tcPr>
            <w:tcW w:w="1560" w:type="dxa"/>
            <w:vAlign w:val="bottom"/>
            <w:tcBorders>
              <w:right w:val="single" w:sz="8" w:color="auto"/>
            </w:tcBorders>
            <w:shd w:val="clear" w:color="auto" w:fill="808080"/>
          </w:tcPr>
          <w:p>
            <w:pPr>
              <w:spacing w:after="0"/>
              <w:rPr>
                <w:sz w:val="6"/>
                <w:szCs w:val="6"/>
                <w:color w:val="auto"/>
              </w:rPr>
            </w:pPr>
          </w:p>
        </w:tc>
        <w:tc>
          <w:tcPr>
            <w:tcW w:w="800" w:type="dxa"/>
            <w:vAlign w:val="bottom"/>
            <w:tcBorders>
              <w:right w:val="single" w:sz="8" w:color="auto"/>
            </w:tcBorders>
            <w:shd w:val="clear" w:color="auto" w:fill="808080"/>
          </w:tcPr>
          <w:p>
            <w:pPr>
              <w:spacing w:after="0"/>
              <w:rPr>
                <w:sz w:val="6"/>
                <w:szCs w:val="6"/>
                <w:color w:val="auto"/>
              </w:rPr>
            </w:pPr>
          </w:p>
        </w:tc>
        <w:tc>
          <w:tcPr>
            <w:tcW w:w="1000" w:type="dxa"/>
            <w:vAlign w:val="bottom"/>
            <w:tcBorders>
              <w:right w:val="single" w:sz="8" w:color="auto"/>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808080"/>
          </w:tcPr>
          <w:p>
            <w:pPr>
              <w:spacing w:after="0"/>
              <w:rPr>
                <w:sz w:val="9"/>
                <w:szCs w:val="9"/>
                <w:color w:val="auto"/>
              </w:rPr>
            </w:pPr>
          </w:p>
        </w:tc>
        <w:tc>
          <w:tcPr>
            <w:tcW w:w="1580" w:type="dxa"/>
            <w:vAlign w:val="bottom"/>
            <w:tcBorders>
              <w:bottom w:val="single" w:sz="8" w:color="auto"/>
              <w:right w:val="single" w:sz="8" w:color="auto"/>
            </w:tcBorders>
            <w:shd w:val="clear" w:color="auto" w:fill="808080"/>
          </w:tcPr>
          <w:p>
            <w:pPr>
              <w:spacing w:after="0"/>
              <w:rPr>
                <w:sz w:val="9"/>
                <w:szCs w:val="9"/>
                <w:color w:val="auto"/>
              </w:rPr>
            </w:pPr>
          </w:p>
        </w:tc>
        <w:tc>
          <w:tcPr>
            <w:tcW w:w="1480" w:type="dxa"/>
            <w:vAlign w:val="bottom"/>
            <w:tcBorders>
              <w:bottom w:val="single" w:sz="8" w:color="auto"/>
              <w:right w:val="single" w:sz="8" w:color="auto"/>
            </w:tcBorders>
            <w:shd w:val="clear" w:color="auto" w:fill="808080"/>
          </w:tcPr>
          <w:p>
            <w:pPr>
              <w:spacing w:after="0"/>
              <w:rPr>
                <w:sz w:val="9"/>
                <w:szCs w:val="9"/>
                <w:color w:val="auto"/>
              </w:rPr>
            </w:pPr>
          </w:p>
        </w:tc>
        <w:tc>
          <w:tcPr>
            <w:tcW w:w="1700" w:type="dxa"/>
            <w:vAlign w:val="bottom"/>
            <w:tcBorders>
              <w:bottom w:val="single" w:sz="8" w:color="auto"/>
              <w:right w:val="single" w:sz="8" w:color="auto"/>
            </w:tcBorders>
            <w:shd w:val="clear" w:color="auto" w:fill="808080"/>
          </w:tcPr>
          <w:p>
            <w:pPr>
              <w:spacing w:after="0"/>
              <w:rPr>
                <w:sz w:val="9"/>
                <w:szCs w:val="9"/>
                <w:color w:val="auto"/>
              </w:rPr>
            </w:pPr>
          </w:p>
        </w:tc>
        <w:tc>
          <w:tcPr>
            <w:tcW w:w="1340" w:type="dxa"/>
            <w:vAlign w:val="bottom"/>
            <w:tcBorders>
              <w:bottom w:val="single" w:sz="8" w:color="auto"/>
              <w:right w:val="single" w:sz="8" w:color="auto"/>
            </w:tcBorders>
            <w:shd w:val="clear" w:color="auto" w:fill="808080"/>
          </w:tcPr>
          <w:p>
            <w:pPr>
              <w:spacing w:after="0"/>
              <w:rPr>
                <w:sz w:val="9"/>
                <w:szCs w:val="9"/>
                <w:color w:val="auto"/>
              </w:rPr>
            </w:pPr>
          </w:p>
        </w:tc>
        <w:tc>
          <w:tcPr>
            <w:tcW w:w="1560" w:type="dxa"/>
            <w:vAlign w:val="bottom"/>
            <w:tcBorders>
              <w:bottom w:val="single" w:sz="8" w:color="auto"/>
              <w:right w:val="single" w:sz="8" w:color="auto"/>
            </w:tcBorders>
            <w:shd w:val="clear" w:color="auto" w:fill="808080"/>
          </w:tcPr>
          <w:p>
            <w:pPr>
              <w:spacing w:after="0"/>
              <w:rPr>
                <w:sz w:val="9"/>
                <w:szCs w:val="9"/>
                <w:color w:val="auto"/>
              </w:rPr>
            </w:pPr>
          </w:p>
        </w:tc>
        <w:tc>
          <w:tcPr>
            <w:tcW w:w="800" w:type="dxa"/>
            <w:vAlign w:val="bottom"/>
            <w:tcBorders>
              <w:bottom w:val="single" w:sz="8" w:color="auto"/>
              <w:right w:val="single" w:sz="8" w:color="auto"/>
            </w:tcBorders>
            <w:shd w:val="clear" w:color="auto" w:fill="808080"/>
          </w:tcPr>
          <w:p>
            <w:pPr>
              <w:spacing w:after="0"/>
              <w:rPr>
                <w:sz w:val="9"/>
                <w:szCs w:val="9"/>
                <w:color w:val="auto"/>
              </w:rPr>
            </w:pPr>
          </w:p>
        </w:tc>
        <w:tc>
          <w:tcPr>
            <w:tcW w:w="1000" w:type="dxa"/>
            <w:vAlign w:val="bottom"/>
            <w:tcBorders>
              <w:bottom w:val="single" w:sz="8" w:color="auto"/>
              <w:right w:val="single" w:sz="8" w:color="auto"/>
            </w:tcBorders>
            <w:shd w:val="clear" w:color="auto" w:fill="808080"/>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A6A6A6"/>
          </w:tcPr>
          <w:p>
            <w:pPr>
              <w:ind w:left="60"/>
              <w:spacing w:after="0"/>
              <w:rPr>
                <w:sz w:val="20"/>
                <w:szCs w:val="20"/>
                <w:color w:val="auto"/>
              </w:rPr>
            </w:pPr>
            <w:r>
              <w:rPr>
                <w:rFonts w:ascii="Arial" w:cs="Arial" w:eastAsia="Arial" w:hAnsi="Arial"/>
                <w:sz w:val="15"/>
                <w:szCs w:val="15"/>
                <w:b w:val="1"/>
                <w:bCs w:val="1"/>
                <w:color w:val="auto"/>
              </w:rPr>
              <w:t>General Contents</w:t>
            </w:r>
          </w:p>
        </w:tc>
        <w:tc>
          <w:tcPr>
            <w:tcW w:w="1580" w:type="dxa"/>
            <w:vAlign w:val="bottom"/>
            <w:tcBorders>
              <w:right w:val="single" w:sz="8" w:color="auto"/>
            </w:tcBorders>
            <w:shd w:val="clear" w:color="auto" w:fill="A6A6A6"/>
          </w:tcPr>
          <w:p>
            <w:pPr>
              <w:spacing w:after="0"/>
              <w:rPr>
                <w:sz w:val="16"/>
                <w:szCs w:val="16"/>
                <w:color w:val="auto"/>
              </w:rPr>
            </w:pPr>
          </w:p>
        </w:tc>
        <w:tc>
          <w:tcPr>
            <w:tcW w:w="1480" w:type="dxa"/>
            <w:vAlign w:val="bottom"/>
            <w:tcBorders>
              <w:right w:val="single" w:sz="8" w:color="auto"/>
            </w:tcBorders>
            <w:shd w:val="clear" w:color="auto" w:fill="A6A6A6"/>
          </w:tcPr>
          <w:p>
            <w:pPr>
              <w:spacing w:after="0"/>
              <w:rPr>
                <w:sz w:val="16"/>
                <w:szCs w:val="16"/>
                <w:color w:val="auto"/>
              </w:rPr>
            </w:pPr>
          </w:p>
        </w:tc>
        <w:tc>
          <w:tcPr>
            <w:tcW w:w="1700" w:type="dxa"/>
            <w:vAlign w:val="bottom"/>
            <w:tcBorders>
              <w:right w:val="single" w:sz="8" w:color="auto"/>
            </w:tcBorders>
            <w:shd w:val="clear" w:color="auto" w:fill="A6A6A6"/>
          </w:tcPr>
          <w:p>
            <w:pPr>
              <w:spacing w:after="0"/>
              <w:rPr>
                <w:sz w:val="16"/>
                <w:szCs w:val="16"/>
                <w:color w:val="auto"/>
              </w:rPr>
            </w:pPr>
          </w:p>
        </w:tc>
        <w:tc>
          <w:tcPr>
            <w:tcW w:w="1340" w:type="dxa"/>
            <w:vAlign w:val="bottom"/>
            <w:tcBorders>
              <w:right w:val="single" w:sz="8" w:color="auto"/>
            </w:tcBorders>
            <w:shd w:val="clear" w:color="auto" w:fill="A6A6A6"/>
          </w:tcPr>
          <w:p>
            <w:pPr>
              <w:spacing w:after="0"/>
              <w:rPr>
                <w:sz w:val="16"/>
                <w:szCs w:val="16"/>
                <w:color w:val="auto"/>
              </w:rPr>
            </w:pPr>
          </w:p>
        </w:tc>
        <w:tc>
          <w:tcPr>
            <w:tcW w:w="1560" w:type="dxa"/>
            <w:vAlign w:val="bottom"/>
            <w:tcBorders>
              <w:right w:val="single" w:sz="8" w:color="auto"/>
            </w:tcBorders>
            <w:shd w:val="clear" w:color="auto" w:fill="A6A6A6"/>
          </w:tcPr>
          <w:p>
            <w:pPr>
              <w:spacing w:after="0"/>
              <w:rPr>
                <w:sz w:val="16"/>
                <w:szCs w:val="16"/>
                <w:color w:val="auto"/>
              </w:rPr>
            </w:pPr>
          </w:p>
        </w:tc>
        <w:tc>
          <w:tcPr>
            <w:tcW w:w="800" w:type="dxa"/>
            <w:vAlign w:val="bottom"/>
            <w:tcBorders>
              <w:right w:val="single" w:sz="8" w:color="auto"/>
            </w:tcBorders>
            <w:shd w:val="clear" w:color="auto" w:fill="A6A6A6"/>
          </w:tcPr>
          <w:p>
            <w:pPr>
              <w:spacing w:after="0"/>
              <w:rPr>
                <w:sz w:val="16"/>
                <w:szCs w:val="16"/>
                <w:color w:val="auto"/>
              </w:rPr>
            </w:pPr>
          </w:p>
        </w:tc>
        <w:tc>
          <w:tcPr>
            <w:tcW w:w="1000" w:type="dxa"/>
            <w:vAlign w:val="bottom"/>
            <w:tcBorders>
              <w:right w:val="single" w:sz="8" w:color="auto"/>
            </w:tcBorders>
            <w:shd w:val="clear" w:color="auto" w:fill="A6A6A6"/>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A6A6A6"/>
          </w:tcPr>
          <w:p>
            <w:pPr>
              <w:spacing w:after="0"/>
              <w:rPr>
                <w:sz w:val="7"/>
                <w:szCs w:val="7"/>
                <w:color w:val="auto"/>
              </w:rPr>
            </w:pPr>
          </w:p>
        </w:tc>
        <w:tc>
          <w:tcPr>
            <w:tcW w:w="1580" w:type="dxa"/>
            <w:vAlign w:val="bottom"/>
            <w:tcBorders>
              <w:bottom w:val="single" w:sz="8" w:color="auto"/>
              <w:right w:val="single" w:sz="8" w:color="auto"/>
            </w:tcBorders>
            <w:shd w:val="clear" w:color="auto" w:fill="A6A6A6"/>
          </w:tcPr>
          <w:p>
            <w:pPr>
              <w:spacing w:after="0"/>
              <w:rPr>
                <w:sz w:val="7"/>
                <w:szCs w:val="7"/>
                <w:color w:val="auto"/>
              </w:rPr>
            </w:pPr>
          </w:p>
        </w:tc>
        <w:tc>
          <w:tcPr>
            <w:tcW w:w="1480" w:type="dxa"/>
            <w:vAlign w:val="bottom"/>
            <w:tcBorders>
              <w:bottom w:val="single" w:sz="8" w:color="auto"/>
              <w:right w:val="single" w:sz="8" w:color="auto"/>
            </w:tcBorders>
            <w:shd w:val="clear" w:color="auto" w:fill="A6A6A6"/>
          </w:tcPr>
          <w:p>
            <w:pPr>
              <w:spacing w:after="0"/>
              <w:rPr>
                <w:sz w:val="7"/>
                <w:szCs w:val="7"/>
                <w:color w:val="auto"/>
              </w:rPr>
            </w:pPr>
          </w:p>
        </w:tc>
        <w:tc>
          <w:tcPr>
            <w:tcW w:w="1700" w:type="dxa"/>
            <w:vAlign w:val="bottom"/>
            <w:tcBorders>
              <w:bottom w:val="single" w:sz="8" w:color="auto"/>
              <w:right w:val="single" w:sz="8" w:color="auto"/>
            </w:tcBorders>
            <w:shd w:val="clear" w:color="auto" w:fill="A6A6A6"/>
          </w:tcPr>
          <w:p>
            <w:pPr>
              <w:spacing w:after="0"/>
              <w:rPr>
                <w:sz w:val="7"/>
                <w:szCs w:val="7"/>
                <w:color w:val="auto"/>
              </w:rPr>
            </w:pPr>
          </w:p>
        </w:tc>
        <w:tc>
          <w:tcPr>
            <w:tcW w:w="1340" w:type="dxa"/>
            <w:vAlign w:val="bottom"/>
            <w:tcBorders>
              <w:bottom w:val="single" w:sz="8" w:color="auto"/>
              <w:right w:val="single" w:sz="8" w:color="auto"/>
            </w:tcBorders>
            <w:shd w:val="clear" w:color="auto" w:fill="A6A6A6"/>
          </w:tcPr>
          <w:p>
            <w:pPr>
              <w:spacing w:after="0"/>
              <w:rPr>
                <w:sz w:val="7"/>
                <w:szCs w:val="7"/>
                <w:color w:val="auto"/>
              </w:rPr>
            </w:pPr>
          </w:p>
        </w:tc>
        <w:tc>
          <w:tcPr>
            <w:tcW w:w="1560" w:type="dxa"/>
            <w:vAlign w:val="bottom"/>
            <w:tcBorders>
              <w:bottom w:val="single" w:sz="8" w:color="auto"/>
              <w:right w:val="single" w:sz="8" w:color="auto"/>
            </w:tcBorders>
            <w:shd w:val="clear" w:color="auto" w:fill="A6A6A6"/>
          </w:tcPr>
          <w:p>
            <w:pPr>
              <w:spacing w:after="0"/>
              <w:rPr>
                <w:sz w:val="7"/>
                <w:szCs w:val="7"/>
                <w:color w:val="auto"/>
              </w:rPr>
            </w:pPr>
          </w:p>
        </w:tc>
        <w:tc>
          <w:tcPr>
            <w:tcW w:w="800" w:type="dxa"/>
            <w:vAlign w:val="bottom"/>
            <w:tcBorders>
              <w:bottom w:val="single" w:sz="8" w:color="auto"/>
              <w:right w:val="single" w:sz="8" w:color="auto"/>
            </w:tcBorders>
            <w:shd w:val="clear" w:color="auto" w:fill="A6A6A6"/>
          </w:tcPr>
          <w:p>
            <w:pPr>
              <w:spacing w:after="0"/>
              <w:rPr>
                <w:sz w:val="7"/>
                <w:szCs w:val="7"/>
                <w:color w:val="auto"/>
              </w:rPr>
            </w:pPr>
          </w:p>
        </w:tc>
        <w:tc>
          <w:tcPr>
            <w:tcW w:w="1000" w:type="dxa"/>
            <w:vAlign w:val="bottom"/>
            <w:tcBorders>
              <w:bottom w:val="single" w:sz="8" w:color="auto"/>
              <w:right w:val="single" w:sz="8" w:color="auto"/>
            </w:tcBorders>
            <w:shd w:val="clear" w:color="auto" w:fill="A6A6A6"/>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D9D9D9"/>
          </w:tcPr>
          <w:p>
            <w:pPr>
              <w:spacing w:after="0"/>
              <w:rPr>
                <w:sz w:val="12"/>
                <w:szCs w:val="12"/>
                <w:color w:val="auto"/>
              </w:rPr>
            </w:pPr>
          </w:p>
        </w:tc>
        <w:tc>
          <w:tcPr>
            <w:tcW w:w="1580" w:type="dxa"/>
            <w:vAlign w:val="bottom"/>
            <w:tcBorders>
              <w:right w:val="single" w:sz="8" w:color="auto"/>
            </w:tcBorders>
            <w:shd w:val="clear" w:color="auto" w:fill="D9D9D9"/>
          </w:tcPr>
          <w:p>
            <w:pPr>
              <w:ind w:left="40"/>
              <w:spacing w:after="0" w:line="146" w:lineRule="exact"/>
              <w:rPr>
                <w:sz w:val="20"/>
                <w:szCs w:val="20"/>
                <w:color w:val="auto"/>
              </w:rPr>
            </w:pPr>
            <w:r>
              <w:rPr>
                <w:rFonts w:ascii="Arial" w:cs="Arial" w:eastAsia="Arial" w:hAnsi="Arial"/>
                <w:sz w:val="15"/>
                <w:szCs w:val="15"/>
                <w:b w:val="1"/>
                <w:bCs w:val="1"/>
                <w:color w:val="auto"/>
              </w:rPr>
              <w:t>1. The organization</w:t>
            </w:r>
          </w:p>
        </w:tc>
        <w:tc>
          <w:tcPr>
            <w:tcW w:w="1480" w:type="dxa"/>
            <w:vAlign w:val="bottom"/>
            <w:tcBorders>
              <w:right w:val="single" w:sz="8" w:color="auto"/>
            </w:tcBorders>
            <w:shd w:val="clear" w:color="auto" w:fill="D9D9D9"/>
          </w:tcPr>
          <w:p>
            <w:pPr>
              <w:spacing w:after="0"/>
              <w:rPr>
                <w:sz w:val="12"/>
                <w:szCs w:val="12"/>
                <w:color w:val="auto"/>
              </w:rPr>
            </w:pPr>
          </w:p>
        </w:tc>
        <w:tc>
          <w:tcPr>
            <w:tcW w:w="1700" w:type="dxa"/>
            <w:vAlign w:val="bottom"/>
            <w:tcBorders>
              <w:right w:val="single" w:sz="8" w:color="auto"/>
            </w:tcBorders>
            <w:shd w:val="clear" w:color="auto" w:fill="D9D9D9"/>
          </w:tcPr>
          <w:p>
            <w:pPr>
              <w:spacing w:after="0"/>
              <w:rPr>
                <w:sz w:val="12"/>
                <w:szCs w:val="12"/>
                <w:color w:val="auto"/>
              </w:rPr>
            </w:pPr>
          </w:p>
        </w:tc>
        <w:tc>
          <w:tcPr>
            <w:tcW w:w="1340" w:type="dxa"/>
            <w:vAlign w:val="bottom"/>
            <w:tcBorders>
              <w:right w:val="single" w:sz="8" w:color="auto"/>
            </w:tcBorders>
            <w:shd w:val="clear" w:color="auto" w:fill="D9D9D9"/>
          </w:tcPr>
          <w:p>
            <w:pPr>
              <w:spacing w:after="0"/>
              <w:rPr>
                <w:sz w:val="12"/>
                <w:szCs w:val="12"/>
                <w:color w:val="auto"/>
              </w:rPr>
            </w:pPr>
          </w:p>
        </w:tc>
        <w:tc>
          <w:tcPr>
            <w:tcW w:w="1560" w:type="dxa"/>
            <w:vAlign w:val="bottom"/>
            <w:tcBorders>
              <w:right w:val="single" w:sz="8" w:color="auto"/>
            </w:tcBorders>
            <w:shd w:val="clear" w:color="auto" w:fill="D9D9D9"/>
          </w:tcPr>
          <w:p>
            <w:pPr>
              <w:spacing w:after="0"/>
              <w:rPr>
                <w:sz w:val="12"/>
                <w:szCs w:val="12"/>
                <w:color w:val="auto"/>
              </w:rPr>
            </w:pPr>
          </w:p>
        </w:tc>
        <w:tc>
          <w:tcPr>
            <w:tcW w:w="800" w:type="dxa"/>
            <w:vAlign w:val="bottom"/>
            <w:tcBorders>
              <w:right w:val="single" w:sz="8" w:color="auto"/>
            </w:tcBorders>
            <w:shd w:val="clear" w:color="auto" w:fill="D9D9D9"/>
          </w:tcPr>
          <w:p>
            <w:pPr>
              <w:spacing w:after="0"/>
              <w:rPr>
                <w:sz w:val="12"/>
                <w:szCs w:val="12"/>
                <w:color w:val="auto"/>
              </w:rPr>
            </w:pPr>
          </w:p>
        </w:tc>
        <w:tc>
          <w:tcPr>
            <w:tcW w:w="100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and its reporting</w:t>
            </w:r>
          </w:p>
        </w:tc>
        <w:tc>
          <w:tcPr>
            <w:tcW w:w="1480" w:type="dxa"/>
            <w:vAlign w:val="bottom"/>
            <w:tcBorders>
              <w:right w:val="single" w:sz="8" w:color="auto"/>
            </w:tcBorders>
            <w:shd w:val="clear" w:color="auto" w:fill="D9D9D9"/>
          </w:tcPr>
          <w:p>
            <w:pPr>
              <w:spacing w:after="0"/>
              <w:rPr>
                <w:sz w:val="15"/>
                <w:szCs w:val="15"/>
                <w:color w:val="auto"/>
              </w:rPr>
            </w:pPr>
          </w:p>
        </w:tc>
        <w:tc>
          <w:tcPr>
            <w:tcW w:w="1700" w:type="dxa"/>
            <w:vAlign w:val="bottom"/>
            <w:tcBorders>
              <w:right w:val="single" w:sz="8" w:color="auto"/>
            </w:tcBorders>
            <w:shd w:val="clear" w:color="auto" w:fill="D9D9D9"/>
          </w:tcPr>
          <w:p>
            <w:pPr>
              <w:spacing w:after="0"/>
              <w:rPr>
                <w:sz w:val="15"/>
                <w:szCs w:val="15"/>
                <w:color w:val="auto"/>
              </w:rPr>
            </w:pPr>
          </w:p>
        </w:tc>
        <w:tc>
          <w:tcPr>
            <w:tcW w:w="1340" w:type="dxa"/>
            <w:vAlign w:val="bottom"/>
            <w:tcBorders>
              <w:right w:val="single" w:sz="8" w:color="auto"/>
            </w:tcBorders>
            <w:shd w:val="clear" w:color="auto" w:fill="D9D9D9"/>
          </w:tcPr>
          <w:p>
            <w:pPr>
              <w:spacing w:after="0"/>
              <w:rPr>
                <w:sz w:val="15"/>
                <w:szCs w:val="15"/>
                <w:color w:val="auto"/>
              </w:rPr>
            </w:pPr>
          </w:p>
        </w:tc>
        <w:tc>
          <w:tcPr>
            <w:tcW w:w="1560" w:type="dxa"/>
            <w:vAlign w:val="bottom"/>
            <w:tcBorders>
              <w:right w:val="single" w:sz="8" w:color="auto"/>
            </w:tcBorders>
            <w:shd w:val="clear" w:color="auto" w:fill="D9D9D9"/>
          </w:tcPr>
          <w:p>
            <w:pPr>
              <w:spacing w:after="0"/>
              <w:rPr>
                <w:sz w:val="15"/>
                <w:szCs w:val="15"/>
                <w:color w:val="auto"/>
              </w:rPr>
            </w:pPr>
          </w:p>
        </w:tc>
        <w:tc>
          <w:tcPr>
            <w:tcW w:w="800" w:type="dxa"/>
            <w:vAlign w:val="bottom"/>
            <w:tcBorders>
              <w:right w:val="single" w:sz="8" w:color="auto"/>
            </w:tcBorders>
            <w:shd w:val="clear" w:color="auto" w:fill="D9D9D9"/>
          </w:tcPr>
          <w:p>
            <w:pPr>
              <w:spacing w:after="0"/>
              <w:rPr>
                <w:sz w:val="15"/>
                <w:szCs w:val="15"/>
                <w:color w:val="auto"/>
              </w:rPr>
            </w:pPr>
          </w:p>
        </w:tc>
        <w:tc>
          <w:tcPr>
            <w:tcW w:w="100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practices</w:t>
            </w:r>
          </w:p>
        </w:tc>
        <w:tc>
          <w:tcPr>
            <w:tcW w:w="1480" w:type="dxa"/>
            <w:vAlign w:val="bottom"/>
            <w:tcBorders>
              <w:right w:val="single" w:sz="8" w:color="auto"/>
            </w:tcBorders>
            <w:shd w:val="clear" w:color="auto" w:fill="D9D9D9"/>
          </w:tcPr>
          <w:p>
            <w:pPr>
              <w:spacing w:after="0"/>
              <w:rPr>
                <w:sz w:val="17"/>
                <w:szCs w:val="17"/>
                <w:color w:val="auto"/>
              </w:rPr>
            </w:pPr>
          </w:p>
        </w:tc>
        <w:tc>
          <w:tcPr>
            <w:tcW w:w="1700" w:type="dxa"/>
            <w:vAlign w:val="bottom"/>
            <w:tcBorders>
              <w:right w:val="single" w:sz="8" w:color="auto"/>
            </w:tcBorders>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spacing w:after="0"/>
              <w:rPr>
                <w:sz w:val="17"/>
                <w:szCs w:val="17"/>
                <w:color w:val="auto"/>
              </w:rPr>
            </w:pPr>
          </w:p>
        </w:tc>
        <w:tc>
          <w:tcPr>
            <w:tcW w:w="1560" w:type="dxa"/>
            <w:vAlign w:val="bottom"/>
            <w:tcBorders>
              <w:right w:val="single" w:sz="8" w:color="auto"/>
            </w:tcBorders>
            <w:shd w:val="clear" w:color="auto" w:fill="D9D9D9"/>
          </w:tcPr>
          <w:p>
            <w:pPr>
              <w:spacing w:after="0"/>
              <w:rPr>
                <w:sz w:val="17"/>
                <w:szCs w:val="17"/>
                <w:color w:val="auto"/>
              </w:rPr>
            </w:pPr>
          </w:p>
        </w:tc>
        <w:tc>
          <w:tcPr>
            <w:tcW w:w="800" w:type="dxa"/>
            <w:vAlign w:val="bottom"/>
            <w:tcBorders>
              <w:right w:val="single" w:sz="8" w:color="auto"/>
            </w:tcBorders>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1480" w:type="dxa"/>
            <w:vAlign w:val="bottom"/>
            <w:tcBorders>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1560" w:type="dxa"/>
            <w:vAlign w:val="bottom"/>
            <w:tcBorders>
              <w:bottom w:val="single" w:sz="8" w:color="auto"/>
              <w:right w:val="single" w:sz="8" w:color="auto"/>
            </w:tcBorders>
            <w:shd w:val="clear" w:color="auto" w:fill="D9D9D9"/>
          </w:tcPr>
          <w:p>
            <w:pPr>
              <w:spacing w:after="0"/>
              <w:rPr>
                <w:sz w:val="9"/>
                <w:szCs w:val="9"/>
                <w:color w:val="auto"/>
              </w:rPr>
            </w:pPr>
          </w:p>
        </w:tc>
        <w:tc>
          <w:tcPr>
            <w:tcW w:w="80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Credicorp at a</w:t>
            </w:r>
          </w:p>
        </w:tc>
        <w:tc>
          <w:tcPr>
            <w:tcW w:w="1700" w:type="dxa"/>
            <w:vAlign w:val="bottom"/>
            <w:tcBorders>
              <w:right w:val="single" w:sz="8" w:color="auto"/>
            </w:tcBorders>
            <w:shd w:val="clear" w:color="auto" w:fill="F2F2F2"/>
          </w:tcPr>
          <w:p>
            <w:pPr>
              <w:spacing w:after="0"/>
              <w:rPr>
                <w:sz w:val="14"/>
                <w:szCs w:val="14"/>
                <w:color w:val="auto"/>
              </w:rPr>
            </w:pPr>
          </w:p>
        </w:tc>
        <w:tc>
          <w:tcPr>
            <w:tcW w:w="1340" w:type="dxa"/>
            <w:vAlign w:val="bottom"/>
            <w:tcBorders>
              <w:right w:val="single" w:sz="8" w:color="auto"/>
            </w:tcBorders>
            <w:shd w:val="clear" w:color="auto" w:fill="F2F2F2"/>
          </w:tcPr>
          <w:p>
            <w:pPr>
              <w:spacing w:after="0"/>
              <w:rPr>
                <w:sz w:val="14"/>
                <w:szCs w:val="14"/>
                <w:color w:val="auto"/>
              </w:rPr>
            </w:pPr>
          </w:p>
        </w:tc>
        <w:tc>
          <w:tcPr>
            <w:tcW w:w="1560" w:type="dxa"/>
            <w:vAlign w:val="bottom"/>
            <w:tcBorders>
              <w:right w:val="single" w:sz="8" w:color="auto"/>
            </w:tcBorders>
            <w:shd w:val="clear" w:color="auto" w:fill="F2F2F2"/>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glance / Company</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2-1 Organizational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description / Letter</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details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of the president of</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the Sustainability</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Committee</w:t>
            </w:r>
          </w:p>
        </w:tc>
        <w:tc>
          <w:tcPr>
            <w:tcW w:w="1700" w:type="dxa"/>
            <w:vAlign w:val="bottom"/>
            <w:tcBorders>
              <w:right w:val="single" w:sz="8" w:color="auto"/>
            </w:tcBorders>
            <w:shd w:val="clear" w:color="auto" w:fill="F2F2F2"/>
          </w:tcPr>
          <w:p>
            <w:pPr>
              <w:spacing w:after="0"/>
              <w:rPr>
                <w:sz w:val="16"/>
                <w:szCs w:val="16"/>
                <w:color w:val="auto"/>
              </w:rPr>
            </w:pPr>
          </w:p>
        </w:tc>
        <w:tc>
          <w:tcPr>
            <w:tcW w:w="1340" w:type="dxa"/>
            <w:vAlign w:val="bottom"/>
            <w:tcBorders>
              <w:right w:val="single" w:sz="8" w:color="auto"/>
            </w:tcBorders>
            <w:shd w:val="clear" w:color="auto" w:fill="F2F2F2"/>
          </w:tcPr>
          <w:p>
            <w:pPr>
              <w:spacing w:after="0"/>
              <w:rPr>
                <w:sz w:val="16"/>
                <w:szCs w:val="16"/>
                <w:color w:val="auto"/>
              </w:rPr>
            </w:pPr>
          </w:p>
        </w:tc>
        <w:tc>
          <w:tcPr>
            <w:tcW w:w="1560" w:type="dxa"/>
            <w:vAlign w:val="bottom"/>
            <w:tcBorders>
              <w:right w:val="single" w:sz="8" w:color="auto"/>
            </w:tcBorders>
            <w:shd w:val="clear" w:color="auto" w:fill="F2F2F2"/>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right w:val="single" w:sz="8" w:color="auto"/>
            </w:tcBorders>
            <w:shd w:val="clear" w:color="auto" w:fill="F2F2F2"/>
          </w:tcPr>
          <w:p>
            <w:pPr>
              <w:spacing w:after="0"/>
              <w:rPr>
                <w:sz w:val="9"/>
                <w:szCs w:val="9"/>
                <w:color w:val="auto"/>
              </w:rPr>
            </w:pPr>
          </w:p>
        </w:tc>
        <w:tc>
          <w:tcPr>
            <w:tcW w:w="1560" w:type="dxa"/>
            <w:vAlign w:val="bottom"/>
            <w:tcBorders>
              <w:bottom w:val="single" w:sz="8" w:color="auto"/>
              <w:right w:val="single" w:sz="8" w:color="auto"/>
            </w:tcBorders>
            <w:shd w:val="clear" w:color="auto" w:fill="F2F2F2"/>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2-2 Entities included</w:t>
            </w:r>
          </w:p>
        </w:tc>
        <w:tc>
          <w:tcPr>
            <w:tcW w:w="14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Economic groups</w:t>
            </w:r>
          </w:p>
        </w:tc>
        <w:tc>
          <w:tcPr>
            <w:tcW w:w="1700" w:type="dxa"/>
            <w:vAlign w:val="bottom"/>
            <w:tcBorders>
              <w:right w:val="single" w:sz="8" w:color="auto"/>
            </w:tcBorders>
            <w:shd w:val="clear" w:color="auto" w:fill="F2F2F2"/>
          </w:tcPr>
          <w:p>
            <w:pPr>
              <w:spacing w:after="0"/>
              <w:rPr>
                <w:sz w:val="14"/>
                <w:szCs w:val="14"/>
                <w:color w:val="auto"/>
              </w:rPr>
            </w:pPr>
          </w:p>
        </w:tc>
        <w:tc>
          <w:tcPr>
            <w:tcW w:w="1340" w:type="dxa"/>
            <w:vAlign w:val="bottom"/>
            <w:tcBorders>
              <w:right w:val="single" w:sz="8" w:color="auto"/>
            </w:tcBorders>
            <w:shd w:val="clear" w:color="auto" w:fill="F2F2F2"/>
          </w:tcPr>
          <w:p>
            <w:pPr>
              <w:spacing w:after="0"/>
              <w:rPr>
                <w:sz w:val="14"/>
                <w:szCs w:val="14"/>
                <w:color w:val="auto"/>
              </w:rPr>
            </w:pPr>
          </w:p>
        </w:tc>
        <w:tc>
          <w:tcPr>
            <w:tcW w:w="1560" w:type="dxa"/>
            <w:vAlign w:val="bottom"/>
            <w:tcBorders>
              <w:right w:val="single" w:sz="8" w:color="auto"/>
            </w:tcBorders>
            <w:shd w:val="clear" w:color="auto" w:fill="F2F2F2"/>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Annexes / Letter of</w:t>
            </w:r>
          </w:p>
        </w:tc>
        <w:tc>
          <w:tcPr>
            <w:tcW w:w="1700" w:type="dxa"/>
            <w:vAlign w:val="bottom"/>
            <w:tcBorders>
              <w:right w:val="single" w:sz="8" w:color="auto"/>
            </w:tcBorders>
            <w:shd w:val="clear" w:color="auto" w:fill="F2F2F2"/>
          </w:tcPr>
          <w:p>
            <w:pPr>
              <w:spacing w:after="0"/>
              <w:rPr>
                <w:sz w:val="7"/>
                <w:szCs w:val="7"/>
                <w:color w:val="auto"/>
              </w:rPr>
            </w:pPr>
          </w:p>
        </w:tc>
        <w:tc>
          <w:tcPr>
            <w:tcW w:w="1340" w:type="dxa"/>
            <w:vAlign w:val="bottom"/>
            <w:tcBorders>
              <w:right w:val="single" w:sz="8" w:color="auto"/>
            </w:tcBorders>
            <w:shd w:val="clear" w:color="auto" w:fill="F2F2F2"/>
          </w:tcPr>
          <w:p>
            <w:pPr>
              <w:spacing w:after="0"/>
              <w:rPr>
                <w:sz w:val="7"/>
                <w:szCs w:val="7"/>
                <w:color w:val="auto"/>
              </w:rPr>
            </w:pPr>
          </w:p>
        </w:tc>
        <w:tc>
          <w:tcPr>
            <w:tcW w:w="1560" w:type="dxa"/>
            <w:vAlign w:val="bottom"/>
            <w:tcBorders>
              <w:right w:val="single" w:sz="8" w:color="auto"/>
            </w:tcBorders>
            <w:shd w:val="clear" w:color="auto" w:fill="F2F2F2"/>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in the development</w:t>
            </w:r>
          </w:p>
        </w:tc>
        <w:tc>
          <w:tcPr>
            <w:tcW w:w="14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60" w:type="dxa"/>
            <w:vAlign w:val="bottom"/>
            <w:tcBorders>
              <w:right w:val="single" w:sz="8" w:color="auto"/>
            </w:tcBorders>
            <w:shd w:val="clear" w:color="auto" w:fill="F2F2F2"/>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the president of the</w:t>
            </w:r>
          </w:p>
        </w:tc>
        <w:tc>
          <w:tcPr>
            <w:tcW w:w="1700" w:type="dxa"/>
            <w:vAlign w:val="bottom"/>
            <w:tcBorders>
              <w:right w:val="single" w:sz="8" w:color="auto"/>
            </w:tcBorders>
            <w:shd w:val="clear" w:color="auto" w:fill="F2F2F2"/>
          </w:tcPr>
          <w:p>
            <w:pPr>
              <w:spacing w:after="0"/>
              <w:rPr>
                <w:sz w:val="7"/>
                <w:szCs w:val="7"/>
                <w:color w:val="auto"/>
              </w:rPr>
            </w:pPr>
          </w:p>
        </w:tc>
        <w:tc>
          <w:tcPr>
            <w:tcW w:w="1340" w:type="dxa"/>
            <w:vAlign w:val="bottom"/>
            <w:tcBorders>
              <w:right w:val="single" w:sz="8" w:color="auto"/>
            </w:tcBorders>
            <w:shd w:val="clear" w:color="auto" w:fill="F2F2F2"/>
          </w:tcPr>
          <w:p>
            <w:pPr>
              <w:spacing w:after="0"/>
              <w:rPr>
                <w:sz w:val="7"/>
                <w:szCs w:val="7"/>
                <w:color w:val="auto"/>
              </w:rPr>
            </w:pPr>
          </w:p>
        </w:tc>
        <w:tc>
          <w:tcPr>
            <w:tcW w:w="1560" w:type="dxa"/>
            <w:vAlign w:val="bottom"/>
            <w:tcBorders>
              <w:right w:val="single" w:sz="8" w:color="auto"/>
            </w:tcBorders>
            <w:shd w:val="clear" w:color="auto" w:fill="F2F2F2"/>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of sustainability</w:t>
            </w:r>
          </w:p>
        </w:tc>
        <w:tc>
          <w:tcPr>
            <w:tcW w:w="14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60" w:type="dxa"/>
            <w:vAlign w:val="bottom"/>
            <w:tcBorders>
              <w:right w:val="single" w:sz="8" w:color="auto"/>
            </w:tcBorders>
            <w:shd w:val="clear" w:color="auto" w:fill="F2F2F2"/>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shd w:val="clear" w:color="auto" w:fill="F2F2F2"/>
          </w:tcPr>
          <w:p>
            <w:pPr>
              <w:spacing w:after="0"/>
              <w:rPr>
                <w:sz w:val="7"/>
                <w:szCs w:val="7"/>
                <w:color w:val="auto"/>
              </w:rPr>
            </w:pPr>
          </w:p>
        </w:tc>
        <w:tc>
          <w:tcPr>
            <w:tcW w:w="1340" w:type="dxa"/>
            <w:vAlign w:val="bottom"/>
            <w:tcBorders>
              <w:right w:val="single" w:sz="8" w:color="auto"/>
            </w:tcBorders>
            <w:shd w:val="clear" w:color="auto" w:fill="F2F2F2"/>
          </w:tcPr>
          <w:p>
            <w:pPr>
              <w:spacing w:after="0"/>
              <w:rPr>
                <w:sz w:val="7"/>
                <w:szCs w:val="7"/>
                <w:color w:val="auto"/>
              </w:rPr>
            </w:pPr>
          </w:p>
        </w:tc>
        <w:tc>
          <w:tcPr>
            <w:tcW w:w="1560" w:type="dxa"/>
            <w:vAlign w:val="bottom"/>
            <w:tcBorders>
              <w:right w:val="single" w:sz="8" w:color="auto"/>
            </w:tcBorders>
            <w:shd w:val="clear" w:color="auto" w:fill="F2F2F2"/>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reports</w:t>
            </w:r>
          </w:p>
        </w:tc>
        <w:tc>
          <w:tcPr>
            <w:tcW w:w="14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60" w:type="dxa"/>
            <w:vAlign w:val="bottom"/>
            <w:tcBorders>
              <w:right w:val="single" w:sz="8" w:color="auto"/>
            </w:tcBorders>
            <w:shd w:val="clear" w:color="auto" w:fill="F2F2F2"/>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Committee</w:t>
            </w: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60" w:type="dxa"/>
            <w:vAlign w:val="bottom"/>
            <w:tcBorders>
              <w:right w:val="single" w:sz="8" w:color="auto"/>
            </w:tcBorders>
            <w:shd w:val="clear" w:color="auto" w:fill="F2F2F2"/>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60" w:type="dxa"/>
            <w:vAlign w:val="bottom"/>
            <w:tcBorders>
              <w:right w:val="single" w:sz="8" w:color="auto"/>
            </w:tcBorders>
            <w:shd w:val="clear" w:color="auto" w:fill="F2F2F2"/>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right w:val="single" w:sz="8" w:color="auto"/>
            </w:tcBorders>
            <w:shd w:val="clear" w:color="auto" w:fill="F2F2F2"/>
          </w:tcPr>
          <w:p>
            <w:pPr>
              <w:spacing w:after="0"/>
              <w:rPr>
                <w:sz w:val="9"/>
                <w:szCs w:val="9"/>
                <w:color w:val="auto"/>
              </w:rPr>
            </w:pPr>
          </w:p>
        </w:tc>
        <w:tc>
          <w:tcPr>
            <w:tcW w:w="1560" w:type="dxa"/>
            <w:vAlign w:val="bottom"/>
            <w:tcBorders>
              <w:bottom w:val="single" w:sz="8" w:color="auto"/>
              <w:right w:val="single" w:sz="8" w:color="auto"/>
            </w:tcBorders>
            <w:shd w:val="clear" w:color="auto" w:fill="F2F2F2"/>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Contacts Annex /</w:t>
            </w:r>
          </w:p>
        </w:tc>
        <w:tc>
          <w:tcPr>
            <w:tcW w:w="1700" w:type="dxa"/>
            <w:vAlign w:val="bottom"/>
            <w:tcBorders>
              <w:right w:val="single" w:sz="8" w:color="auto"/>
            </w:tcBorders>
            <w:shd w:val="clear" w:color="auto" w:fill="F2F2F2"/>
          </w:tcPr>
          <w:p>
            <w:pPr>
              <w:spacing w:after="0"/>
              <w:rPr>
                <w:sz w:val="14"/>
                <w:szCs w:val="14"/>
                <w:color w:val="auto"/>
              </w:rPr>
            </w:pPr>
          </w:p>
        </w:tc>
        <w:tc>
          <w:tcPr>
            <w:tcW w:w="1340" w:type="dxa"/>
            <w:vAlign w:val="bottom"/>
            <w:tcBorders>
              <w:right w:val="single" w:sz="8" w:color="auto"/>
            </w:tcBorders>
            <w:shd w:val="clear" w:color="auto" w:fill="F2F2F2"/>
          </w:tcPr>
          <w:p>
            <w:pPr>
              <w:spacing w:after="0"/>
              <w:rPr>
                <w:sz w:val="14"/>
                <w:szCs w:val="14"/>
                <w:color w:val="auto"/>
              </w:rPr>
            </w:pPr>
          </w:p>
        </w:tc>
        <w:tc>
          <w:tcPr>
            <w:tcW w:w="1560" w:type="dxa"/>
            <w:vAlign w:val="bottom"/>
            <w:tcBorders>
              <w:right w:val="single" w:sz="8" w:color="auto"/>
            </w:tcBorders>
            <w:shd w:val="clear" w:color="auto" w:fill="F2F2F2"/>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5"/>
                <w:szCs w:val="15"/>
                <w:b w:val="1"/>
                <w:bCs w:val="1"/>
                <w:color w:val="auto"/>
              </w:rPr>
              <w:t>GRI 2: General</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2-3 Period of the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Letter from the</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2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15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5"/>
                <w:szCs w:val="15"/>
                <w:color w:val="auto"/>
              </w:rPr>
              <w:t>report, frequency and</w:t>
            </w:r>
          </w:p>
        </w:tc>
        <w:tc>
          <w:tcPr>
            <w:tcW w:w="14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rPr>
              <w:t>President of the</w:t>
            </w:r>
          </w:p>
        </w:tc>
        <w:tc>
          <w:tcPr>
            <w:tcW w:w="1700" w:type="dxa"/>
            <w:vAlign w:val="bottom"/>
            <w:tcBorders>
              <w:right w:val="single" w:sz="8" w:color="auto"/>
            </w:tcBorders>
            <w:shd w:val="clear" w:color="auto" w:fill="F2F2F2"/>
          </w:tcPr>
          <w:p>
            <w:pPr>
              <w:spacing w:after="0"/>
              <w:rPr>
                <w:sz w:val="13"/>
                <w:szCs w:val="13"/>
                <w:color w:val="auto"/>
              </w:rPr>
            </w:pPr>
          </w:p>
        </w:tc>
        <w:tc>
          <w:tcPr>
            <w:tcW w:w="1340" w:type="dxa"/>
            <w:vAlign w:val="bottom"/>
            <w:tcBorders>
              <w:right w:val="single" w:sz="8" w:color="auto"/>
            </w:tcBorders>
            <w:shd w:val="clear" w:color="auto" w:fill="F2F2F2"/>
          </w:tcPr>
          <w:p>
            <w:pPr>
              <w:spacing w:after="0"/>
              <w:rPr>
                <w:sz w:val="13"/>
                <w:szCs w:val="13"/>
                <w:color w:val="auto"/>
              </w:rPr>
            </w:pPr>
          </w:p>
        </w:tc>
        <w:tc>
          <w:tcPr>
            <w:tcW w:w="1560" w:type="dxa"/>
            <w:vAlign w:val="bottom"/>
            <w:tcBorders>
              <w:right w:val="single" w:sz="8" w:color="auto"/>
            </w:tcBorders>
            <w:shd w:val="clear" w:color="auto" w:fill="F2F2F2"/>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Contents 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point of contact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shd w:val="clear" w:color="auto" w:fill="F2F2F2"/>
          </w:tcPr>
          <w:p>
            <w:pPr>
              <w:spacing w:after="0"/>
              <w:rPr>
                <w:sz w:val="16"/>
                <w:szCs w:val="16"/>
                <w:color w:val="auto"/>
              </w:rPr>
            </w:pPr>
          </w:p>
        </w:tc>
        <w:tc>
          <w:tcPr>
            <w:tcW w:w="1340" w:type="dxa"/>
            <w:vAlign w:val="bottom"/>
            <w:tcBorders>
              <w:right w:val="single" w:sz="8" w:color="auto"/>
            </w:tcBorders>
            <w:shd w:val="clear" w:color="auto" w:fill="F2F2F2"/>
          </w:tcPr>
          <w:p>
            <w:pPr>
              <w:spacing w:after="0"/>
              <w:rPr>
                <w:sz w:val="16"/>
                <w:szCs w:val="16"/>
                <w:color w:val="auto"/>
              </w:rPr>
            </w:pPr>
          </w:p>
        </w:tc>
        <w:tc>
          <w:tcPr>
            <w:tcW w:w="1560" w:type="dxa"/>
            <w:vAlign w:val="bottom"/>
            <w:tcBorders>
              <w:right w:val="single" w:sz="8" w:color="auto"/>
            </w:tcBorders>
            <w:shd w:val="clear" w:color="auto" w:fill="F2F2F2"/>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Committee</w:t>
            </w:r>
          </w:p>
        </w:tc>
        <w:tc>
          <w:tcPr>
            <w:tcW w:w="1700" w:type="dxa"/>
            <w:vAlign w:val="bottom"/>
            <w:tcBorders>
              <w:right w:val="single" w:sz="8" w:color="auto"/>
            </w:tcBorders>
            <w:shd w:val="clear" w:color="auto" w:fill="F2F2F2"/>
          </w:tcPr>
          <w:p>
            <w:pPr>
              <w:spacing w:after="0"/>
              <w:rPr>
                <w:sz w:val="16"/>
                <w:szCs w:val="16"/>
                <w:color w:val="auto"/>
              </w:rPr>
            </w:pPr>
          </w:p>
        </w:tc>
        <w:tc>
          <w:tcPr>
            <w:tcW w:w="1340" w:type="dxa"/>
            <w:vAlign w:val="bottom"/>
            <w:tcBorders>
              <w:right w:val="single" w:sz="8" w:color="auto"/>
            </w:tcBorders>
            <w:shd w:val="clear" w:color="auto" w:fill="F2F2F2"/>
          </w:tcPr>
          <w:p>
            <w:pPr>
              <w:spacing w:after="0"/>
              <w:rPr>
                <w:sz w:val="16"/>
                <w:szCs w:val="16"/>
                <w:color w:val="auto"/>
              </w:rPr>
            </w:pPr>
          </w:p>
        </w:tc>
        <w:tc>
          <w:tcPr>
            <w:tcW w:w="1560" w:type="dxa"/>
            <w:vAlign w:val="bottom"/>
            <w:tcBorders>
              <w:right w:val="single" w:sz="8" w:color="auto"/>
            </w:tcBorders>
            <w:shd w:val="clear" w:color="auto" w:fill="F2F2F2"/>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right w:val="single" w:sz="8" w:color="auto"/>
            </w:tcBorders>
            <w:shd w:val="clear" w:color="auto" w:fill="F2F2F2"/>
          </w:tcPr>
          <w:p>
            <w:pPr>
              <w:spacing w:after="0"/>
              <w:rPr>
                <w:sz w:val="9"/>
                <w:szCs w:val="9"/>
                <w:color w:val="auto"/>
              </w:rPr>
            </w:pPr>
          </w:p>
        </w:tc>
        <w:tc>
          <w:tcPr>
            <w:tcW w:w="1560" w:type="dxa"/>
            <w:vAlign w:val="bottom"/>
            <w:tcBorders>
              <w:bottom w:val="single" w:sz="8" w:color="auto"/>
              <w:right w:val="single" w:sz="8" w:color="auto"/>
            </w:tcBorders>
            <w:shd w:val="clear" w:color="auto" w:fill="F2F2F2"/>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There is no re-</w:t>
            </w:r>
          </w:p>
        </w:tc>
        <w:tc>
          <w:tcPr>
            <w:tcW w:w="1700" w:type="dxa"/>
            <w:vAlign w:val="bottom"/>
            <w:tcBorders>
              <w:right w:val="single" w:sz="8" w:color="auto"/>
            </w:tcBorders>
            <w:shd w:val="clear" w:color="auto" w:fill="F2F2F2"/>
          </w:tcPr>
          <w:p>
            <w:pPr>
              <w:spacing w:after="0"/>
              <w:rPr>
                <w:sz w:val="14"/>
                <w:szCs w:val="14"/>
                <w:color w:val="auto"/>
              </w:rPr>
            </w:pPr>
          </w:p>
        </w:tc>
        <w:tc>
          <w:tcPr>
            <w:tcW w:w="1340" w:type="dxa"/>
            <w:vAlign w:val="bottom"/>
            <w:tcBorders>
              <w:right w:val="single" w:sz="8" w:color="auto"/>
            </w:tcBorders>
            <w:shd w:val="clear" w:color="auto" w:fill="F2F2F2"/>
          </w:tcPr>
          <w:p>
            <w:pPr>
              <w:spacing w:after="0"/>
              <w:rPr>
                <w:sz w:val="14"/>
                <w:szCs w:val="14"/>
                <w:color w:val="auto"/>
              </w:rPr>
            </w:pPr>
          </w:p>
        </w:tc>
        <w:tc>
          <w:tcPr>
            <w:tcW w:w="1560" w:type="dxa"/>
            <w:vAlign w:val="bottom"/>
            <w:tcBorders>
              <w:right w:val="single" w:sz="8" w:color="auto"/>
            </w:tcBorders>
            <w:shd w:val="clear" w:color="auto" w:fill="F2F2F2"/>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expression of</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2-4 Re-expressions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information from</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of information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previous reports</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unless otherwise</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indicated</w:t>
            </w:r>
          </w:p>
        </w:tc>
        <w:tc>
          <w:tcPr>
            <w:tcW w:w="1700" w:type="dxa"/>
            <w:vAlign w:val="bottom"/>
            <w:tcBorders>
              <w:right w:val="single" w:sz="8" w:color="auto"/>
            </w:tcBorders>
            <w:shd w:val="clear" w:color="auto" w:fill="F2F2F2"/>
          </w:tcPr>
          <w:p>
            <w:pPr>
              <w:spacing w:after="0"/>
              <w:rPr>
                <w:sz w:val="16"/>
                <w:szCs w:val="16"/>
                <w:color w:val="auto"/>
              </w:rPr>
            </w:pPr>
          </w:p>
        </w:tc>
        <w:tc>
          <w:tcPr>
            <w:tcW w:w="1340" w:type="dxa"/>
            <w:vAlign w:val="bottom"/>
            <w:tcBorders>
              <w:right w:val="single" w:sz="8" w:color="auto"/>
            </w:tcBorders>
            <w:shd w:val="clear" w:color="auto" w:fill="F2F2F2"/>
          </w:tcPr>
          <w:p>
            <w:pPr>
              <w:spacing w:after="0"/>
              <w:rPr>
                <w:sz w:val="16"/>
                <w:szCs w:val="16"/>
                <w:color w:val="auto"/>
              </w:rPr>
            </w:pPr>
          </w:p>
        </w:tc>
        <w:tc>
          <w:tcPr>
            <w:tcW w:w="1560" w:type="dxa"/>
            <w:vAlign w:val="bottom"/>
            <w:tcBorders>
              <w:right w:val="single" w:sz="8" w:color="auto"/>
            </w:tcBorders>
            <w:shd w:val="clear" w:color="auto" w:fill="F2F2F2"/>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right w:val="single" w:sz="8" w:color="auto"/>
            </w:tcBorders>
            <w:shd w:val="clear" w:color="auto" w:fill="F2F2F2"/>
          </w:tcPr>
          <w:p>
            <w:pPr>
              <w:spacing w:after="0"/>
              <w:rPr>
                <w:sz w:val="9"/>
                <w:szCs w:val="9"/>
                <w:color w:val="auto"/>
              </w:rPr>
            </w:pPr>
          </w:p>
        </w:tc>
        <w:tc>
          <w:tcPr>
            <w:tcW w:w="1560" w:type="dxa"/>
            <w:vAlign w:val="bottom"/>
            <w:tcBorders>
              <w:bottom w:val="single" w:sz="8" w:color="auto"/>
              <w:right w:val="single" w:sz="8" w:color="auto"/>
            </w:tcBorders>
            <w:shd w:val="clear" w:color="auto" w:fill="F2F2F2"/>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Letter of the</w:t>
            </w:r>
          </w:p>
        </w:tc>
        <w:tc>
          <w:tcPr>
            <w:tcW w:w="1700" w:type="dxa"/>
            <w:vAlign w:val="bottom"/>
            <w:tcBorders>
              <w:right w:val="single" w:sz="8" w:color="auto"/>
            </w:tcBorders>
            <w:shd w:val="clear" w:color="auto" w:fill="F2F2F2"/>
          </w:tcPr>
          <w:p>
            <w:pPr>
              <w:spacing w:after="0"/>
              <w:rPr>
                <w:sz w:val="14"/>
                <w:szCs w:val="14"/>
                <w:color w:val="auto"/>
              </w:rPr>
            </w:pPr>
          </w:p>
        </w:tc>
        <w:tc>
          <w:tcPr>
            <w:tcW w:w="1340" w:type="dxa"/>
            <w:vAlign w:val="bottom"/>
            <w:tcBorders>
              <w:right w:val="single" w:sz="8" w:color="auto"/>
            </w:tcBorders>
            <w:shd w:val="clear" w:color="auto" w:fill="F2F2F2"/>
          </w:tcPr>
          <w:p>
            <w:pPr>
              <w:spacing w:after="0"/>
              <w:rPr>
                <w:sz w:val="14"/>
                <w:szCs w:val="14"/>
                <w:color w:val="auto"/>
              </w:rPr>
            </w:pPr>
          </w:p>
        </w:tc>
        <w:tc>
          <w:tcPr>
            <w:tcW w:w="1560" w:type="dxa"/>
            <w:vAlign w:val="bottom"/>
            <w:tcBorders>
              <w:right w:val="single" w:sz="8" w:color="auto"/>
            </w:tcBorders>
            <w:shd w:val="clear" w:color="auto" w:fill="F2F2F2"/>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2-5 External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president of the</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Verification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shd w:val="clear" w:color="auto" w:fill="F2F2F2"/>
          </w:tcPr>
          <w:p>
            <w:pPr>
              <w:spacing w:after="0"/>
              <w:rPr>
                <w:sz w:val="15"/>
                <w:szCs w:val="15"/>
                <w:color w:val="auto"/>
              </w:rPr>
            </w:pPr>
          </w:p>
        </w:tc>
        <w:tc>
          <w:tcPr>
            <w:tcW w:w="1340" w:type="dxa"/>
            <w:vAlign w:val="bottom"/>
            <w:tcBorders>
              <w:right w:val="single" w:sz="8" w:color="auto"/>
            </w:tcBorders>
            <w:shd w:val="clear" w:color="auto" w:fill="F2F2F2"/>
          </w:tcPr>
          <w:p>
            <w:pPr>
              <w:spacing w:after="0"/>
              <w:rPr>
                <w:sz w:val="15"/>
                <w:szCs w:val="15"/>
                <w:color w:val="auto"/>
              </w:rPr>
            </w:pPr>
          </w:p>
        </w:tc>
        <w:tc>
          <w:tcPr>
            <w:tcW w:w="1560" w:type="dxa"/>
            <w:vAlign w:val="bottom"/>
            <w:tcBorders>
              <w:right w:val="single" w:sz="8" w:color="auto"/>
            </w:tcBorders>
            <w:shd w:val="clear" w:color="auto" w:fill="F2F2F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Committee</w:t>
            </w:r>
          </w:p>
        </w:tc>
        <w:tc>
          <w:tcPr>
            <w:tcW w:w="1700" w:type="dxa"/>
            <w:vAlign w:val="bottom"/>
            <w:tcBorders>
              <w:right w:val="single" w:sz="8" w:color="auto"/>
            </w:tcBorders>
            <w:shd w:val="clear" w:color="auto" w:fill="F2F2F2"/>
          </w:tcPr>
          <w:p>
            <w:pPr>
              <w:spacing w:after="0"/>
              <w:rPr>
                <w:sz w:val="16"/>
                <w:szCs w:val="16"/>
                <w:color w:val="auto"/>
              </w:rPr>
            </w:pPr>
          </w:p>
        </w:tc>
        <w:tc>
          <w:tcPr>
            <w:tcW w:w="1340" w:type="dxa"/>
            <w:vAlign w:val="bottom"/>
            <w:tcBorders>
              <w:right w:val="single" w:sz="8" w:color="auto"/>
            </w:tcBorders>
            <w:shd w:val="clear" w:color="auto" w:fill="F2F2F2"/>
          </w:tcPr>
          <w:p>
            <w:pPr>
              <w:spacing w:after="0"/>
              <w:rPr>
                <w:sz w:val="16"/>
                <w:szCs w:val="16"/>
                <w:color w:val="auto"/>
              </w:rPr>
            </w:pPr>
          </w:p>
        </w:tc>
        <w:tc>
          <w:tcPr>
            <w:tcW w:w="1560" w:type="dxa"/>
            <w:vAlign w:val="bottom"/>
            <w:tcBorders>
              <w:right w:val="single" w:sz="8" w:color="auto"/>
            </w:tcBorders>
            <w:shd w:val="clear" w:color="auto" w:fill="F2F2F2"/>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right w:val="single" w:sz="8" w:color="auto"/>
            </w:tcBorders>
            <w:shd w:val="clear" w:color="auto" w:fill="F2F2F2"/>
          </w:tcPr>
          <w:p>
            <w:pPr>
              <w:spacing w:after="0"/>
              <w:rPr>
                <w:sz w:val="9"/>
                <w:szCs w:val="9"/>
                <w:color w:val="auto"/>
              </w:rPr>
            </w:pPr>
          </w:p>
        </w:tc>
        <w:tc>
          <w:tcPr>
            <w:tcW w:w="1560" w:type="dxa"/>
            <w:vAlign w:val="bottom"/>
            <w:tcBorders>
              <w:bottom w:val="single" w:sz="8" w:color="auto"/>
              <w:right w:val="single" w:sz="8" w:color="auto"/>
            </w:tcBorders>
            <w:shd w:val="clear" w:color="auto" w:fill="F2F2F2"/>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D9D9D9"/>
          </w:tcPr>
          <w:p>
            <w:pPr>
              <w:spacing w:after="0"/>
              <w:rPr>
                <w:sz w:val="12"/>
                <w:szCs w:val="12"/>
                <w:color w:val="auto"/>
              </w:rPr>
            </w:pPr>
          </w:p>
        </w:tc>
        <w:tc>
          <w:tcPr>
            <w:tcW w:w="1580" w:type="dxa"/>
            <w:vAlign w:val="bottom"/>
            <w:tcBorders>
              <w:right w:val="single" w:sz="8" w:color="auto"/>
            </w:tcBorders>
            <w:shd w:val="clear" w:color="auto" w:fill="D9D9D9"/>
          </w:tcPr>
          <w:p>
            <w:pPr>
              <w:ind w:left="40"/>
              <w:spacing w:after="0" w:line="146" w:lineRule="exact"/>
              <w:rPr>
                <w:sz w:val="20"/>
                <w:szCs w:val="20"/>
                <w:color w:val="auto"/>
              </w:rPr>
            </w:pPr>
            <w:r>
              <w:rPr>
                <w:rFonts w:ascii="Arial" w:cs="Arial" w:eastAsia="Arial" w:hAnsi="Arial"/>
                <w:sz w:val="15"/>
                <w:szCs w:val="15"/>
                <w:b w:val="1"/>
                <w:bCs w:val="1"/>
                <w:color w:val="auto"/>
              </w:rPr>
              <w:t>2. Activities and</w:t>
            </w:r>
          </w:p>
        </w:tc>
        <w:tc>
          <w:tcPr>
            <w:tcW w:w="1480" w:type="dxa"/>
            <w:vAlign w:val="bottom"/>
            <w:tcBorders>
              <w:right w:val="single" w:sz="8" w:color="auto"/>
            </w:tcBorders>
            <w:shd w:val="clear" w:color="auto" w:fill="D9D9D9"/>
          </w:tcPr>
          <w:p>
            <w:pPr>
              <w:spacing w:after="0"/>
              <w:rPr>
                <w:sz w:val="12"/>
                <w:szCs w:val="12"/>
                <w:color w:val="auto"/>
              </w:rPr>
            </w:pPr>
          </w:p>
        </w:tc>
        <w:tc>
          <w:tcPr>
            <w:tcW w:w="1700" w:type="dxa"/>
            <w:vAlign w:val="bottom"/>
            <w:tcBorders>
              <w:right w:val="single" w:sz="8" w:color="auto"/>
            </w:tcBorders>
            <w:shd w:val="clear" w:color="auto" w:fill="D9D9D9"/>
          </w:tcPr>
          <w:p>
            <w:pPr>
              <w:spacing w:after="0"/>
              <w:rPr>
                <w:sz w:val="12"/>
                <w:szCs w:val="12"/>
                <w:color w:val="auto"/>
              </w:rPr>
            </w:pPr>
          </w:p>
        </w:tc>
        <w:tc>
          <w:tcPr>
            <w:tcW w:w="1340" w:type="dxa"/>
            <w:vAlign w:val="bottom"/>
            <w:tcBorders>
              <w:right w:val="single" w:sz="8" w:color="auto"/>
            </w:tcBorders>
            <w:shd w:val="clear" w:color="auto" w:fill="D9D9D9"/>
          </w:tcPr>
          <w:p>
            <w:pPr>
              <w:spacing w:after="0"/>
              <w:rPr>
                <w:sz w:val="12"/>
                <w:szCs w:val="12"/>
                <w:color w:val="auto"/>
              </w:rPr>
            </w:pPr>
          </w:p>
        </w:tc>
        <w:tc>
          <w:tcPr>
            <w:tcW w:w="1560" w:type="dxa"/>
            <w:vAlign w:val="bottom"/>
            <w:tcBorders>
              <w:right w:val="single" w:sz="8" w:color="auto"/>
            </w:tcBorders>
            <w:shd w:val="clear" w:color="auto" w:fill="D9D9D9"/>
          </w:tcPr>
          <w:p>
            <w:pPr>
              <w:spacing w:after="0"/>
              <w:rPr>
                <w:sz w:val="12"/>
                <w:szCs w:val="12"/>
                <w:color w:val="auto"/>
              </w:rPr>
            </w:pPr>
          </w:p>
        </w:tc>
        <w:tc>
          <w:tcPr>
            <w:tcW w:w="800" w:type="dxa"/>
            <w:vAlign w:val="bottom"/>
            <w:tcBorders>
              <w:right w:val="single" w:sz="8" w:color="auto"/>
            </w:tcBorders>
            <w:shd w:val="clear" w:color="auto" w:fill="D9D9D9"/>
          </w:tcPr>
          <w:p>
            <w:pPr>
              <w:spacing w:after="0"/>
              <w:rPr>
                <w:sz w:val="12"/>
                <w:szCs w:val="12"/>
                <w:color w:val="auto"/>
              </w:rPr>
            </w:pPr>
          </w:p>
        </w:tc>
        <w:tc>
          <w:tcPr>
            <w:tcW w:w="100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Workers</w:t>
            </w:r>
          </w:p>
        </w:tc>
        <w:tc>
          <w:tcPr>
            <w:tcW w:w="1480" w:type="dxa"/>
            <w:vAlign w:val="bottom"/>
            <w:tcBorders>
              <w:right w:val="single" w:sz="8" w:color="auto"/>
            </w:tcBorders>
            <w:shd w:val="clear" w:color="auto" w:fill="D9D9D9"/>
          </w:tcPr>
          <w:p>
            <w:pPr>
              <w:spacing w:after="0"/>
              <w:rPr>
                <w:sz w:val="17"/>
                <w:szCs w:val="17"/>
                <w:color w:val="auto"/>
              </w:rPr>
            </w:pPr>
          </w:p>
        </w:tc>
        <w:tc>
          <w:tcPr>
            <w:tcW w:w="1700" w:type="dxa"/>
            <w:vAlign w:val="bottom"/>
            <w:tcBorders>
              <w:right w:val="single" w:sz="8" w:color="auto"/>
            </w:tcBorders>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spacing w:after="0"/>
              <w:rPr>
                <w:sz w:val="17"/>
                <w:szCs w:val="17"/>
                <w:color w:val="auto"/>
              </w:rPr>
            </w:pPr>
          </w:p>
        </w:tc>
        <w:tc>
          <w:tcPr>
            <w:tcW w:w="1560" w:type="dxa"/>
            <w:vAlign w:val="bottom"/>
            <w:tcBorders>
              <w:right w:val="single" w:sz="8" w:color="auto"/>
            </w:tcBorders>
            <w:shd w:val="clear" w:color="auto" w:fill="D9D9D9"/>
          </w:tcPr>
          <w:p>
            <w:pPr>
              <w:spacing w:after="0"/>
              <w:rPr>
                <w:sz w:val="17"/>
                <w:szCs w:val="17"/>
                <w:color w:val="auto"/>
              </w:rPr>
            </w:pPr>
          </w:p>
        </w:tc>
        <w:tc>
          <w:tcPr>
            <w:tcW w:w="800" w:type="dxa"/>
            <w:vAlign w:val="bottom"/>
            <w:tcBorders>
              <w:right w:val="single" w:sz="8" w:color="auto"/>
            </w:tcBorders>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1480" w:type="dxa"/>
            <w:vAlign w:val="bottom"/>
            <w:tcBorders>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1560" w:type="dxa"/>
            <w:vAlign w:val="bottom"/>
            <w:tcBorders>
              <w:bottom w:val="single" w:sz="8" w:color="auto"/>
              <w:right w:val="single" w:sz="8" w:color="auto"/>
            </w:tcBorders>
            <w:shd w:val="clear" w:color="auto" w:fill="D9D9D9"/>
          </w:tcPr>
          <w:p>
            <w:pPr>
              <w:spacing w:after="0"/>
              <w:rPr>
                <w:sz w:val="9"/>
                <w:szCs w:val="9"/>
                <w:color w:val="auto"/>
              </w:rPr>
            </w:pPr>
          </w:p>
        </w:tc>
        <w:tc>
          <w:tcPr>
            <w:tcW w:w="80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2-6 Activities, chain</w:t>
            </w:r>
          </w:p>
        </w:tc>
        <w:tc>
          <w:tcPr>
            <w:tcW w:w="14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Credicorp at a</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of value and other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glance / Company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commercial relations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description / Our</w:t>
            </w:r>
          </w:p>
        </w:tc>
        <w:tc>
          <w:tcPr>
            <w:tcW w:w="17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1000"/>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179" w:name="page180"/>
    <w:bookmarkEnd w:id="179"/>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shd w:val="clear" w:color="auto" w:fill="D9D9D9"/>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businesses in 2022</w:t>
            </w: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 Annexes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Economic Groups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Sustainable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Supplier</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Management</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2-7 Employees</w:t>
            </w: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8 - 10</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8.5 - 10.3</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Development / Our</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Employees Annex</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There is no</w:t>
            </w: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Information not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consolidated data</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2-8 Workers who are</w:t>
            </w:r>
          </w:p>
        </w:tc>
        <w:tc>
          <w:tcPr>
            <w:tcW w:w="14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available. We are</w:t>
            </w: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_</w:t>
            </w:r>
          </w:p>
        </w:tc>
        <w:tc>
          <w:tcPr>
            <w:tcW w:w="1700" w:type="dxa"/>
            <w:vAlign w:val="bottom"/>
            <w:tcBorders>
              <w:right w:val="single" w:sz="8" w:color="auto"/>
            </w:tcBorders>
            <w:vMerge w:val="restart"/>
          </w:tcPr>
          <w:p>
            <w:pPr>
              <w:jc w:val="right"/>
              <w:ind w:right="663"/>
              <w:spacing w:after="0"/>
              <w:rPr>
                <w:sz w:val="20"/>
                <w:szCs w:val="20"/>
                <w:color w:val="auto"/>
              </w:rPr>
            </w:pPr>
            <w:r>
              <w:rPr>
                <w:rFonts w:ascii="Arial" w:cs="Arial" w:eastAsia="Arial" w:hAnsi="Arial"/>
                <w:sz w:val="15"/>
                <w:szCs w:val="15"/>
                <w:color w:val="auto"/>
              </w:rPr>
              <w:t>2-8</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available or</w:t>
            </w: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8</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not employees</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working to be able to</w:t>
            </w: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incomplete</w:t>
            </w: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respond to this point</w:t>
            </w: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 future Reports.</w:t>
            </w: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3. Governance</w:t>
            </w:r>
          </w:p>
        </w:tc>
        <w:tc>
          <w:tcPr>
            <w:tcW w:w="1460" w:type="dxa"/>
            <w:vAlign w:val="bottom"/>
            <w:tcBorders>
              <w:right w:val="single" w:sz="8" w:color="auto"/>
            </w:tcBorders>
            <w:shd w:val="clear" w:color="auto" w:fill="D9D9D9"/>
          </w:tcPr>
          <w:p>
            <w:pPr>
              <w:spacing w:after="0"/>
              <w:rPr>
                <w:sz w:val="16"/>
                <w:szCs w:val="16"/>
                <w:color w:val="auto"/>
              </w:rPr>
            </w:pPr>
          </w:p>
        </w:tc>
        <w:tc>
          <w:tcPr>
            <w:tcW w:w="1700" w:type="dxa"/>
            <w:vAlign w:val="bottom"/>
            <w:tcBorders>
              <w:right w:val="single" w:sz="8" w:color="auto"/>
            </w:tcBorders>
            <w:shd w:val="clear" w:color="auto" w:fill="D9D9D9"/>
          </w:tcPr>
          <w:p>
            <w:pPr>
              <w:spacing w:after="0"/>
              <w:rPr>
                <w:sz w:val="16"/>
                <w:szCs w:val="16"/>
                <w:color w:val="auto"/>
              </w:rPr>
            </w:pPr>
          </w:p>
        </w:tc>
        <w:tc>
          <w:tcPr>
            <w:tcW w:w="1340" w:type="dxa"/>
            <w:vAlign w:val="bottom"/>
            <w:tcBorders>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shd w:val="clear" w:color="auto" w:fill="D9D9D9"/>
          </w:tcPr>
          <w:p>
            <w:pPr>
              <w:spacing w:after="0"/>
              <w:rPr>
                <w:sz w:val="16"/>
                <w:szCs w:val="16"/>
                <w:color w:val="auto"/>
              </w:rPr>
            </w:pPr>
          </w:p>
        </w:tc>
        <w:tc>
          <w:tcPr>
            <w:tcW w:w="780" w:type="dxa"/>
            <w:vAlign w:val="bottom"/>
            <w:tcBorders>
              <w:right w:val="single" w:sz="8" w:color="auto"/>
            </w:tcBorders>
            <w:shd w:val="clear" w:color="auto" w:fill="D9D9D9"/>
          </w:tcPr>
          <w:p>
            <w:pPr>
              <w:spacing w:after="0"/>
              <w:rPr>
                <w:sz w:val="16"/>
                <w:szCs w:val="16"/>
                <w:color w:val="auto"/>
              </w:rPr>
            </w:pPr>
          </w:p>
        </w:tc>
        <w:tc>
          <w:tcPr>
            <w:tcW w:w="100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D9D9D9"/>
              <w:right w:val="single" w:sz="8" w:color="auto"/>
            </w:tcBorders>
            <w:shd w:val="clear" w:color="auto" w:fill="D9D9D9"/>
          </w:tcPr>
          <w:p>
            <w:pPr>
              <w:spacing w:after="0"/>
              <w:rPr>
                <w:sz w:val="7"/>
                <w:szCs w:val="7"/>
                <w:color w:val="auto"/>
              </w:rPr>
            </w:pPr>
          </w:p>
        </w:tc>
        <w:tc>
          <w:tcPr>
            <w:tcW w:w="1580" w:type="dxa"/>
            <w:vAlign w:val="bottom"/>
            <w:tcBorders>
              <w:bottom w:val="single" w:sz="8" w:color="auto"/>
              <w:right w:val="single" w:sz="8" w:color="auto"/>
            </w:tcBorders>
            <w:shd w:val="clear" w:color="auto" w:fill="D9D9D9"/>
          </w:tcPr>
          <w:p>
            <w:pPr>
              <w:spacing w:after="0"/>
              <w:rPr>
                <w:sz w:val="7"/>
                <w:szCs w:val="7"/>
                <w:color w:val="auto"/>
              </w:rPr>
            </w:pPr>
          </w:p>
        </w:tc>
        <w:tc>
          <w:tcPr>
            <w:tcW w:w="1460" w:type="dxa"/>
            <w:vAlign w:val="bottom"/>
            <w:tcBorders>
              <w:bottom w:val="single" w:sz="8" w:color="auto"/>
              <w:right w:val="single" w:sz="8" w:color="auto"/>
            </w:tcBorders>
            <w:shd w:val="clear" w:color="auto" w:fill="D9D9D9"/>
          </w:tcPr>
          <w:p>
            <w:pPr>
              <w:spacing w:after="0"/>
              <w:rPr>
                <w:sz w:val="7"/>
                <w:szCs w:val="7"/>
                <w:color w:val="auto"/>
              </w:rPr>
            </w:pPr>
          </w:p>
        </w:tc>
        <w:tc>
          <w:tcPr>
            <w:tcW w:w="1700" w:type="dxa"/>
            <w:vAlign w:val="bottom"/>
            <w:tcBorders>
              <w:bottom w:val="single" w:sz="8" w:color="auto"/>
              <w:right w:val="single" w:sz="8" w:color="auto"/>
            </w:tcBorders>
            <w:shd w:val="clear" w:color="auto" w:fill="D9D9D9"/>
          </w:tcPr>
          <w:p>
            <w:pPr>
              <w:spacing w:after="0"/>
              <w:rPr>
                <w:sz w:val="7"/>
                <w:szCs w:val="7"/>
                <w:color w:val="auto"/>
              </w:rPr>
            </w:pPr>
          </w:p>
        </w:tc>
        <w:tc>
          <w:tcPr>
            <w:tcW w:w="1340" w:type="dxa"/>
            <w:vAlign w:val="bottom"/>
            <w:tcBorders>
              <w:bottom w:val="single" w:sz="8" w:color="auto"/>
              <w:right w:val="single" w:sz="8" w:color="auto"/>
            </w:tcBorders>
            <w:shd w:val="clear" w:color="auto" w:fill="D9D9D9"/>
          </w:tcPr>
          <w:p>
            <w:pPr>
              <w:spacing w:after="0"/>
              <w:rPr>
                <w:sz w:val="7"/>
                <w:szCs w:val="7"/>
                <w:color w:val="auto"/>
              </w:rPr>
            </w:pPr>
          </w:p>
        </w:tc>
        <w:tc>
          <w:tcPr>
            <w:tcW w:w="1580" w:type="dxa"/>
            <w:vAlign w:val="bottom"/>
            <w:tcBorders>
              <w:bottom w:val="single" w:sz="8" w:color="auto"/>
              <w:right w:val="single" w:sz="8" w:color="auto"/>
            </w:tcBorders>
            <w:shd w:val="clear" w:color="auto" w:fill="D9D9D9"/>
          </w:tcPr>
          <w:p>
            <w:pPr>
              <w:spacing w:after="0"/>
              <w:rPr>
                <w:sz w:val="7"/>
                <w:szCs w:val="7"/>
                <w:color w:val="auto"/>
              </w:rPr>
            </w:pPr>
          </w:p>
        </w:tc>
        <w:tc>
          <w:tcPr>
            <w:tcW w:w="780" w:type="dxa"/>
            <w:vAlign w:val="bottom"/>
            <w:tcBorders>
              <w:bottom w:val="single" w:sz="8" w:color="auto"/>
              <w:right w:val="single" w:sz="8" w:color="auto"/>
            </w:tcBorders>
            <w:shd w:val="clear" w:color="auto" w:fill="D9D9D9"/>
          </w:tcPr>
          <w:p>
            <w:pPr>
              <w:spacing w:after="0"/>
              <w:rPr>
                <w:sz w:val="7"/>
                <w:szCs w:val="7"/>
                <w:color w:val="auto"/>
              </w:rPr>
            </w:pPr>
          </w:p>
        </w:tc>
        <w:tc>
          <w:tcPr>
            <w:tcW w:w="100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2-9 Governance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structure and</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5 - 16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5.5 - 16.7</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composition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2-10 Designation and</w:t>
            </w: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selection of the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5 - 16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5.5 - 16.7</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maximum body of</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governance</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2-11 President of the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maximum body of</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governance</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2-12 Functions of the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maximum body of</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 /</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governance in the</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supervision of impact</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2-13 Delegation of</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 /</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responsibilities for</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impact management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2-14 Functions of the</w:t>
            </w: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maximum body of</w:t>
            </w:r>
          </w:p>
        </w:tc>
        <w:tc>
          <w:tcPr>
            <w:tcW w:w="14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governance in</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presenting</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sustainability reports</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2-15 Conflicts of</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Interest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Ethics</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2-16 Communication</w:t>
            </w:r>
          </w:p>
        </w:tc>
        <w:tc>
          <w:tcPr>
            <w:tcW w:w="1460" w:type="dxa"/>
            <w:vAlign w:val="bottom"/>
            <w:tcBorders>
              <w:right w:val="single" w:sz="8" w:color="auto"/>
            </w:tcBorders>
          </w:tcPr>
          <w:p>
            <w:pPr>
              <w:ind w:left="280"/>
              <w:spacing w:after="0" w:line="164" w:lineRule="exact"/>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of critical concerns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2-17 Collective</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knowledge of the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maximum body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governance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80" w:name="page181"/>
    <w:bookmarkEnd w:id="180"/>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shd w:val="clear" w:color="auto" w:fill="D9D9D9"/>
          </w:tcPr>
          <w:p>
            <w:pPr>
              <w:spacing w:after="0"/>
              <w:rPr>
                <w:sz w:val="15"/>
                <w:szCs w:val="15"/>
                <w:color w:val="auto"/>
              </w:rPr>
            </w:pPr>
          </w:p>
        </w:tc>
        <w:tc>
          <w:tcPr>
            <w:tcW w:w="1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2-18 Assessment of</w:t>
            </w:r>
          </w:p>
        </w:tc>
        <w:tc>
          <w:tcPr>
            <w:tcW w:w="146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the performance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the maximum body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of governance</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2-19 Compensation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Compensation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Policies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Model for the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Board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Executive Segment</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2-20 Process to</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Compensation</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determine</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Model for the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compensation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Board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Executive Segment</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This standard is not</w:t>
            </w: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reported in its</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entirety. Due to the</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nature of the local</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2-21 Ratio for total</w:t>
            </w: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Confidentiality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context, the</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annual</w:t>
            </w:r>
          </w:p>
        </w:tc>
        <w:tc>
          <w:tcPr>
            <w:tcW w:w="14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restart"/>
          </w:tcPr>
          <w:p>
            <w:pPr>
              <w:jc w:val="right"/>
              <w:ind w:right="623"/>
              <w:spacing w:after="0"/>
              <w:rPr>
                <w:sz w:val="20"/>
                <w:szCs w:val="20"/>
                <w:color w:val="auto"/>
              </w:rPr>
            </w:pPr>
            <w:r>
              <w:rPr>
                <w:rFonts w:ascii="Arial" w:cs="Arial" w:eastAsia="Arial" w:hAnsi="Arial"/>
                <w:sz w:val="15"/>
                <w:szCs w:val="15"/>
                <w:color w:val="auto"/>
              </w:rPr>
              <w:t>2-21</w:t>
            </w:r>
          </w:p>
        </w:tc>
        <w:tc>
          <w:tcPr>
            <w:tcW w:w="134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information is</w:t>
            </w: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problems</w:t>
            </w: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compensation</w:t>
            </w: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confidential to</w:t>
            </w: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safeguard the safety</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of our employees</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and executive</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management.</w:t>
            </w: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D9D9D9"/>
          </w:tcPr>
          <w:p>
            <w:pPr>
              <w:spacing w:after="0"/>
              <w:rPr>
                <w:sz w:val="12"/>
                <w:szCs w:val="12"/>
                <w:color w:val="auto"/>
              </w:rPr>
            </w:pPr>
          </w:p>
        </w:tc>
        <w:tc>
          <w:tcPr>
            <w:tcW w:w="1580" w:type="dxa"/>
            <w:vAlign w:val="bottom"/>
            <w:tcBorders>
              <w:right w:val="single" w:sz="8" w:color="auto"/>
            </w:tcBorders>
            <w:shd w:val="clear" w:color="auto" w:fill="D9D9D9"/>
          </w:tcPr>
          <w:p>
            <w:pPr>
              <w:ind w:left="40"/>
              <w:spacing w:after="0" w:line="146" w:lineRule="exact"/>
              <w:rPr>
                <w:sz w:val="20"/>
                <w:szCs w:val="20"/>
                <w:color w:val="auto"/>
              </w:rPr>
            </w:pPr>
            <w:r>
              <w:rPr>
                <w:rFonts w:ascii="Arial" w:cs="Arial" w:eastAsia="Arial" w:hAnsi="Arial"/>
                <w:sz w:val="15"/>
                <w:szCs w:val="15"/>
                <w:b w:val="1"/>
                <w:bCs w:val="1"/>
                <w:color w:val="auto"/>
              </w:rPr>
              <w:t>4. Strategy, policies</w:t>
            </w:r>
          </w:p>
        </w:tc>
        <w:tc>
          <w:tcPr>
            <w:tcW w:w="1460" w:type="dxa"/>
            <w:vAlign w:val="bottom"/>
            <w:tcBorders>
              <w:right w:val="single" w:sz="8" w:color="auto"/>
            </w:tcBorders>
            <w:shd w:val="clear" w:color="auto" w:fill="D9D9D9"/>
          </w:tcPr>
          <w:p>
            <w:pPr>
              <w:spacing w:after="0"/>
              <w:rPr>
                <w:sz w:val="12"/>
                <w:szCs w:val="12"/>
                <w:color w:val="auto"/>
              </w:rPr>
            </w:pPr>
          </w:p>
        </w:tc>
        <w:tc>
          <w:tcPr>
            <w:tcW w:w="1700" w:type="dxa"/>
            <w:vAlign w:val="bottom"/>
            <w:tcBorders>
              <w:right w:val="single" w:sz="8" w:color="auto"/>
            </w:tcBorders>
            <w:shd w:val="clear" w:color="auto" w:fill="D9D9D9"/>
          </w:tcPr>
          <w:p>
            <w:pPr>
              <w:spacing w:after="0"/>
              <w:rPr>
                <w:sz w:val="12"/>
                <w:szCs w:val="12"/>
                <w:color w:val="auto"/>
              </w:rPr>
            </w:pPr>
          </w:p>
        </w:tc>
        <w:tc>
          <w:tcPr>
            <w:tcW w:w="1340" w:type="dxa"/>
            <w:vAlign w:val="bottom"/>
            <w:tcBorders>
              <w:right w:val="single" w:sz="8" w:color="auto"/>
            </w:tcBorders>
            <w:shd w:val="clear" w:color="auto" w:fill="D9D9D9"/>
          </w:tcPr>
          <w:p>
            <w:pPr>
              <w:spacing w:after="0"/>
              <w:rPr>
                <w:sz w:val="12"/>
                <w:szCs w:val="12"/>
                <w:color w:val="auto"/>
              </w:rPr>
            </w:pPr>
          </w:p>
        </w:tc>
        <w:tc>
          <w:tcPr>
            <w:tcW w:w="1580" w:type="dxa"/>
            <w:vAlign w:val="bottom"/>
            <w:tcBorders>
              <w:right w:val="single" w:sz="8" w:color="auto"/>
            </w:tcBorders>
            <w:shd w:val="clear" w:color="auto" w:fill="D9D9D9"/>
          </w:tcPr>
          <w:p>
            <w:pPr>
              <w:spacing w:after="0"/>
              <w:rPr>
                <w:sz w:val="12"/>
                <w:szCs w:val="12"/>
                <w:color w:val="auto"/>
              </w:rPr>
            </w:pPr>
          </w:p>
        </w:tc>
        <w:tc>
          <w:tcPr>
            <w:tcW w:w="780" w:type="dxa"/>
            <w:vAlign w:val="bottom"/>
            <w:tcBorders>
              <w:right w:val="single" w:sz="8" w:color="auto"/>
            </w:tcBorders>
            <w:shd w:val="clear" w:color="auto" w:fill="D9D9D9"/>
          </w:tcPr>
          <w:p>
            <w:pPr>
              <w:spacing w:after="0"/>
              <w:rPr>
                <w:sz w:val="12"/>
                <w:szCs w:val="12"/>
                <w:color w:val="auto"/>
              </w:rPr>
            </w:pPr>
          </w:p>
        </w:tc>
        <w:tc>
          <w:tcPr>
            <w:tcW w:w="100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and practices</w:t>
            </w:r>
          </w:p>
        </w:tc>
        <w:tc>
          <w:tcPr>
            <w:tcW w:w="1460" w:type="dxa"/>
            <w:vAlign w:val="bottom"/>
            <w:tcBorders>
              <w:right w:val="single" w:sz="8" w:color="auto"/>
            </w:tcBorders>
            <w:shd w:val="clear" w:color="auto" w:fill="D9D9D9"/>
          </w:tcPr>
          <w:p>
            <w:pPr>
              <w:spacing w:after="0"/>
              <w:rPr>
                <w:sz w:val="17"/>
                <w:szCs w:val="17"/>
                <w:color w:val="auto"/>
              </w:rPr>
            </w:pPr>
          </w:p>
        </w:tc>
        <w:tc>
          <w:tcPr>
            <w:tcW w:w="1700" w:type="dxa"/>
            <w:vAlign w:val="bottom"/>
            <w:tcBorders>
              <w:right w:val="single" w:sz="8" w:color="auto"/>
            </w:tcBorders>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780" w:type="dxa"/>
            <w:vAlign w:val="bottom"/>
            <w:tcBorders>
              <w:right w:val="single" w:sz="8" w:color="auto"/>
            </w:tcBorders>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1460" w:type="dxa"/>
            <w:vAlign w:val="bottom"/>
            <w:tcBorders>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Letter from the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2-22 Declaration of</w:t>
            </w: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CEO / Letter from</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the president of the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the strategy for</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sustainable</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Committee /</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development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Ethics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Our Purpose,</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Vision and Values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Affiliations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2-23 Commitments</w:t>
            </w: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Adhesions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right"/>
              <w:ind w:right="243"/>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right"/>
              <w:ind w:right="283"/>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and policies</w:t>
            </w:r>
          </w:p>
        </w:tc>
        <w:tc>
          <w:tcPr>
            <w:tcW w:w="1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280"/>
              <w:spacing w:after="0" w:line="164" w:lineRule="exact"/>
              <w:rPr>
                <w:sz w:val="20"/>
                <w:szCs w:val="20"/>
                <w:color w:val="auto"/>
              </w:rPr>
            </w:pPr>
            <w:r>
              <w:rPr>
                <w:rFonts w:ascii="Arial" w:cs="Arial" w:eastAsia="Arial" w:hAnsi="Arial"/>
                <w:sz w:val="15"/>
                <w:szCs w:val="15"/>
                <w:color w:val="auto"/>
              </w:rPr>
              <w:t>Sustainability</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2-24 Incorporation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strategy/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commitments and</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policies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38"/>
        </w:trPr>
        <w:tc>
          <w:tcPr>
            <w:tcW w:w="1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shd w:val="clear" w:color="auto" w:fill="D9D9D9"/>
          </w:tcPr>
          <w:p>
            <w:pPr>
              <w:spacing w:after="0"/>
              <w:rPr>
                <w:sz w:val="15"/>
                <w:szCs w:val="15"/>
                <w:color w:val="auto"/>
              </w:rPr>
            </w:pPr>
          </w:p>
        </w:tc>
        <w:tc>
          <w:tcPr>
            <w:tcW w:w="1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2-25 Processes to</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remediate negative</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Ethics</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impacts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2-26 Mechanisms to</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request advice and</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Ethics</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express concerns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Sanctions imposed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by regulators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2-27 Compliance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Annex / Legal</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Processes Annex /</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with legislation and</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regulations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2-28 Membership in</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Affiliations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associations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Adhesions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D9D9D9"/>
          </w:tcPr>
          <w:p>
            <w:pPr>
              <w:spacing w:after="0"/>
              <w:rPr>
                <w:sz w:val="12"/>
                <w:szCs w:val="12"/>
                <w:color w:val="auto"/>
              </w:rPr>
            </w:pPr>
          </w:p>
        </w:tc>
        <w:tc>
          <w:tcPr>
            <w:tcW w:w="1580" w:type="dxa"/>
            <w:vAlign w:val="bottom"/>
            <w:tcBorders>
              <w:right w:val="single" w:sz="8" w:color="auto"/>
            </w:tcBorders>
            <w:shd w:val="clear" w:color="auto" w:fill="D9D9D9"/>
          </w:tcPr>
          <w:p>
            <w:pPr>
              <w:ind w:left="40"/>
              <w:spacing w:after="0" w:line="146" w:lineRule="exact"/>
              <w:rPr>
                <w:sz w:val="20"/>
                <w:szCs w:val="20"/>
                <w:color w:val="auto"/>
              </w:rPr>
            </w:pPr>
            <w:r>
              <w:rPr>
                <w:rFonts w:ascii="Arial" w:cs="Arial" w:eastAsia="Arial" w:hAnsi="Arial"/>
                <w:sz w:val="15"/>
                <w:szCs w:val="15"/>
                <w:b w:val="1"/>
                <w:bCs w:val="1"/>
                <w:color w:val="auto"/>
              </w:rPr>
              <w:t>5. Stakeholder</w:t>
            </w:r>
          </w:p>
        </w:tc>
        <w:tc>
          <w:tcPr>
            <w:tcW w:w="1460" w:type="dxa"/>
            <w:vAlign w:val="bottom"/>
            <w:tcBorders>
              <w:right w:val="single" w:sz="8" w:color="auto"/>
            </w:tcBorders>
            <w:shd w:val="clear" w:color="auto" w:fill="D9D9D9"/>
          </w:tcPr>
          <w:p>
            <w:pPr>
              <w:spacing w:after="0"/>
              <w:rPr>
                <w:sz w:val="12"/>
                <w:szCs w:val="12"/>
                <w:color w:val="auto"/>
              </w:rPr>
            </w:pPr>
          </w:p>
        </w:tc>
        <w:tc>
          <w:tcPr>
            <w:tcW w:w="1700" w:type="dxa"/>
            <w:vAlign w:val="bottom"/>
            <w:tcBorders>
              <w:right w:val="single" w:sz="8" w:color="auto"/>
            </w:tcBorders>
            <w:shd w:val="clear" w:color="auto" w:fill="D9D9D9"/>
          </w:tcPr>
          <w:p>
            <w:pPr>
              <w:spacing w:after="0"/>
              <w:rPr>
                <w:sz w:val="12"/>
                <w:szCs w:val="12"/>
                <w:color w:val="auto"/>
              </w:rPr>
            </w:pPr>
          </w:p>
        </w:tc>
        <w:tc>
          <w:tcPr>
            <w:tcW w:w="1340" w:type="dxa"/>
            <w:vAlign w:val="bottom"/>
            <w:tcBorders>
              <w:right w:val="single" w:sz="8" w:color="auto"/>
            </w:tcBorders>
            <w:shd w:val="clear" w:color="auto" w:fill="D9D9D9"/>
          </w:tcPr>
          <w:p>
            <w:pPr>
              <w:spacing w:after="0"/>
              <w:rPr>
                <w:sz w:val="12"/>
                <w:szCs w:val="12"/>
                <w:color w:val="auto"/>
              </w:rPr>
            </w:pPr>
          </w:p>
        </w:tc>
        <w:tc>
          <w:tcPr>
            <w:tcW w:w="1580" w:type="dxa"/>
            <w:vAlign w:val="bottom"/>
            <w:tcBorders>
              <w:right w:val="single" w:sz="8" w:color="auto"/>
            </w:tcBorders>
            <w:shd w:val="clear" w:color="auto" w:fill="D9D9D9"/>
          </w:tcPr>
          <w:p>
            <w:pPr>
              <w:spacing w:after="0"/>
              <w:rPr>
                <w:sz w:val="12"/>
                <w:szCs w:val="12"/>
                <w:color w:val="auto"/>
              </w:rPr>
            </w:pPr>
          </w:p>
        </w:tc>
        <w:tc>
          <w:tcPr>
            <w:tcW w:w="780" w:type="dxa"/>
            <w:vAlign w:val="bottom"/>
            <w:tcBorders>
              <w:right w:val="single" w:sz="8" w:color="auto"/>
            </w:tcBorders>
            <w:shd w:val="clear" w:color="auto" w:fill="D9D9D9"/>
          </w:tcPr>
          <w:p>
            <w:pPr>
              <w:spacing w:after="0"/>
              <w:rPr>
                <w:sz w:val="12"/>
                <w:szCs w:val="12"/>
                <w:color w:val="auto"/>
              </w:rPr>
            </w:pPr>
          </w:p>
        </w:tc>
        <w:tc>
          <w:tcPr>
            <w:tcW w:w="100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participation</w:t>
            </w:r>
          </w:p>
        </w:tc>
        <w:tc>
          <w:tcPr>
            <w:tcW w:w="1460" w:type="dxa"/>
            <w:vAlign w:val="bottom"/>
            <w:tcBorders>
              <w:right w:val="single" w:sz="8" w:color="auto"/>
            </w:tcBorders>
            <w:shd w:val="clear" w:color="auto" w:fill="D9D9D9"/>
          </w:tcPr>
          <w:p>
            <w:pPr>
              <w:spacing w:after="0"/>
              <w:rPr>
                <w:sz w:val="17"/>
                <w:szCs w:val="17"/>
                <w:color w:val="auto"/>
              </w:rPr>
            </w:pPr>
          </w:p>
        </w:tc>
        <w:tc>
          <w:tcPr>
            <w:tcW w:w="1700" w:type="dxa"/>
            <w:vAlign w:val="bottom"/>
            <w:tcBorders>
              <w:right w:val="single" w:sz="8" w:color="auto"/>
            </w:tcBorders>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780" w:type="dxa"/>
            <w:vAlign w:val="bottom"/>
            <w:tcBorders>
              <w:right w:val="single" w:sz="8" w:color="auto"/>
            </w:tcBorders>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1460" w:type="dxa"/>
            <w:vAlign w:val="bottom"/>
            <w:tcBorders>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2-29 Focus on</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How we get closer</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stakeholder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to our Stakeholders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participation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Annex</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2-30 Collective</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bargaining</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agreements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Development</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A6A6A6"/>
          </w:tcPr>
          <w:p>
            <w:pPr>
              <w:ind w:left="60"/>
              <w:spacing w:after="0"/>
              <w:rPr>
                <w:sz w:val="20"/>
                <w:szCs w:val="20"/>
                <w:color w:val="auto"/>
              </w:rPr>
            </w:pPr>
            <w:r>
              <w:rPr>
                <w:rFonts w:ascii="Arial" w:cs="Arial" w:eastAsia="Arial" w:hAnsi="Arial"/>
                <w:sz w:val="15"/>
                <w:szCs w:val="15"/>
                <w:b w:val="1"/>
                <w:bCs w:val="1"/>
                <w:color w:val="auto"/>
              </w:rPr>
              <w:t>Material issues</w:t>
            </w:r>
          </w:p>
        </w:tc>
        <w:tc>
          <w:tcPr>
            <w:tcW w:w="1580" w:type="dxa"/>
            <w:vAlign w:val="bottom"/>
            <w:tcBorders>
              <w:right w:val="single" w:sz="8" w:color="auto"/>
            </w:tcBorders>
            <w:shd w:val="clear" w:color="auto" w:fill="A6A6A6"/>
          </w:tcPr>
          <w:p>
            <w:pPr>
              <w:spacing w:after="0"/>
              <w:rPr>
                <w:sz w:val="16"/>
                <w:szCs w:val="16"/>
                <w:color w:val="auto"/>
              </w:rPr>
            </w:pPr>
          </w:p>
        </w:tc>
        <w:tc>
          <w:tcPr>
            <w:tcW w:w="1460" w:type="dxa"/>
            <w:vAlign w:val="bottom"/>
            <w:tcBorders>
              <w:right w:val="single" w:sz="8" w:color="auto"/>
            </w:tcBorders>
            <w:shd w:val="clear" w:color="auto" w:fill="A6A6A6"/>
          </w:tcPr>
          <w:p>
            <w:pPr>
              <w:spacing w:after="0"/>
              <w:rPr>
                <w:sz w:val="16"/>
                <w:szCs w:val="16"/>
                <w:color w:val="auto"/>
              </w:rPr>
            </w:pPr>
          </w:p>
        </w:tc>
        <w:tc>
          <w:tcPr>
            <w:tcW w:w="1700" w:type="dxa"/>
            <w:vAlign w:val="bottom"/>
            <w:tcBorders>
              <w:right w:val="single" w:sz="8" w:color="auto"/>
            </w:tcBorders>
            <w:shd w:val="clear" w:color="auto" w:fill="A6A6A6"/>
          </w:tcPr>
          <w:p>
            <w:pPr>
              <w:spacing w:after="0"/>
              <w:rPr>
                <w:sz w:val="16"/>
                <w:szCs w:val="16"/>
                <w:color w:val="auto"/>
              </w:rPr>
            </w:pPr>
          </w:p>
        </w:tc>
        <w:tc>
          <w:tcPr>
            <w:tcW w:w="1340" w:type="dxa"/>
            <w:vAlign w:val="bottom"/>
            <w:tcBorders>
              <w:right w:val="single" w:sz="8" w:color="auto"/>
            </w:tcBorders>
            <w:shd w:val="clear" w:color="auto" w:fill="A6A6A6"/>
          </w:tcPr>
          <w:p>
            <w:pPr>
              <w:spacing w:after="0"/>
              <w:rPr>
                <w:sz w:val="16"/>
                <w:szCs w:val="16"/>
                <w:color w:val="auto"/>
              </w:rPr>
            </w:pPr>
          </w:p>
        </w:tc>
        <w:tc>
          <w:tcPr>
            <w:tcW w:w="1580" w:type="dxa"/>
            <w:vAlign w:val="bottom"/>
            <w:tcBorders>
              <w:right w:val="single" w:sz="8" w:color="auto"/>
            </w:tcBorders>
            <w:shd w:val="clear" w:color="auto" w:fill="A6A6A6"/>
          </w:tcPr>
          <w:p>
            <w:pPr>
              <w:spacing w:after="0"/>
              <w:rPr>
                <w:sz w:val="16"/>
                <w:szCs w:val="16"/>
                <w:color w:val="auto"/>
              </w:rPr>
            </w:pPr>
          </w:p>
        </w:tc>
        <w:tc>
          <w:tcPr>
            <w:tcW w:w="780" w:type="dxa"/>
            <w:vAlign w:val="bottom"/>
            <w:tcBorders>
              <w:right w:val="single" w:sz="8" w:color="auto"/>
            </w:tcBorders>
            <w:shd w:val="clear" w:color="auto" w:fill="A6A6A6"/>
          </w:tcPr>
          <w:p>
            <w:pPr>
              <w:spacing w:after="0"/>
              <w:rPr>
                <w:sz w:val="16"/>
                <w:szCs w:val="16"/>
                <w:color w:val="auto"/>
              </w:rPr>
            </w:pPr>
          </w:p>
        </w:tc>
        <w:tc>
          <w:tcPr>
            <w:tcW w:w="1000" w:type="dxa"/>
            <w:vAlign w:val="bottom"/>
            <w:tcBorders>
              <w:right w:val="single" w:sz="8" w:color="auto"/>
            </w:tcBorders>
            <w:shd w:val="clear" w:color="auto" w:fill="A6A6A6"/>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A6A6A6"/>
          </w:tcPr>
          <w:p>
            <w:pPr>
              <w:spacing w:after="0"/>
              <w:rPr>
                <w:sz w:val="7"/>
                <w:szCs w:val="7"/>
                <w:color w:val="auto"/>
              </w:rPr>
            </w:pPr>
          </w:p>
        </w:tc>
        <w:tc>
          <w:tcPr>
            <w:tcW w:w="1580" w:type="dxa"/>
            <w:vAlign w:val="bottom"/>
            <w:tcBorders>
              <w:bottom w:val="single" w:sz="8" w:color="auto"/>
              <w:right w:val="single" w:sz="8" w:color="auto"/>
            </w:tcBorders>
            <w:shd w:val="clear" w:color="auto" w:fill="A6A6A6"/>
          </w:tcPr>
          <w:p>
            <w:pPr>
              <w:spacing w:after="0"/>
              <w:rPr>
                <w:sz w:val="7"/>
                <w:szCs w:val="7"/>
                <w:color w:val="auto"/>
              </w:rPr>
            </w:pPr>
          </w:p>
        </w:tc>
        <w:tc>
          <w:tcPr>
            <w:tcW w:w="1460" w:type="dxa"/>
            <w:vAlign w:val="bottom"/>
            <w:tcBorders>
              <w:bottom w:val="single" w:sz="8" w:color="auto"/>
              <w:right w:val="single" w:sz="8" w:color="auto"/>
            </w:tcBorders>
            <w:shd w:val="clear" w:color="auto" w:fill="A6A6A6"/>
          </w:tcPr>
          <w:p>
            <w:pPr>
              <w:spacing w:after="0"/>
              <w:rPr>
                <w:sz w:val="7"/>
                <w:szCs w:val="7"/>
                <w:color w:val="auto"/>
              </w:rPr>
            </w:pPr>
          </w:p>
        </w:tc>
        <w:tc>
          <w:tcPr>
            <w:tcW w:w="1700" w:type="dxa"/>
            <w:vAlign w:val="bottom"/>
            <w:tcBorders>
              <w:bottom w:val="single" w:sz="8" w:color="auto"/>
              <w:right w:val="single" w:sz="8" w:color="auto"/>
            </w:tcBorders>
            <w:shd w:val="clear" w:color="auto" w:fill="A6A6A6"/>
          </w:tcPr>
          <w:p>
            <w:pPr>
              <w:spacing w:after="0"/>
              <w:rPr>
                <w:sz w:val="7"/>
                <w:szCs w:val="7"/>
                <w:color w:val="auto"/>
              </w:rPr>
            </w:pPr>
          </w:p>
        </w:tc>
        <w:tc>
          <w:tcPr>
            <w:tcW w:w="1340" w:type="dxa"/>
            <w:vAlign w:val="bottom"/>
            <w:tcBorders>
              <w:bottom w:val="single" w:sz="8" w:color="auto"/>
              <w:right w:val="single" w:sz="8" w:color="auto"/>
            </w:tcBorders>
            <w:shd w:val="clear" w:color="auto" w:fill="A6A6A6"/>
          </w:tcPr>
          <w:p>
            <w:pPr>
              <w:spacing w:after="0"/>
              <w:rPr>
                <w:sz w:val="7"/>
                <w:szCs w:val="7"/>
                <w:color w:val="auto"/>
              </w:rPr>
            </w:pPr>
          </w:p>
        </w:tc>
        <w:tc>
          <w:tcPr>
            <w:tcW w:w="1580" w:type="dxa"/>
            <w:vAlign w:val="bottom"/>
            <w:tcBorders>
              <w:bottom w:val="single" w:sz="8" w:color="auto"/>
              <w:right w:val="single" w:sz="8" w:color="auto"/>
            </w:tcBorders>
            <w:shd w:val="clear" w:color="auto" w:fill="A6A6A6"/>
          </w:tcPr>
          <w:p>
            <w:pPr>
              <w:spacing w:after="0"/>
              <w:rPr>
                <w:sz w:val="7"/>
                <w:szCs w:val="7"/>
                <w:color w:val="auto"/>
              </w:rPr>
            </w:pPr>
          </w:p>
        </w:tc>
        <w:tc>
          <w:tcPr>
            <w:tcW w:w="780" w:type="dxa"/>
            <w:vAlign w:val="bottom"/>
            <w:tcBorders>
              <w:bottom w:val="single" w:sz="8" w:color="auto"/>
              <w:right w:val="single" w:sz="8" w:color="auto"/>
            </w:tcBorders>
            <w:shd w:val="clear" w:color="auto" w:fill="A6A6A6"/>
          </w:tcPr>
          <w:p>
            <w:pPr>
              <w:spacing w:after="0"/>
              <w:rPr>
                <w:sz w:val="7"/>
                <w:szCs w:val="7"/>
                <w:color w:val="auto"/>
              </w:rPr>
            </w:pPr>
          </w:p>
        </w:tc>
        <w:tc>
          <w:tcPr>
            <w:tcW w:w="1000" w:type="dxa"/>
            <w:vAlign w:val="bottom"/>
            <w:tcBorders>
              <w:bottom w:val="single" w:sz="8" w:color="auto"/>
              <w:right w:val="single" w:sz="8" w:color="auto"/>
            </w:tcBorders>
            <w:shd w:val="clear" w:color="auto" w:fill="A6A6A6"/>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3-1 Process to</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Material analysis</w:t>
            </w:r>
          </w:p>
        </w:tc>
        <w:tc>
          <w:tcPr>
            <w:tcW w:w="1700" w:type="dxa"/>
            <w:vAlign w:val="bottom"/>
            <w:tcBorders>
              <w:right w:val="single" w:sz="8" w:color="auto"/>
            </w:tcBorders>
            <w:shd w:val="clear" w:color="auto" w:fill="F2F2F2"/>
          </w:tcPr>
          <w:p>
            <w:pPr>
              <w:spacing w:after="0"/>
              <w:rPr>
                <w:sz w:val="14"/>
                <w:szCs w:val="14"/>
                <w:color w:val="auto"/>
              </w:rPr>
            </w:pPr>
          </w:p>
        </w:tc>
        <w:tc>
          <w:tcPr>
            <w:tcW w:w="1340" w:type="dxa"/>
            <w:vAlign w:val="bottom"/>
            <w:tcBorders>
              <w:right w:val="single" w:sz="8" w:color="auto"/>
            </w:tcBorders>
            <w:shd w:val="clear" w:color="auto" w:fill="F2F2F2"/>
          </w:tcPr>
          <w:p>
            <w:pPr>
              <w:spacing w:after="0"/>
              <w:rPr>
                <w:sz w:val="14"/>
                <w:szCs w:val="14"/>
                <w:color w:val="auto"/>
              </w:rPr>
            </w:pPr>
          </w:p>
        </w:tc>
        <w:tc>
          <w:tcPr>
            <w:tcW w:w="1580" w:type="dxa"/>
            <w:vAlign w:val="bottom"/>
            <w:tcBorders>
              <w:right w:val="single" w:sz="8" w:color="auto"/>
            </w:tcBorders>
            <w:shd w:val="clear" w:color="auto" w:fill="F2F2F2"/>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determine material</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shd w:val="clear" w:color="auto" w:fill="F2F2F2"/>
          </w:tcPr>
          <w:p>
            <w:pPr>
              <w:spacing w:after="0"/>
              <w:rPr>
                <w:sz w:val="7"/>
                <w:szCs w:val="7"/>
                <w:color w:val="auto"/>
              </w:rPr>
            </w:pPr>
          </w:p>
        </w:tc>
        <w:tc>
          <w:tcPr>
            <w:tcW w:w="1340" w:type="dxa"/>
            <w:vAlign w:val="bottom"/>
            <w:tcBorders>
              <w:right w:val="single" w:sz="8" w:color="auto"/>
            </w:tcBorders>
            <w:shd w:val="clear" w:color="auto" w:fill="F2F2F2"/>
          </w:tcPr>
          <w:p>
            <w:pPr>
              <w:spacing w:after="0"/>
              <w:rPr>
                <w:sz w:val="7"/>
                <w:szCs w:val="7"/>
                <w:color w:val="auto"/>
              </w:rPr>
            </w:pPr>
          </w:p>
        </w:tc>
        <w:tc>
          <w:tcPr>
            <w:tcW w:w="1580" w:type="dxa"/>
            <w:vAlign w:val="bottom"/>
            <w:tcBorders>
              <w:right w:val="single" w:sz="8" w:color="auto"/>
            </w:tcBorders>
            <w:shd w:val="clear" w:color="auto" w:fill="F2F2F2"/>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and Strategy</w:t>
            </w: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80" w:type="dxa"/>
            <w:vAlign w:val="bottom"/>
            <w:tcBorders>
              <w:right w:val="single" w:sz="8" w:color="auto"/>
            </w:tcBorders>
            <w:shd w:val="clear" w:color="auto" w:fill="F2F2F2"/>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issues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80" w:type="dxa"/>
            <w:vAlign w:val="bottom"/>
            <w:tcBorders>
              <w:right w:val="single" w:sz="8" w:color="auto"/>
            </w:tcBorders>
            <w:shd w:val="clear" w:color="auto" w:fill="F2F2F2"/>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80" w:type="dxa"/>
            <w:vAlign w:val="bottom"/>
            <w:tcBorders>
              <w:right w:val="single" w:sz="8" w:color="auto"/>
            </w:tcBorders>
            <w:shd w:val="clear" w:color="auto" w:fill="F2F2F2"/>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D9D9D9"/>
              <w:right w:val="single" w:sz="8" w:color="auto"/>
            </w:tcBorders>
            <w:vMerge w:val="restart"/>
            <w:shd w:val="clear" w:color="auto" w:fill="D9D9D9"/>
          </w:tcPr>
          <w:p>
            <w:pPr>
              <w:ind w:left="60"/>
              <w:spacing w:after="0"/>
              <w:rPr>
                <w:sz w:val="20"/>
                <w:szCs w:val="20"/>
                <w:color w:val="auto"/>
              </w:rPr>
            </w:pPr>
            <w:r>
              <w:rPr>
                <w:rFonts w:ascii="Arial" w:cs="Arial" w:eastAsia="Arial" w:hAnsi="Arial"/>
                <w:sz w:val="15"/>
                <w:szCs w:val="15"/>
                <w:b w:val="1"/>
                <w:bCs w:val="1"/>
                <w:color w:val="auto"/>
              </w:rPr>
              <w:t>GRI 3: Material Issues</w:t>
            </w: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right w:val="single" w:sz="8" w:color="auto"/>
            </w:tcBorders>
            <w:shd w:val="clear" w:color="auto" w:fill="F2F2F2"/>
          </w:tcPr>
          <w:p>
            <w:pPr>
              <w:spacing w:after="0"/>
              <w:rPr>
                <w:sz w:val="9"/>
                <w:szCs w:val="9"/>
                <w:color w:val="auto"/>
              </w:rPr>
            </w:pPr>
          </w:p>
        </w:tc>
        <w:tc>
          <w:tcPr>
            <w:tcW w:w="1580" w:type="dxa"/>
            <w:vAlign w:val="bottom"/>
            <w:tcBorders>
              <w:bottom w:val="single" w:sz="8" w:color="auto"/>
              <w:right w:val="single" w:sz="8" w:color="auto"/>
            </w:tcBorders>
            <w:shd w:val="clear" w:color="auto" w:fill="F2F2F2"/>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continue"/>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color w:val="auto"/>
              </w:rPr>
              <w:t>Analysis of</w:t>
            </w:r>
          </w:p>
        </w:tc>
        <w:tc>
          <w:tcPr>
            <w:tcW w:w="1700" w:type="dxa"/>
            <w:vAlign w:val="bottom"/>
            <w:tcBorders>
              <w:right w:val="single" w:sz="8" w:color="auto"/>
            </w:tcBorders>
            <w:shd w:val="clear" w:color="auto" w:fill="F2F2F2"/>
          </w:tcPr>
          <w:p>
            <w:pPr>
              <w:spacing w:after="0"/>
              <w:rPr>
                <w:sz w:val="6"/>
                <w:szCs w:val="6"/>
                <w:color w:val="auto"/>
              </w:rPr>
            </w:pPr>
          </w:p>
        </w:tc>
        <w:tc>
          <w:tcPr>
            <w:tcW w:w="1340" w:type="dxa"/>
            <w:vAlign w:val="bottom"/>
            <w:tcBorders>
              <w:right w:val="single" w:sz="8" w:color="auto"/>
            </w:tcBorders>
            <w:shd w:val="clear" w:color="auto" w:fill="F2F2F2"/>
          </w:tcPr>
          <w:p>
            <w:pPr>
              <w:spacing w:after="0"/>
              <w:rPr>
                <w:sz w:val="6"/>
                <w:szCs w:val="6"/>
                <w:color w:val="auto"/>
              </w:rPr>
            </w:pPr>
          </w:p>
        </w:tc>
        <w:tc>
          <w:tcPr>
            <w:tcW w:w="1580" w:type="dxa"/>
            <w:vAlign w:val="bottom"/>
            <w:tcBorders>
              <w:right w:val="single" w:sz="8" w:color="auto"/>
            </w:tcBorders>
            <w:shd w:val="clear" w:color="auto" w:fill="F2F2F2"/>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82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5"/>
                <w:szCs w:val="15"/>
                <w:b w:val="1"/>
                <w:bCs w:val="1"/>
                <w:color w:val="auto"/>
              </w:rPr>
              <w:t>2021</w:t>
            </w:r>
          </w:p>
        </w:tc>
        <w:tc>
          <w:tcPr>
            <w:tcW w:w="158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shd w:val="clear" w:color="auto" w:fill="F2F2F2"/>
          </w:tcPr>
          <w:p>
            <w:pPr>
              <w:spacing w:after="0"/>
              <w:rPr>
                <w:sz w:val="7"/>
                <w:szCs w:val="7"/>
                <w:color w:val="auto"/>
              </w:rPr>
            </w:pPr>
          </w:p>
        </w:tc>
        <w:tc>
          <w:tcPr>
            <w:tcW w:w="1340" w:type="dxa"/>
            <w:vAlign w:val="bottom"/>
            <w:tcBorders>
              <w:right w:val="single" w:sz="8" w:color="auto"/>
            </w:tcBorders>
            <w:shd w:val="clear" w:color="auto" w:fill="F2F2F2"/>
          </w:tcPr>
          <w:p>
            <w:pPr>
              <w:spacing w:after="0"/>
              <w:rPr>
                <w:sz w:val="7"/>
                <w:szCs w:val="7"/>
                <w:color w:val="auto"/>
              </w:rPr>
            </w:pPr>
          </w:p>
        </w:tc>
        <w:tc>
          <w:tcPr>
            <w:tcW w:w="1580" w:type="dxa"/>
            <w:vAlign w:val="bottom"/>
            <w:tcBorders>
              <w:right w:val="single" w:sz="8" w:color="auto"/>
            </w:tcBorders>
            <w:shd w:val="clear" w:color="auto" w:fill="F2F2F2"/>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2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3-2 List of material</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Materiality and</w:t>
            </w:r>
          </w:p>
        </w:tc>
        <w:tc>
          <w:tcPr>
            <w:tcW w:w="1700" w:type="dxa"/>
            <w:vAlign w:val="bottom"/>
            <w:tcBorders>
              <w:right w:val="single" w:sz="8" w:color="auto"/>
            </w:tcBorders>
            <w:shd w:val="clear" w:color="auto" w:fill="F2F2F2"/>
          </w:tcPr>
          <w:p>
            <w:pPr>
              <w:spacing w:after="0"/>
              <w:rPr>
                <w:sz w:val="10"/>
                <w:szCs w:val="10"/>
                <w:color w:val="auto"/>
              </w:rPr>
            </w:pPr>
          </w:p>
        </w:tc>
        <w:tc>
          <w:tcPr>
            <w:tcW w:w="1340" w:type="dxa"/>
            <w:vAlign w:val="bottom"/>
            <w:tcBorders>
              <w:right w:val="single" w:sz="8" w:color="auto"/>
            </w:tcBorders>
            <w:shd w:val="clear" w:color="auto" w:fill="F2F2F2"/>
          </w:tcPr>
          <w:p>
            <w:pPr>
              <w:spacing w:after="0"/>
              <w:rPr>
                <w:sz w:val="10"/>
                <w:szCs w:val="10"/>
                <w:color w:val="auto"/>
              </w:rPr>
            </w:pPr>
          </w:p>
        </w:tc>
        <w:tc>
          <w:tcPr>
            <w:tcW w:w="1580" w:type="dxa"/>
            <w:vAlign w:val="bottom"/>
            <w:tcBorders>
              <w:right w:val="single" w:sz="8" w:color="auto"/>
            </w:tcBorders>
            <w:shd w:val="clear" w:color="auto" w:fill="F2F2F2"/>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820" w:type="dxa"/>
            <w:vAlign w:val="bottom"/>
            <w:tcBorders>
              <w:left w:val="single" w:sz="8" w:color="auto"/>
              <w:right w:val="single" w:sz="8" w:color="auto"/>
            </w:tcBorders>
            <w:shd w:val="clear" w:color="auto" w:fill="D9D9D9"/>
          </w:tcPr>
          <w:p>
            <w:pPr>
              <w:spacing w:after="0"/>
              <w:rPr>
                <w:sz w:val="4"/>
                <w:szCs w:val="4"/>
                <w:color w:val="auto"/>
              </w:rPr>
            </w:pPr>
          </w:p>
        </w:tc>
        <w:tc>
          <w:tcPr>
            <w:tcW w:w="1580" w:type="dxa"/>
            <w:vAlign w:val="bottom"/>
            <w:tcBorders>
              <w:right w:val="single" w:sz="8" w:color="auto"/>
            </w:tcBorders>
            <w:vMerge w:val="continue"/>
          </w:tcPr>
          <w:p>
            <w:pPr>
              <w:spacing w:after="0"/>
              <w:rPr>
                <w:sz w:val="4"/>
                <w:szCs w:val="4"/>
                <w:color w:val="auto"/>
              </w:rPr>
            </w:pPr>
          </w:p>
        </w:tc>
        <w:tc>
          <w:tcPr>
            <w:tcW w:w="146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shd w:val="clear" w:color="auto" w:fill="F2F2F2"/>
          </w:tcPr>
          <w:p>
            <w:pPr>
              <w:spacing w:after="0"/>
              <w:rPr>
                <w:sz w:val="4"/>
                <w:szCs w:val="4"/>
                <w:color w:val="auto"/>
              </w:rPr>
            </w:pPr>
          </w:p>
        </w:tc>
        <w:tc>
          <w:tcPr>
            <w:tcW w:w="1340" w:type="dxa"/>
            <w:vAlign w:val="bottom"/>
            <w:tcBorders>
              <w:right w:val="single" w:sz="8" w:color="auto"/>
            </w:tcBorders>
            <w:shd w:val="clear" w:color="auto" w:fill="F2F2F2"/>
          </w:tcPr>
          <w:p>
            <w:pPr>
              <w:spacing w:after="0"/>
              <w:rPr>
                <w:sz w:val="4"/>
                <w:szCs w:val="4"/>
                <w:color w:val="auto"/>
              </w:rPr>
            </w:pPr>
          </w:p>
        </w:tc>
        <w:tc>
          <w:tcPr>
            <w:tcW w:w="1580" w:type="dxa"/>
            <w:vAlign w:val="bottom"/>
            <w:tcBorders>
              <w:right w:val="single" w:sz="8" w:color="auto"/>
            </w:tcBorders>
            <w:shd w:val="clear" w:color="auto" w:fill="F2F2F2"/>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Strategy / Definition</w:t>
            </w:r>
          </w:p>
        </w:tc>
        <w:tc>
          <w:tcPr>
            <w:tcW w:w="1700" w:type="dxa"/>
            <w:vAlign w:val="bottom"/>
            <w:tcBorders>
              <w:right w:val="single" w:sz="8" w:color="auto"/>
            </w:tcBorders>
            <w:shd w:val="clear" w:color="auto" w:fill="F2F2F2"/>
          </w:tcPr>
          <w:p>
            <w:pPr>
              <w:spacing w:after="0"/>
              <w:rPr>
                <w:sz w:val="7"/>
                <w:szCs w:val="7"/>
                <w:color w:val="auto"/>
              </w:rPr>
            </w:pPr>
          </w:p>
        </w:tc>
        <w:tc>
          <w:tcPr>
            <w:tcW w:w="1340" w:type="dxa"/>
            <w:vAlign w:val="bottom"/>
            <w:tcBorders>
              <w:right w:val="single" w:sz="8" w:color="auto"/>
            </w:tcBorders>
            <w:shd w:val="clear" w:color="auto" w:fill="F2F2F2"/>
          </w:tcPr>
          <w:p>
            <w:pPr>
              <w:spacing w:after="0"/>
              <w:rPr>
                <w:sz w:val="7"/>
                <w:szCs w:val="7"/>
                <w:color w:val="auto"/>
              </w:rPr>
            </w:pPr>
          </w:p>
        </w:tc>
        <w:tc>
          <w:tcPr>
            <w:tcW w:w="1580" w:type="dxa"/>
            <w:vAlign w:val="bottom"/>
            <w:tcBorders>
              <w:right w:val="single" w:sz="8" w:color="auto"/>
            </w:tcBorders>
            <w:shd w:val="clear" w:color="auto" w:fill="F2F2F2"/>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issues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80" w:type="dxa"/>
            <w:vAlign w:val="bottom"/>
            <w:tcBorders>
              <w:right w:val="single" w:sz="8" w:color="auto"/>
            </w:tcBorders>
            <w:shd w:val="clear" w:color="auto" w:fill="F2F2F2"/>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of Material Issues</w:t>
            </w:r>
          </w:p>
        </w:tc>
        <w:tc>
          <w:tcPr>
            <w:tcW w:w="1700" w:type="dxa"/>
            <w:vAlign w:val="bottom"/>
            <w:tcBorders>
              <w:right w:val="single" w:sz="8" w:color="auto"/>
            </w:tcBorders>
            <w:shd w:val="clear" w:color="auto" w:fill="F2F2F2"/>
          </w:tcPr>
          <w:p>
            <w:pPr>
              <w:spacing w:after="0"/>
              <w:rPr>
                <w:sz w:val="8"/>
                <w:szCs w:val="8"/>
                <w:color w:val="auto"/>
              </w:rPr>
            </w:pPr>
          </w:p>
        </w:tc>
        <w:tc>
          <w:tcPr>
            <w:tcW w:w="1340" w:type="dxa"/>
            <w:vAlign w:val="bottom"/>
            <w:tcBorders>
              <w:right w:val="single" w:sz="8" w:color="auto"/>
            </w:tcBorders>
            <w:shd w:val="clear" w:color="auto" w:fill="F2F2F2"/>
          </w:tcPr>
          <w:p>
            <w:pPr>
              <w:spacing w:after="0"/>
              <w:rPr>
                <w:sz w:val="8"/>
                <w:szCs w:val="8"/>
                <w:color w:val="auto"/>
              </w:rPr>
            </w:pPr>
          </w:p>
        </w:tc>
        <w:tc>
          <w:tcPr>
            <w:tcW w:w="1580" w:type="dxa"/>
            <w:vAlign w:val="bottom"/>
            <w:tcBorders>
              <w:right w:val="single" w:sz="8" w:color="auto"/>
            </w:tcBorders>
            <w:shd w:val="clear" w:color="auto" w:fill="F2F2F2"/>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shd w:val="clear" w:color="auto" w:fill="F2F2F2"/>
          </w:tcPr>
          <w:p>
            <w:pPr>
              <w:spacing w:after="0"/>
              <w:rPr>
                <w:sz w:val="6"/>
                <w:szCs w:val="6"/>
                <w:color w:val="auto"/>
              </w:rPr>
            </w:pPr>
          </w:p>
        </w:tc>
        <w:tc>
          <w:tcPr>
            <w:tcW w:w="1340" w:type="dxa"/>
            <w:vAlign w:val="bottom"/>
            <w:tcBorders>
              <w:right w:val="single" w:sz="8" w:color="auto"/>
            </w:tcBorders>
            <w:shd w:val="clear" w:color="auto" w:fill="F2F2F2"/>
          </w:tcPr>
          <w:p>
            <w:pPr>
              <w:spacing w:after="0"/>
              <w:rPr>
                <w:sz w:val="6"/>
                <w:szCs w:val="6"/>
                <w:color w:val="auto"/>
              </w:rPr>
            </w:pPr>
          </w:p>
        </w:tc>
        <w:tc>
          <w:tcPr>
            <w:tcW w:w="1580" w:type="dxa"/>
            <w:vAlign w:val="bottom"/>
            <w:tcBorders>
              <w:right w:val="single" w:sz="8" w:color="auto"/>
            </w:tcBorders>
            <w:shd w:val="clear" w:color="auto" w:fill="F2F2F2"/>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Annex</w:t>
            </w:r>
          </w:p>
        </w:tc>
        <w:tc>
          <w:tcPr>
            <w:tcW w:w="1700" w:type="dxa"/>
            <w:vAlign w:val="bottom"/>
            <w:tcBorders>
              <w:right w:val="single" w:sz="8" w:color="auto"/>
            </w:tcBorders>
            <w:shd w:val="clear" w:color="auto" w:fill="F2F2F2"/>
          </w:tcPr>
          <w:p>
            <w:pPr>
              <w:spacing w:after="0"/>
              <w:rPr>
                <w:sz w:val="16"/>
                <w:szCs w:val="16"/>
                <w:color w:val="auto"/>
              </w:rPr>
            </w:pPr>
          </w:p>
        </w:tc>
        <w:tc>
          <w:tcPr>
            <w:tcW w:w="1340" w:type="dxa"/>
            <w:vAlign w:val="bottom"/>
            <w:tcBorders>
              <w:right w:val="single" w:sz="8" w:color="auto"/>
            </w:tcBorders>
            <w:shd w:val="clear" w:color="auto" w:fill="F2F2F2"/>
          </w:tcPr>
          <w:p>
            <w:pPr>
              <w:spacing w:after="0"/>
              <w:rPr>
                <w:sz w:val="16"/>
                <w:szCs w:val="16"/>
                <w:color w:val="auto"/>
              </w:rPr>
            </w:pPr>
          </w:p>
        </w:tc>
        <w:tc>
          <w:tcPr>
            <w:tcW w:w="1580" w:type="dxa"/>
            <w:vAlign w:val="bottom"/>
            <w:tcBorders>
              <w:right w:val="single" w:sz="8" w:color="auto"/>
            </w:tcBorders>
            <w:shd w:val="clear" w:color="auto" w:fill="F2F2F2"/>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right w:val="single" w:sz="8" w:color="auto"/>
            </w:tcBorders>
            <w:shd w:val="clear" w:color="auto" w:fill="F2F2F2"/>
          </w:tcPr>
          <w:p>
            <w:pPr>
              <w:spacing w:after="0"/>
              <w:rPr>
                <w:sz w:val="9"/>
                <w:szCs w:val="9"/>
                <w:color w:val="auto"/>
              </w:rPr>
            </w:pPr>
          </w:p>
        </w:tc>
        <w:tc>
          <w:tcPr>
            <w:tcW w:w="1580" w:type="dxa"/>
            <w:vAlign w:val="bottom"/>
            <w:tcBorders>
              <w:bottom w:val="single" w:sz="8" w:color="auto"/>
              <w:right w:val="single" w:sz="8" w:color="auto"/>
            </w:tcBorders>
            <w:shd w:val="clear" w:color="auto" w:fill="F2F2F2"/>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0070C0"/>
          </w:tcPr>
          <w:p>
            <w:pPr>
              <w:ind w:left="60"/>
              <w:spacing w:after="0" w:line="146" w:lineRule="exact"/>
              <w:rPr>
                <w:sz w:val="20"/>
                <w:szCs w:val="20"/>
                <w:color w:val="auto"/>
              </w:rPr>
            </w:pPr>
            <w:r>
              <w:rPr>
                <w:rFonts w:ascii="Arial" w:cs="Arial" w:eastAsia="Arial" w:hAnsi="Arial"/>
                <w:sz w:val="15"/>
                <w:szCs w:val="15"/>
                <w:b w:val="1"/>
                <w:bCs w:val="1"/>
                <w:color w:val="auto"/>
              </w:rPr>
              <w:t>ECONOMIC</w:t>
            </w:r>
          </w:p>
        </w:tc>
        <w:tc>
          <w:tcPr>
            <w:tcW w:w="1580" w:type="dxa"/>
            <w:vAlign w:val="bottom"/>
            <w:tcBorders>
              <w:right w:val="single" w:sz="8" w:color="auto"/>
            </w:tcBorders>
            <w:shd w:val="clear" w:color="auto" w:fill="0070C0"/>
          </w:tcPr>
          <w:p>
            <w:pPr>
              <w:spacing w:after="0"/>
              <w:rPr>
                <w:sz w:val="12"/>
                <w:szCs w:val="12"/>
                <w:color w:val="auto"/>
              </w:rPr>
            </w:pPr>
          </w:p>
        </w:tc>
        <w:tc>
          <w:tcPr>
            <w:tcW w:w="1460" w:type="dxa"/>
            <w:vAlign w:val="bottom"/>
            <w:tcBorders>
              <w:right w:val="single" w:sz="8" w:color="auto"/>
            </w:tcBorders>
            <w:shd w:val="clear" w:color="auto" w:fill="0070C0"/>
          </w:tcPr>
          <w:p>
            <w:pPr>
              <w:spacing w:after="0"/>
              <w:rPr>
                <w:sz w:val="12"/>
                <w:szCs w:val="12"/>
                <w:color w:val="auto"/>
              </w:rPr>
            </w:pPr>
          </w:p>
        </w:tc>
        <w:tc>
          <w:tcPr>
            <w:tcW w:w="1700" w:type="dxa"/>
            <w:vAlign w:val="bottom"/>
            <w:tcBorders>
              <w:right w:val="single" w:sz="8" w:color="auto"/>
            </w:tcBorders>
            <w:shd w:val="clear" w:color="auto" w:fill="0070C0"/>
          </w:tcPr>
          <w:p>
            <w:pPr>
              <w:spacing w:after="0"/>
              <w:rPr>
                <w:sz w:val="12"/>
                <w:szCs w:val="12"/>
                <w:color w:val="auto"/>
              </w:rPr>
            </w:pPr>
          </w:p>
        </w:tc>
        <w:tc>
          <w:tcPr>
            <w:tcW w:w="1340" w:type="dxa"/>
            <w:vAlign w:val="bottom"/>
            <w:tcBorders>
              <w:right w:val="single" w:sz="8" w:color="auto"/>
            </w:tcBorders>
            <w:shd w:val="clear" w:color="auto" w:fill="0070C0"/>
          </w:tcPr>
          <w:p>
            <w:pPr>
              <w:spacing w:after="0"/>
              <w:rPr>
                <w:sz w:val="12"/>
                <w:szCs w:val="12"/>
                <w:color w:val="auto"/>
              </w:rPr>
            </w:pPr>
          </w:p>
        </w:tc>
        <w:tc>
          <w:tcPr>
            <w:tcW w:w="1580" w:type="dxa"/>
            <w:vAlign w:val="bottom"/>
            <w:tcBorders>
              <w:right w:val="single" w:sz="8" w:color="auto"/>
            </w:tcBorders>
            <w:shd w:val="clear" w:color="auto" w:fill="0070C0"/>
          </w:tcPr>
          <w:p>
            <w:pPr>
              <w:spacing w:after="0"/>
              <w:rPr>
                <w:sz w:val="12"/>
                <w:szCs w:val="12"/>
                <w:color w:val="auto"/>
              </w:rPr>
            </w:pPr>
          </w:p>
        </w:tc>
        <w:tc>
          <w:tcPr>
            <w:tcW w:w="780" w:type="dxa"/>
            <w:vAlign w:val="bottom"/>
            <w:tcBorders>
              <w:right w:val="single" w:sz="8" w:color="auto"/>
            </w:tcBorders>
            <w:shd w:val="clear" w:color="auto" w:fill="0070C0"/>
          </w:tcPr>
          <w:p>
            <w:pPr>
              <w:spacing w:after="0"/>
              <w:rPr>
                <w:sz w:val="12"/>
                <w:szCs w:val="12"/>
                <w:color w:val="auto"/>
              </w:rPr>
            </w:pPr>
          </w:p>
        </w:tc>
        <w:tc>
          <w:tcPr>
            <w:tcW w:w="1000" w:type="dxa"/>
            <w:vAlign w:val="bottom"/>
            <w:tcBorders>
              <w:right w:val="single" w:sz="8" w:color="auto"/>
            </w:tcBorders>
            <w:shd w:val="clear" w:color="auto" w:fill="0070C0"/>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0070C0"/>
          </w:tcPr>
          <w:p>
            <w:pPr>
              <w:ind w:left="60"/>
              <w:spacing w:after="0"/>
              <w:rPr>
                <w:sz w:val="20"/>
                <w:szCs w:val="20"/>
                <w:color w:val="auto"/>
              </w:rPr>
            </w:pPr>
            <w:r>
              <w:rPr>
                <w:rFonts w:ascii="Arial" w:cs="Arial" w:eastAsia="Arial" w:hAnsi="Arial"/>
                <w:sz w:val="15"/>
                <w:szCs w:val="15"/>
                <w:b w:val="1"/>
                <w:bCs w:val="1"/>
                <w:color w:val="auto"/>
              </w:rPr>
              <w:t>PERFORMANCE</w:t>
            </w:r>
          </w:p>
        </w:tc>
        <w:tc>
          <w:tcPr>
            <w:tcW w:w="1580" w:type="dxa"/>
            <w:vAlign w:val="bottom"/>
            <w:tcBorders>
              <w:right w:val="single" w:sz="8" w:color="auto"/>
            </w:tcBorders>
            <w:shd w:val="clear" w:color="auto" w:fill="0070C0"/>
          </w:tcPr>
          <w:p>
            <w:pPr>
              <w:spacing w:after="0"/>
              <w:rPr>
                <w:sz w:val="17"/>
                <w:szCs w:val="17"/>
                <w:color w:val="auto"/>
              </w:rPr>
            </w:pPr>
          </w:p>
        </w:tc>
        <w:tc>
          <w:tcPr>
            <w:tcW w:w="1460" w:type="dxa"/>
            <w:vAlign w:val="bottom"/>
            <w:tcBorders>
              <w:right w:val="single" w:sz="8" w:color="auto"/>
            </w:tcBorders>
            <w:shd w:val="clear" w:color="auto" w:fill="0070C0"/>
          </w:tcPr>
          <w:p>
            <w:pPr>
              <w:spacing w:after="0"/>
              <w:rPr>
                <w:sz w:val="17"/>
                <w:szCs w:val="17"/>
                <w:color w:val="auto"/>
              </w:rPr>
            </w:pPr>
          </w:p>
        </w:tc>
        <w:tc>
          <w:tcPr>
            <w:tcW w:w="1700" w:type="dxa"/>
            <w:vAlign w:val="bottom"/>
            <w:tcBorders>
              <w:right w:val="single" w:sz="8" w:color="auto"/>
            </w:tcBorders>
            <w:shd w:val="clear" w:color="auto" w:fill="0070C0"/>
          </w:tcPr>
          <w:p>
            <w:pPr>
              <w:spacing w:after="0"/>
              <w:rPr>
                <w:sz w:val="17"/>
                <w:szCs w:val="17"/>
                <w:color w:val="auto"/>
              </w:rPr>
            </w:pPr>
          </w:p>
        </w:tc>
        <w:tc>
          <w:tcPr>
            <w:tcW w:w="1340" w:type="dxa"/>
            <w:vAlign w:val="bottom"/>
            <w:tcBorders>
              <w:right w:val="single" w:sz="8" w:color="auto"/>
            </w:tcBorders>
            <w:shd w:val="clear" w:color="auto" w:fill="0070C0"/>
          </w:tcPr>
          <w:p>
            <w:pPr>
              <w:spacing w:after="0"/>
              <w:rPr>
                <w:sz w:val="17"/>
                <w:szCs w:val="17"/>
                <w:color w:val="auto"/>
              </w:rPr>
            </w:pPr>
          </w:p>
        </w:tc>
        <w:tc>
          <w:tcPr>
            <w:tcW w:w="1580" w:type="dxa"/>
            <w:vAlign w:val="bottom"/>
            <w:tcBorders>
              <w:right w:val="single" w:sz="8" w:color="auto"/>
            </w:tcBorders>
            <w:shd w:val="clear" w:color="auto" w:fill="0070C0"/>
          </w:tcPr>
          <w:p>
            <w:pPr>
              <w:spacing w:after="0"/>
              <w:rPr>
                <w:sz w:val="17"/>
                <w:szCs w:val="17"/>
                <w:color w:val="auto"/>
              </w:rPr>
            </w:pPr>
          </w:p>
        </w:tc>
        <w:tc>
          <w:tcPr>
            <w:tcW w:w="780" w:type="dxa"/>
            <w:vAlign w:val="bottom"/>
            <w:tcBorders>
              <w:right w:val="single" w:sz="8" w:color="auto"/>
            </w:tcBorders>
            <w:shd w:val="clear" w:color="auto" w:fill="0070C0"/>
          </w:tcPr>
          <w:p>
            <w:pPr>
              <w:spacing w:after="0"/>
              <w:rPr>
                <w:sz w:val="17"/>
                <w:szCs w:val="17"/>
                <w:color w:val="auto"/>
              </w:rPr>
            </w:pPr>
          </w:p>
        </w:tc>
        <w:tc>
          <w:tcPr>
            <w:tcW w:w="1000" w:type="dxa"/>
            <w:vAlign w:val="bottom"/>
            <w:tcBorders>
              <w:right w:val="single" w:sz="8" w:color="auto"/>
            </w:tcBorders>
            <w:shd w:val="clear" w:color="auto" w:fill="0070C0"/>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0070C0"/>
          </w:tcPr>
          <w:p>
            <w:pPr>
              <w:spacing w:after="0"/>
              <w:rPr>
                <w:sz w:val="9"/>
                <w:szCs w:val="9"/>
                <w:color w:val="auto"/>
              </w:rPr>
            </w:pPr>
          </w:p>
        </w:tc>
        <w:tc>
          <w:tcPr>
            <w:tcW w:w="1580" w:type="dxa"/>
            <w:vAlign w:val="bottom"/>
            <w:tcBorders>
              <w:bottom w:val="single" w:sz="8" w:color="auto"/>
              <w:right w:val="single" w:sz="8" w:color="auto"/>
            </w:tcBorders>
            <w:shd w:val="clear" w:color="auto" w:fill="0070C0"/>
          </w:tcPr>
          <w:p>
            <w:pPr>
              <w:spacing w:after="0"/>
              <w:rPr>
                <w:sz w:val="9"/>
                <w:szCs w:val="9"/>
                <w:color w:val="auto"/>
              </w:rPr>
            </w:pPr>
          </w:p>
        </w:tc>
        <w:tc>
          <w:tcPr>
            <w:tcW w:w="1460" w:type="dxa"/>
            <w:vAlign w:val="bottom"/>
            <w:tcBorders>
              <w:bottom w:val="single" w:sz="8" w:color="auto"/>
              <w:right w:val="single" w:sz="8" w:color="auto"/>
            </w:tcBorders>
            <w:shd w:val="clear" w:color="auto" w:fill="0070C0"/>
          </w:tcPr>
          <w:p>
            <w:pPr>
              <w:spacing w:after="0"/>
              <w:rPr>
                <w:sz w:val="9"/>
                <w:szCs w:val="9"/>
                <w:color w:val="auto"/>
              </w:rPr>
            </w:pPr>
          </w:p>
        </w:tc>
        <w:tc>
          <w:tcPr>
            <w:tcW w:w="1700" w:type="dxa"/>
            <w:vAlign w:val="bottom"/>
            <w:tcBorders>
              <w:bottom w:val="single" w:sz="8" w:color="auto"/>
              <w:right w:val="single" w:sz="8" w:color="auto"/>
            </w:tcBorders>
            <w:shd w:val="clear" w:color="auto" w:fill="0070C0"/>
          </w:tcPr>
          <w:p>
            <w:pPr>
              <w:spacing w:after="0"/>
              <w:rPr>
                <w:sz w:val="9"/>
                <w:szCs w:val="9"/>
                <w:color w:val="auto"/>
              </w:rPr>
            </w:pPr>
          </w:p>
        </w:tc>
        <w:tc>
          <w:tcPr>
            <w:tcW w:w="1340" w:type="dxa"/>
            <w:vAlign w:val="bottom"/>
            <w:tcBorders>
              <w:bottom w:val="single" w:sz="8" w:color="auto"/>
              <w:right w:val="single" w:sz="8" w:color="auto"/>
            </w:tcBorders>
            <w:shd w:val="clear" w:color="auto" w:fill="0070C0"/>
          </w:tcPr>
          <w:p>
            <w:pPr>
              <w:spacing w:after="0"/>
              <w:rPr>
                <w:sz w:val="9"/>
                <w:szCs w:val="9"/>
                <w:color w:val="auto"/>
              </w:rPr>
            </w:pPr>
          </w:p>
        </w:tc>
        <w:tc>
          <w:tcPr>
            <w:tcW w:w="1580" w:type="dxa"/>
            <w:vAlign w:val="bottom"/>
            <w:tcBorders>
              <w:bottom w:val="single" w:sz="8" w:color="auto"/>
              <w:right w:val="single" w:sz="8" w:color="auto"/>
            </w:tcBorders>
            <w:shd w:val="clear" w:color="auto" w:fill="0070C0"/>
          </w:tcPr>
          <w:p>
            <w:pPr>
              <w:spacing w:after="0"/>
              <w:rPr>
                <w:sz w:val="9"/>
                <w:szCs w:val="9"/>
                <w:color w:val="auto"/>
              </w:rPr>
            </w:pPr>
          </w:p>
        </w:tc>
        <w:tc>
          <w:tcPr>
            <w:tcW w:w="780" w:type="dxa"/>
            <w:vAlign w:val="bottom"/>
            <w:tcBorders>
              <w:bottom w:val="single" w:sz="8" w:color="auto"/>
              <w:right w:val="single" w:sz="8" w:color="auto"/>
            </w:tcBorders>
            <w:shd w:val="clear" w:color="auto" w:fill="0070C0"/>
          </w:tcPr>
          <w:p>
            <w:pPr>
              <w:spacing w:after="0"/>
              <w:rPr>
                <w:sz w:val="9"/>
                <w:szCs w:val="9"/>
                <w:color w:val="auto"/>
              </w:rPr>
            </w:pPr>
          </w:p>
        </w:tc>
        <w:tc>
          <w:tcPr>
            <w:tcW w:w="1000" w:type="dxa"/>
            <w:vAlign w:val="bottom"/>
            <w:tcBorders>
              <w:bottom w:val="single" w:sz="8" w:color="auto"/>
              <w:right w:val="single" w:sz="8" w:color="auto"/>
            </w:tcBorders>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3-3 Management of</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Economic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Financial</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material issues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Performance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201-1 Direct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Economic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8.1 - 8.2 -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economic value</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financial</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8 - 9</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9.1 - 9.4 -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generated and</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performance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distributed</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201: ECONOMIC</w:t>
            </w: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201-2 Financial</w:t>
            </w:r>
          </w:p>
        </w:tc>
        <w:tc>
          <w:tcPr>
            <w:tcW w:w="14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color w:val="auto"/>
              </w:rPr>
              <w:t>Integrate ESG</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820" w:type="dxa"/>
            <w:vAlign w:val="bottom"/>
            <w:tcBorders>
              <w:left w:val="single" w:sz="8" w:color="auto"/>
              <w:right w:val="single" w:sz="8" w:color="auto"/>
            </w:tcBorders>
            <w:vMerge w:val="restart"/>
          </w:tcPr>
          <w:p>
            <w:pPr>
              <w:ind w:left="60"/>
              <w:spacing w:after="0" w:line="150" w:lineRule="exact"/>
              <w:rPr>
                <w:sz w:val="20"/>
                <w:szCs w:val="20"/>
                <w:color w:val="auto"/>
              </w:rPr>
            </w:pPr>
            <w:r>
              <w:rPr>
                <w:rFonts w:ascii="Arial" w:cs="Arial" w:eastAsia="Arial" w:hAnsi="Arial"/>
                <w:sz w:val="15"/>
                <w:szCs w:val="15"/>
                <w:color w:val="auto"/>
              </w:rPr>
              <w:t>PERFORMANCE 2016</w:t>
            </w: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factors in the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implications and</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framework for risk</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others risks and</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13</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 Our</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opportunities derived</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ESG Risk</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from climate change</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38"/>
        </w:trPr>
        <w:tc>
          <w:tcPr>
            <w:tcW w:w="1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182" w:name="page183"/>
    <w:bookmarkEnd w:id="1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5"/>
                <w:szCs w:val="15"/>
                <w:color w:val="auto"/>
              </w:rPr>
              <w:t>201-3 Defined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Neither Credicorp</w:t>
            </w: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nor its subsidiaries</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benefit plan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have implemented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obligations and other</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plans for their</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retirement plans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personnel</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We have not</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received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201-4 Financial</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assistance from</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assistance received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any of the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from the government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governments in the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countries in which</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we operate.</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0070C0"/>
          </w:tcPr>
          <w:p>
            <w:pPr>
              <w:ind w:left="60"/>
              <w:spacing w:after="0" w:line="146" w:lineRule="exact"/>
              <w:rPr>
                <w:sz w:val="20"/>
                <w:szCs w:val="20"/>
                <w:color w:val="auto"/>
              </w:rPr>
            </w:pPr>
            <w:r>
              <w:rPr>
                <w:rFonts w:ascii="Arial" w:cs="Arial" w:eastAsia="Arial" w:hAnsi="Arial"/>
                <w:sz w:val="15"/>
                <w:szCs w:val="15"/>
                <w:b w:val="1"/>
                <w:bCs w:val="1"/>
                <w:color w:val="auto"/>
              </w:rPr>
              <w:t>INDIRECT ECONOMIC</w:t>
            </w:r>
          </w:p>
        </w:tc>
        <w:tc>
          <w:tcPr>
            <w:tcW w:w="1580" w:type="dxa"/>
            <w:vAlign w:val="bottom"/>
            <w:tcBorders>
              <w:right w:val="single" w:sz="8" w:color="auto"/>
            </w:tcBorders>
            <w:shd w:val="clear" w:color="auto" w:fill="0070C0"/>
          </w:tcPr>
          <w:p>
            <w:pPr>
              <w:spacing w:after="0"/>
              <w:rPr>
                <w:sz w:val="12"/>
                <w:szCs w:val="12"/>
                <w:color w:val="auto"/>
              </w:rPr>
            </w:pPr>
          </w:p>
        </w:tc>
        <w:tc>
          <w:tcPr>
            <w:tcW w:w="1460" w:type="dxa"/>
            <w:vAlign w:val="bottom"/>
            <w:tcBorders>
              <w:right w:val="single" w:sz="8" w:color="auto"/>
            </w:tcBorders>
            <w:shd w:val="clear" w:color="auto" w:fill="0070C0"/>
          </w:tcPr>
          <w:p>
            <w:pPr>
              <w:spacing w:after="0"/>
              <w:rPr>
                <w:sz w:val="12"/>
                <w:szCs w:val="12"/>
                <w:color w:val="auto"/>
              </w:rPr>
            </w:pPr>
          </w:p>
        </w:tc>
        <w:tc>
          <w:tcPr>
            <w:tcW w:w="1700" w:type="dxa"/>
            <w:vAlign w:val="bottom"/>
            <w:tcBorders>
              <w:right w:val="single" w:sz="8" w:color="auto"/>
            </w:tcBorders>
            <w:shd w:val="clear" w:color="auto" w:fill="0070C0"/>
          </w:tcPr>
          <w:p>
            <w:pPr>
              <w:spacing w:after="0"/>
              <w:rPr>
                <w:sz w:val="12"/>
                <w:szCs w:val="12"/>
                <w:color w:val="auto"/>
              </w:rPr>
            </w:pPr>
          </w:p>
        </w:tc>
        <w:tc>
          <w:tcPr>
            <w:tcW w:w="1340" w:type="dxa"/>
            <w:vAlign w:val="bottom"/>
            <w:tcBorders>
              <w:right w:val="single" w:sz="8" w:color="auto"/>
            </w:tcBorders>
            <w:shd w:val="clear" w:color="auto" w:fill="0070C0"/>
          </w:tcPr>
          <w:p>
            <w:pPr>
              <w:spacing w:after="0"/>
              <w:rPr>
                <w:sz w:val="12"/>
                <w:szCs w:val="12"/>
                <w:color w:val="auto"/>
              </w:rPr>
            </w:pPr>
          </w:p>
        </w:tc>
        <w:tc>
          <w:tcPr>
            <w:tcW w:w="1580" w:type="dxa"/>
            <w:vAlign w:val="bottom"/>
            <w:tcBorders>
              <w:right w:val="single" w:sz="8" w:color="auto"/>
            </w:tcBorders>
            <w:shd w:val="clear" w:color="auto" w:fill="0070C0"/>
          </w:tcPr>
          <w:p>
            <w:pPr>
              <w:spacing w:after="0"/>
              <w:rPr>
                <w:sz w:val="12"/>
                <w:szCs w:val="12"/>
                <w:color w:val="auto"/>
              </w:rPr>
            </w:pPr>
          </w:p>
        </w:tc>
        <w:tc>
          <w:tcPr>
            <w:tcW w:w="780" w:type="dxa"/>
            <w:vAlign w:val="bottom"/>
            <w:tcBorders>
              <w:right w:val="single" w:sz="8" w:color="auto"/>
            </w:tcBorders>
            <w:shd w:val="clear" w:color="auto" w:fill="0070C0"/>
          </w:tcPr>
          <w:p>
            <w:pPr>
              <w:spacing w:after="0"/>
              <w:rPr>
                <w:sz w:val="12"/>
                <w:szCs w:val="12"/>
                <w:color w:val="auto"/>
              </w:rPr>
            </w:pPr>
          </w:p>
        </w:tc>
        <w:tc>
          <w:tcPr>
            <w:tcW w:w="1000" w:type="dxa"/>
            <w:vAlign w:val="bottom"/>
            <w:tcBorders>
              <w:right w:val="single" w:sz="8" w:color="auto"/>
            </w:tcBorders>
            <w:shd w:val="clear" w:color="auto" w:fill="0070C0"/>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0070C0"/>
          </w:tcPr>
          <w:p>
            <w:pPr>
              <w:ind w:left="60"/>
              <w:spacing w:after="0"/>
              <w:rPr>
                <w:sz w:val="20"/>
                <w:szCs w:val="20"/>
                <w:color w:val="auto"/>
              </w:rPr>
            </w:pPr>
            <w:r>
              <w:rPr>
                <w:rFonts w:ascii="Arial" w:cs="Arial" w:eastAsia="Arial" w:hAnsi="Arial"/>
                <w:sz w:val="15"/>
                <w:szCs w:val="15"/>
                <w:b w:val="1"/>
                <w:bCs w:val="1"/>
                <w:color w:val="auto"/>
              </w:rPr>
              <w:t>IMPACTS</w:t>
            </w:r>
          </w:p>
        </w:tc>
        <w:tc>
          <w:tcPr>
            <w:tcW w:w="1580" w:type="dxa"/>
            <w:vAlign w:val="bottom"/>
            <w:tcBorders>
              <w:right w:val="single" w:sz="8" w:color="auto"/>
            </w:tcBorders>
            <w:shd w:val="clear" w:color="auto" w:fill="0070C0"/>
          </w:tcPr>
          <w:p>
            <w:pPr>
              <w:spacing w:after="0"/>
              <w:rPr>
                <w:sz w:val="17"/>
                <w:szCs w:val="17"/>
                <w:color w:val="auto"/>
              </w:rPr>
            </w:pPr>
          </w:p>
        </w:tc>
        <w:tc>
          <w:tcPr>
            <w:tcW w:w="1460" w:type="dxa"/>
            <w:vAlign w:val="bottom"/>
            <w:tcBorders>
              <w:right w:val="single" w:sz="8" w:color="auto"/>
            </w:tcBorders>
            <w:shd w:val="clear" w:color="auto" w:fill="0070C0"/>
          </w:tcPr>
          <w:p>
            <w:pPr>
              <w:spacing w:after="0"/>
              <w:rPr>
                <w:sz w:val="17"/>
                <w:szCs w:val="17"/>
                <w:color w:val="auto"/>
              </w:rPr>
            </w:pPr>
          </w:p>
        </w:tc>
        <w:tc>
          <w:tcPr>
            <w:tcW w:w="1700" w:type="dxa"/>
            <w:vAlign w:val="bottom"/>
            <w:tcBorders>
              <w:right w:val="single" w:sz="8" w:color="auto"/>
            </w:tcBorders>
            <w:shd w:val="clear" w:color="auto" w:fill="0070C0"/>
          </w:tcPr>
          <w:p>
            <w:pPr>
              <w:spacing w:after="0"/>
              <w:rPr>
                <w:sz w:val="17"/>
                <w:szCs w:val="17"/>
                <w:color w:val="auto"/>
              </w:rPr>
            </w:pPr>
          </w:p>
        </w:tc>
        <w:tc>
          <w:tcPr>
            <w:tcW w:w="1340" w:type="dxa"/>
            <w:vAlign w:val="bottom"/>
            <w:tcBorders>
              <w:right w:val="single" w:sz="8" w:color="auto"/>
            </w:tcBorders>
            <w:shd w:val="clear" w:color="auto" w:fill="0070C0"/>
          </w:tcPr>
          <w:p>
            <w:pPr>
              <w:spacing w:after="0"/>
              <w:rPr>
                <w:sz w:val="17"/>
                <w:szCs w:val="17"/>
                <w:color w:val="auto"/>
              </w:rPr>
            </w:pPr>
          </w:p>
        </w:tc>
        <w:tc>
          <w:tcPr>
            <w:tcW w:w="1580" w:type="dxa"/>
            <w:vAlign w:val="bottom"/>
            <w:tcBorders>
              <w:right w:val="single" w:sz="8" w:color="auto"/>
            </w:tcBorders>
            <w:shd w:val="clear" w:color="auto" w:fill="0070C0"/>
          </w:tcPr>
          <w:p>
            <w:pPr>
              <w:spacing w:after="0"/>
              <w:rPr>
                <w:sz w:val="17"/>
                <w:szCs w:val="17"/>
                <w:color w:val="auto"/>
              </w:rPr>
            </w:pPr>
          </w:p>
        </w:tc>
        <w:tc>
          <w:tcPr>
            <w:tcW w:w="780" w:type="dxa"/>
            <w:vAlign w:val="bottom"/>
            <w:tcBorders>
              <w:right w:val="single" w:sz="8" w:color="auto"/>
            </w:tcBorders>
            <w:shd w:val="clear" w:color="auto" w:fill="0070C0"/>
          </w:tcPr>
          <w:p>
            <w:pPr>
              <w:spacing w:after="0"/>
              <w:rPr>
                <w:sz w:val="17"/>
                <w:szCs w:val="17"/>
                <w:color w:val="auto"/>
              </w:rPr>
            </w:pPr>
          </w:p>
        </w:tc>
        <w:tc>
          <w:tcPr>
            <w:tcW w:w="1000" w:type="dxa"/>
            <w:vAlign w:val="bottom"/>
            <w:tcBorders>
              <w:right w:val="single" w:sz="8" w:color="auto"/>
            </w:tcBorders>
            <w:shd w:val="clear" w:color="auto" w:fill="0070C0"/>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0070C0"/>
          </w:tcPr>
          <w:p>
            <w:pPr>
              <w:spacing w:after="0"/>
              <w:rPr>
                <w:sz w:val="9"/>
                <w:szCs w:val="9"/>
                <w:color w:val="auto"/>
              </w:rPr>
            </w:pPr>
          </w:p>
        </w:tc>
        <w:tc>
          <w:tcPr>
            <w:tcW w:w="1580" w:type="dxa"/>
            <w:vAlign w:val="bottom"/>
            <w:tcBorders>
              <w:bottom w:val="single" w:sz="8" w:color="auto"/>
              <w:right w:val="single" w:sz="8" w:color="auto"/>
            </w:tcBorders>
            <w:shd w:val="clear" w:color="auto" w:fill="0070C0"/>
          </w:tcPr>
          <w:p>
            <w:pPr>
              <w:spacing w:after="0"/>
              <w:rPr>
                <w:sz w:val="9"/>
                <w:szCs w:val="9"/>
                <w:color w:val="auto"/>
              </w:rPr>
            </w:pPr>
          </w:p>
        </w:tc>
        <w:tc>
          <w:tcPr>
            <w:tcW w:w="1460" w:type="dxa"/>
            <w:vAlign w:val="bottom"/>
            <w:tcBorders>
              <w:bottom w:val="single" w:sz="8" w:color="auto"/>
              <w:right w:val="single" w:sz="8" w:color="auto"/>
            </w:tcBorders>
            <w:shd w:val="clear" w:color="auto" w:fill="0070C0"/>
          </w:tcPr>
          <w:p>
            <w:pPr>
              <w:spacing w:after="0"/>
              <w:rPr>
                <w:sz w:val="9"/>
                <w:szCs w:val="9"/>
                <w:color w:val="auto"/>
              </w:rPr>
            </w:pPr>
          </w:p>
        </w:tc>
        <w:tc>
          <w:tcPr>
            <w:tcW w:w="1700" w:type="dxa"/>
            <w:vAlign w:val="bottom"/>
            <w:tcBorders>
              <w:bottom w:val="single" w:sz="8" w:color="auto"/>
              <w:right w:val="single" w:sz="8" w:color="auto"/>
            </w:tcBorders>
            <w:shd w:val="clear" w:color="auto" w:fill="0070C0"/>
          </w:tcPr>
          <w:p>
            <w:pPr>
              <w:spacing w:after="0"/>
              <w:rPr>
                <w:sz w:val="9"/>
                <w:szCs w:val="9"/>
                <w:color w:val="auto"/>
              </w:rPr>
            </w:pPr>
          </w:p>
        </w:tc>
        <w:tc>
          <w:tcPr>
            <w:tcW w:w="1340" w:type="dxa"/>
            <w:vAlign w:val="bottom"/>
            <w:tcBorders>
              <w:bottom w:val="single" w:sz="8" w:color="auto"/>
              <w:right w:val="single" w:sz="8" w:color="auto"/>
            </w:tcBorders>
            <w:shd w:val="clear" w:color="auto" w:fill="0070C0"/>
          </w:tcPr>
          <w:p>
            <w:pPr>
              <w:spacing w:after="0"/>
              <w:rPr>
                <w:sz w:val="9"/>
                <w:szCs w:val="9"/>
                <w:color w:val="auto"/>
              </w:rPr>
            </w:pPr>
          </w:p>
        </w:tc>
        <w:tc>
          <w:tcPr>
            <w:tcW w:w="1580" w:type="dxa"/>
            <w:vAlign w:val="bottom"/>
            <w:tcBorders>
              <w:bottom w:val="single" w:sz="8" w:color="auto"/>
              <w:right w:val="single" w:sz="8" w:color="auto"/>
            </w:tcBorders>
            <w:shd w:val="clear" w:color="auto" w:fill="0070C0"/>
          </w:tcPr>
          <w:p>
            <w:pPr>
              <w:spacing w:after="0"/>
              <w:rPr>
                <w:sz w:val="9"/>
                <w:szCs w:val="9"/>
                <w:color w:val="auto"/>
              </w:rPr>
            </w:pPr>
          </w:p>
        </w:tc>
        <w:tc>
          <w:tcPr>
            <w:tcW w:w="780" w:type="dxa"/>
            <w:vAlign w:val="bottom"/>
            <w:tcBorders>
              <w:bottom w:val="single" w:sz="8" w:color="auto"/>
              <w:right w:val="single" w:sz="8" w:color="auto"/>
            </w:tcBorders>
            <w:shd w:val="clear" w:color="auto" w:fill="0070C0"/>
          </w:tcPr>
          <w:p>
            <w:pPr>
              <w:spacing w:after="0"/>
              <w:rPr>
                <w:sz w:val="9"/>
                <w:szCs w:val="9"/>
                <w:color w:val="auto"/>
              </w:rPr>
            </w:pPr>
          </w:p>
        </w:tc>
        <w:tc>
          <w:tcPr>
            <w:tcW w:w="1000" w:type="dxa"/>
            <w:vAlign w:val="bottom"/>
            <w:tcBorders>
              <w:bottom w:val="single" w:sz="8" w:color="auto"/>
              <w:right w:val="single" w:sz="8" w:color="auto"/>
            </w:tcBorders>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Innovation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3-3 Management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Transformation of</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material issues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our Business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Model</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Transforming</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Financial education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 Innovation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203-1 Infrastructure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Transformation of</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5.4 - 9.1 -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and supported</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our Business</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5 - 9 - 11</w:t>
            </w: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9.4 - 11.2</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services investments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Model / Simplicity</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and Transparency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203: INDIRECT</w:t>
            </w: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that Generates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20" w:type="dxa"/>
            <w:vAlign w:val="bottom"/>
            <w:tcBorders>
              <w:left w:val="single" w:sz="8" w:color="auto"/>
              <w:right w:val="single" w:sz="8" w:color="auto"/>
            </w:tcBorders>
            <w:vMerge w:val="continue"/>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5"/>
                <w:szCs w:val="15"/>
                <w:color w:val="auto"/>
              </w:rPr>
              <w:t>Trust</w:t>
            </w:r>
          </w:p>
        </w:tc>
        <w:tc>
          <w:tcPr>
            <w:tcW w:w="170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20" w:type="dxa"/>
            <w:vAlign w:val="bottom"/>
            <w:tcBorders>
              <w:left w:val="single" w:sz="8" w:color="auto"/>
              <w:right w:val="single" w:sz="8" w:color="auto"/>
            </w:tcBorders>
          </w:tcPr>
          <w:p>
            <w:pPr>
              <w:ind w:left="60"/>
              <w:spacing w:after="0" w:line="119" w:lineRule="exact"/>
              <w:rPr>
                <w:sz w:val="20"/>
                <w:szCs w:val="20"/>
                <w:color w:val="auto"/>
              </w:rPr>
            </w:pPr>
            <w:r>
              <w:rPr>
                <w:rFonts w:ascii="Arial" w:cs="Arial" w:eastAsia="Arial" w:hAnsi="Arial"/>
                <w:sz w:val="13"/>
                <w:szCs w:val="13"/>
                <w:color w:val="auto"/>
              </w:rPr>
              <w:t>ECONOMIC IMPACTS</w:t>
            </w: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2016</w:t>
            </w: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Transforming</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Financial education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 Innovation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203-2 Significant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Transformation of</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1.2 - 1.4 -</w:t>
            </w: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indirect economic</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our Business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1 - 3 - 8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3.8 - 8.2 -</w:t>
            </w: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impacts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Model / Simplicity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8.3 - 8.5</w:t>
            </w: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and Transparency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that Generates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Trust</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0070C0"/>
          </w:tcPr>
          <w:p>
            <w:pPr>
              <w:ind w:left="60"/>
              <w:spacing w:after="0"/>
              <w:rPr>
                <w:sz w:val="20"/>
                <w:szCs w:val="20"/>
                <w:color w:val="auto"/>
              </w:rPr>
            </w:pPr>
            <w:r>
              <w:rPr>
                <w:rFonts w:ascii="Arial" w:cs="Arial" w:eastAsia="Arial" w:hAnsi="Arial"/>
                <w:sz w:val="15"/>
                <w:szCs w:val="15"/>
                <w:b w:val="1"/>
                <w:bCs w:val="1"/>
                <w:color w:val="auto"/>
              </w:rPr>
              <w:t>ANTI-CORRUPTION</w:t>
            </w:r>
          </w:p>
        </w:tc>
        <w:tc>
          <w:tcPr>
            <w:tcW w:w="1580" w:type="dxa"/>
            <w:vAlign w:val="bottom"/>
            <w:tcBorders>
              <w:right w:val="single" w:sz="8" w:color="auto"/>
            </w:tcBorders>
            <w:shd w:val="clear" w:color="auto" w:fill="0070C0"/>
          </w:tcPr>
          <w:p>
            <w:pPr>
              <w:spacing w:after="0"/>
              <w:rPr>
                <w:sz w:val="16"/>
                <w:szCs w:val="16"/>
                <w:color w:val="auto"/>
              </w:rPr>
            </w:pPr>
          </w:p>
        </w:tc>
        <w:tc>
          <w:tcPr>
            <w:tcW w:w="1460" w:type="dxa"/>
            <w:vAlign w:val="bottom"/>
            <w:tcBorders>
              <w:right w:val="single" w:sz="8" w:color="auto"/>
            </w:tcBorders>
            <w:shd w:val="clear" w:color="auto" w:fill="0070C0"/>
          </w:tcPr>
          <w:p>
            <w:pPr>
              <w:spacing w:after="0"/>
              <w:rPr>
                <w:sz w:val="16"/>
                <w:szCs w:val="16"/>
                <w:color w:val="auto"/>
              </w:rPr>
            </w:pPr>
          </w:p>
        </w:tc>
        <w:tc>
          <w:tcPr>
            <w:tcW w:w="1700" w:type="dxa"/>
            <w:vAlign w:val="bottom"/>
            <w:tcBorders>
              <w:right w:val="single" w:sz="8" w:color="auto"/>
            </w:tcBorders>
            <w:shd w:val="clear" w:color="auto" w:fill="0070C0"/>
          </w:tcPr>
          <w:p>
            <w:pPr>
              <w:spacing w:after="0"/>
              <w:rPr>
                <w:sz w:val="16"/>
                <w:szCs w:val="16"/>
                <w:color w:val="auto"/>
              </w:rPr>
            </w:pPr>
          </w:p>
        </w:tc>
        <w:tc>
          <w:tcPr>
            <w:tcW w:w="1340" w:type="dxa"/>
            <w:vAlign w:val="bottom"/>
            <w:tcBorders>
              <w:right w:val="single" w:sz="8" w:color="auto"/>
            </w:tcBorders>
            <w:shd w:val="clear" w:color="auto" w:fill="0070C0"/>
          </w:tcPr>
          <w:p>
            <w:pPr>
              <w:spacing w:after="0"/>
              <w:rPr>
                <w:sz w:val="16"/>
                <w:szCs w:val="16"/>
                <w:color w:val="auto"/>
              </w:rPr>
            </w:pPr>
          </w:p>
        </w:tc>
        <w:tc>
          <w:tcPr>
            <w:tcW w:w="1580" w:type="dxa"/>
            <w:vAlign w:val="bottom"/>
            <w:tcBorders>
              <w:right w:val="single" w:sz="8" w:color="auto"/>
            </w:tcBorders>
            <w:shd w:val="clear" w:color="auto" w:fill="0070C0"/>
          </w:tcPr>
          <w:p>
            <w:pPr>
              <w:spacing w:after="0"/>
              <w:rPr>
                <w:sz w:val="16"/>
                <w:szCs w:val="16"/>
                <w:color w:val="auto"/>
              </w:rPr>
            </w:pPr>
          </w:p>
        </w:tc>
        <w:tc>
          <w:tcPr>
            <w:tcW w:w="780" w:type="dxa"/>
            <w:vAlign w:val="bottom"/>
            <w:tcBorders>
              <w:right w:val="single" w:sz="8" w:color="auto"/>
            </w:tcBorders>
            <w:shd w:val="clear" w:color="auto" w:fill="0070C0"/>
          </w:tcPr>
          <w:p>
            <w:pPr>
              <w:spacing w:after="0"/>
              <w:rPr>
                <w:sz w:val="16"/>
                <w:szCs w:val="16"/>
                <w:color w:val="auto"/>
              </w:rPr>
            </w:pPr>
          </w:p>
        </w:tc>
        <w:tc>
          <w:tcPr>
            <w:tcW w:w="1000" w:type="dxa"/>
            <w:vAlign w:val="bottom"/>
            <w:tcBorders>
              <w:right w:val="single" w:sz="8" w:color="auto"/>
            </w:tcBorders>
            <w:shd w:val="clear" w:color="auto" w:fill="0070C0"/>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0070C0"/>
          </w:tcPr>
          <w:p>
            <w:pPr>
              <w:spacing w:after="0"/>
              <w:rPr>
                <w:sz w:val="7"/>
                <w:szCs w:val="7"/>
                <w:color w:val="auto"/>
              </w:rPr>
            </w:pPr>
          </w:p>
        </w:tc>
        <w:tc>
          <w:tcPr>
            <w:tcW w:w="1580" w:type="dxa"/>
            <w:vAlign w:val="bottom"/>
            <w:tcBorders>
              <w:bottom w:val="single" w:sz="8" w:color="auto"/>
              <w:right w:val="single" w:sz="8" w:color="auto"/>
            </w:tcBorders>
            <w:shd w:val="clear" w:color="auto" w:fill="0070C0"/>
          </w:tcPr>
          <w:p>
            <w:pPr>
              <w:spacing w:after="0"/>
              <w:rPr>
                <w:sz w:val="7"/>
                <w:szCs w:val="7"/>
                <w:color w:val="auto"/>
              </w:rPr>
            </w:pPr>
          </w:p>
        </w:tc>
        <w:tc>
          <w:tcPr>
            <w:tcW w:w="1460" w:type="dxa"/>
            <w:vAlign w:val="bottom"/>
            <w:tcBorders>
              <w:bottom w:val="single" w:sz="8" w:color="auto"/>
              <w:right w:val="single" w:sz="8" w:color="auto"/>
            </w:tcBorders>
            <w:shd w:val="clear" w:color="auto" w:fill="0070C0"/>
          </w:tcPr>
          <w:p>
            <w:pPr>
              <w:spacing w:after="0"/>
              <w:rPr>
                <w:sz w:val="7"/>
                <w:szCs w:val="7"/>
                <w:color w:val="auto"/>
              </w:rPr>
            </w:pPr>
          </w:p>
        </w:tc>
        <w:tc>
          <w:tcPr>
            <w:tcW w:w="1700" w:type="dxa"/>
            <w:vAlign w:val="bottom"/>
            <w:tcBorders>
              <w:bottom w:val="single" w:sz="8" w:color="auto"/>
              <w:right w:val="single" w:sz="8" w:color="auto"/>
            </w:tcBorders>
            <w:shd w:val="clear" w:color="auto" w:fill="0070C0"/>
          </w:tcPr>
          <w:p>
            <w:pPr>
              <w:spacing w:after="0"/>
              <w:rPr>
                <w:sz w:val="7"/>
                <w:szCs w:val="7"/>
                <w:color w:val="auto"/>
              </w:rPr>
            </w:pPr>
          </w:p>
        </w:tc>
        <w:tc>
          <w:tcPr>
            <w:tcW w:w="1340" w:type="dxa"/>
            <w:vAlign w:val="bottom"/>
            <w:tcBorders>
              <w:bottom w:val="single" w:sz="8" w:color="auto"/>
              <w:right w:val="single" w:sz="8" w:color="auto"/>
            </w:tcBorders>
            <w:shd w:val="clear" w:color="auto" w:fill="0070C0"/>
          </w:tcPr>
          <w:p>
            <w:pPr>
              <w:spacing w:after="0"/>
              <w:rPr>
                <w:sz w:val="7"/>
                <w:szCs w:val="7"/>
                <w:color w:val="auto"/>
              </w:rPr>
            </w:pPr>
          </w:p>
        </w:tc>
        <w:tc>
          <w:tcPr>
            <w:tcW w:w="1580" w:type="dxa"/>
            <w:vAlign w:val="bottom"/>
            <w:tcBorders>
              <w:bottom w:val="single" w:sz="8" w:color="auto"/>
              <w:right w:val="single" w:sz="8" w:color="auto"/>
            </w:tcBorders>
            <w:shd w:val="clear" w:color="auto" w:fill="0070C0"/>
          </w:tcPr>
          <w:p>
            <w:pPr>
              <w:spacing w:after="0"/>
              <w:rPr>
                <w:sz w:val="7"/>
                <w:szCs w:val="7"/>
                <w:color w:val="auto"/>
              </w:rPr>
            </w:pPr>
          </w:p>
        </w:tc>
        <w:tc>
          <w:tcPr>
            <w:tcW w:w="780" w:type="dxa"/>
            <w:vAlign w:val="bottom"/>
            <w:tcBorders>
              <w:bottom w:val="single" w:sz="8" w:color="auto"/>
              <w:right w:val="single" w:sz="8" w:color="auto"/>
            </w:tcBorders>
            <w:shd w:val="clear" w:color="auto" w:fill="0070C0"/>
          </w:tcPr>
          <w:p>
            <w:pPr>
              <w:spacing w:after="0"/>
              <w:rPr>
                <w:sz w:val="7"/>
                <w:szCs w:val="7"/>
                <w:color w:val="auto"/>
              </w:rPr>
            </w:pPr>
          </w:p>
        </w:tc>
        <w:tc>
          <w:tcPr>
            <w:tcW w:w="1000" w:type="dxa"/>
            <w:vAlign w:val="bottom"/>
            <w:tcBorders>
              <w:bottom w:val="single" w:sz="8" w:color="auto"/>
              <w:right w:val="single" w:sz="8" w:color="auto"/>
            </w:tcBorders>
            <w:shd w:val="clear" w:color="auto" w:fill="0070C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3-3 Material Issue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205-1 Operations</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assessed for risks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related to corruption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205: ANTI-</w:t>
            </w: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ind w:left="40"/>
              <w:spacing w:after="0" w:line="164" w:lineRule="exact"/>
              <w:rPr>
                <w:sz w:val="20"/>
                <w:szCs w:val="20"/>
                <w:color w:val="auto"/>
              </w:rPr>
            </w:pPr>
            <w:r>
              <w:rPr>
                <w:rFonts w:ascii="Arial" w:cs="Arial" w:eastAsia="Arial" w:hAnsi="Arial"/>
                <w:sz w:val="15"/>
                <w:szCs w:val="15"/>
                <w:color w:val="auto"/>
              </w:rPr>
              <w:t>205-2</w:t>
            </w: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CORRUPTION 2016</w:t>
            </w: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82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Communication and</w:t>
            </w:r>
          </w:p>
        </w:tc>
        <w:tc>
          <w:tcPr>
            <w:tcW w:w="1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820" w:type="dxa"/>
            <w:vAlign w:val="bottom"/>
            <w:tcBorders>
              <w:left w:val="single" w:sz="8" w:color="auto"/>
              <w:right w:val="single" w:sz="8" w:color="auto"/>
            </w:tcBorders>
          </w:tcPr>
          <w:p>
            <w:pPr>
              <w:spacing w:after="0"/>
              <w:rPr>
                <w:sz w:val="4"/>
                <w:szCs w:val="4"/>
                <w:color w:val="auto"/>
              </w:rPr>
            </w:pPr>
          </w:p>
        </w:tc>
        <w:tc>
          <w:tcPr>
            <w:tcW w:w="1580" w:type="dxa"/>
            <w:vAlign w:val="bottom"/>
            <w:tcBorders>
              <w:right w:val="single" w:sz="8" w:color="auto"/>
            </w:tcBorders>
            <w:vMerge w:val="continue"/>
          </w:tcPr>
          <w:p>
            <w:pPr>
              <w:spacing w:after="0"/>
              <w:rPr>
                <w:sz w:val="4"/>
                <w:szCs w:val="4"/>
                <w:color w:val="auto"/>
              </w:rPr>
            </w:pPr>
          </w:p>
        </w:tc>
        <w:tc>
          <w:tcPr>
            <w:tcW w:w="146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education regarding</w:t>
            </w: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anti-corruption</w:t>
            </w:r>
          </w:p>
        </w:tc>
        <w:tc>
          <w:tcPr>
            <w:tcW w:w="1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policies and</w:t>
            </w: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procedures</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38"/>
        </w:trPr>
        <w:tc>
          <w:tcPr>
            <w:tcW w:w="1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183" w:name="page184"/>
    <w:bookmarkEnd w:id="1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5"/>
                <w:szCs w:val="15"/>
                <w:color w:val="auto"/>
              </w:rPr>
              <w:t>205-3 Confirmed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cases of corruption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and measures taken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0070C0"/>
          </w:tcPr>
          <w:p>
            <w:pPr>
              <w:ind w:left="60"/>
              <w:spacing w:after="0" w:line="146" w:lineRule="exact"/>
              <w:rPr>
                <w:sz w:val="20"/>
                <w:szCs w:val="20"/>
                <w:color w:val="auto"/>
              </w:rPr>
            </w:pPr>
            <w:r>
              <w:rPr>
                <w:rFonts w:ascii="Arial" w:cs="Arial" w:eastAsia="Arial" w:hAnsi="Arial"/>
                <w:sz w:val="15"/>
                <w:szCs w:val="15"/>
                <w:b w:val="1"/>
                <w:bCs w:val="1"/>
                <w:color w:val="auto"/>
              </w:rPr>
              <w:t>DISLOYAL</w:t>
            </w:r>
          </w:p>
        </w:tc>
        <w:tc>
          <w:tcPr>
            <w:tcW w:w="1580" w:type="dxa"/>
            <w:vAlign w:val="bottom"/>
            <w:tcBorders>
              <w:right w:val="single" w:sz="8" w:color="auto"/>
            </w:tcBorders>
            <w:shd w:val="clear" w:color="auto" w:fill="0070C0"/>
          </w:tcPr>
          <w:p>
            <w:pPr>
              <w:spacing w:after="0"/>
              <w:rPr>
                <w:sz w:val="12"/>
                <w:szCs w:val="12"/>
                <w:color w:val="auto"/>
              </w:rPr>
            </w:pPr>
          </w:p>
        </w:tc>
        <w:tc>
          <w:tcPr>
            <w:tcW w:w="1460" w:type="dxa"/>
            <w:vAlign w:val="bottom"/>
            <w:tcBorders>
              <w:right w:val="single" w:sz="8" w:color="auto"/>
            </w:tcBorders>
            <w:shd w:val="clear" w:color="auto" w:fill="0070C0"/>
          </w:tcPr>
          <w:p>
            <w:pPr>
              <w:spacing w:after="0"/>
              <w:rPr>
                <w:sz w:val="12"/>
                <w:szCs w:val="12"/>
                <w:color w:val="auto"/>
              </w:rPr>
            </w:pPr>
          </w:p>
        </w:tc>
        <w:tc>
          <w:tcPr>
            <w:tcW w:w="1700" w:type="dxa"/>
            <w:vAlign w:val="bottom"/>
            <w:tcBorders>
              <w:right w:val="single" w:sz="8" w:color="auto"/>
            </w:tcBorders>
            <w:shd w:val="clear" w:color="auto" w:fill="0070C0"/>
          </w:tcPr>
          <w:p>
            <w:pPr>
              <w:spacing w:after="0"/>
              <w:rPr>
                <w:sz w:val="12"/>
                <w:szCs w:val="12"/>
                <w:color w:val="auto"/>
              </w:rPr>
            </w:pPr>
          </w:p>
        </w:tc>
        <w:tc>
          <w:tcPr>
            <w:tcW w:w="1340" w:type="dxa"/>
            <w:vAlign w:val="bottom"/>
            <w:tcBorders>
              <w:right w:val="single" w:sz="8" w:color="auto"/>
            </w:tcBorders>
            <w:shd w:val="clear" w:color="auto" w:fill="0070C0"/>
          </w:tcPr>
          <w:p>
            <w:pPr>
              <w:spacing w:after="0"/>
              <w:rPr>
                <w:sz w:val="12"/>
                <w:szCs w:val="12"/>
                <w:color w:val="auto"/>
              </w:rPr>
            </w:pPr>
          </w:p>
        </w:tc>
        <w:tc>
          <w:tcPr>
            <w:tcW w:w="1580" w:type="dxa"/>
            <w:vAlign w:val="bottom"/>
            <w:tcBorders>
              <w:right w:val="single" w:sz="8" w:color="auto"/>
            </w:tcBorders>
            <w:shd w:val="clear" w:color="auto" w:fill="0070C0"/>
          </w:tcPr>
          <w:p>
            <w:pPr>
              <w:spacing w:after="0"/>
              <w:rPr>
                <w:sz w:val="12"/>
                <w:szCs w:val="12"/>
                <w:color w:val="auto"/>
              </w:rPr>
            </w:pPr>
          </w:p>
        </w:tc>
        <w:tc>
          <w:tcPr>
            <w:tcW w:w="780" w:type="dxa"/>
            <w:vAlign w:val="bottom"/>
            <w:tcBorders>
              <w:right w:val="single" w:sz="8" w:color="auto"/>
            </w:tcBorders>
            <w:shd w:val="clear" w:color="auto" w:fill="0070C0"/>
          </w:tcPr>
          <w:p>
            <w:pPr>
              <w:spacing w:after="0"/>
              <w:rPr>
                <w:sz w:val="12"/>
                <w:szCs w:val="12"/>
                <w:color w:val="auto"/>
              </w:rPr>
            </w:pPr>
          </w:p>
        </w:tc>
        <w:tc>
          <w:tcPr>
            <w:tcW w:w="1000" w:type="dxa"/>
            <w:vAlign w:val="bottom"/>
            <w:tcBorders>
              <w:right w:val="single" w:sz="8" w:color="auto"/>
            </w:tcBorders>
            <w:shd w:val="clear" w:color="auto" w:fill="0070C0"/>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0070C0"/>
          </w:tcPr>
          <w:p>
            <w:pPr>
              <w:ind w:left="60"/>
              <w:spacing w:after="0"/>
              <w:rPr>
                <w:sz w:val="20"/>
                <w:szCs w:val="20"/>
                <w:color w:val="auto"/>
              </w:rPr>
            </w:pPr>
            <w:r>
              <w:rPr>
                <w:rFonts w:ascii="Arial" w:cs="Arial" w:eastAsia="Arial" w:hAnsi="Arial"/>
                <w:sz w:val="15"/>
                <w:szCs w:val="15"/>
                <w:b w:val="1"/>
                <w:bCs w:val="1"/>
                <w:color w:val="auto"/>
              </w:rPr>
              <w:t>COMPETITION</w:t>
            </w:r>
          </w:p>
        </w:tc>
        <w:tc>
          <w:tcPr>
            <w:tcW w:w="1580" w:type="dxa"/>
            <w:vAlign w:val="bottom"/>
            <w:tcBorders>
              <w:right w:val="single" w:sz="8" w:color="auto"/>
            </w:tcBorders>
            <w:shd w:val="clear" w:color="auto" w:fill="0070C0"/>
          </w:tcPr>
          <w:p>
            <w:pPr>
              <w:spacing w:after="0"/>
              <w:rPr>
                <w:sz w:val="17"/>
                <w:szCs w:val="17"/>
                <w:color w:val="auto"/>
              </w:rPr>
            </w:pPr>
          </w:p>
        </w:tc>
        <w:tc>
          <w:tcPr>
            <w:tcW w:w="1460" w:type="dxa"/>
            <w:vAlign w:val="bottom"/>
            <w:tcBorders>
              <w:right w:val="single" w:sz="8" w:color="auto"/>
            </w:tcBorders>
            <w:shd w:val="clear" w:color="auto" w:fill="0070C0"/>
          </w:tcPr>
          <w:p>
            <w:pPr>
              <w:spacing w:after="0"/>
              <w:rPr>
                <w:sz w:val="17"/>
                <w:szCs w:val="17"/>
                <w:color w:val="auto"/>
              </w:rPr>
            </w:pPr>
          </w:p>
        </w:tc>
        <w:tc>
          <w:tcPr>
            <w:tcW w:w="1700" w:type="dxa"/>
            <w:vAlign w:val="bottom"/>
            <w:tcBorders>
              <w:right w:val="single" w:sz="8" w:color="auto"/>
            </w:tcBorders>
            <w:shd w:val="clear" w:color="auto" w:fill="0070C0"/>
          </w:tcPr>
          <w:p>
            <w:pPr>
              <w:spacing w:after="0"/>
              <w:rPr>
                <w:sz w:val="17"/>
                <w:szCs w:val="17"/>
                <w:color w:val="auto"/>
              </w:rPr>
            </w:pPr>
          </w:p>
        </w:tc>
        <w:tc>
          <w:tcPr>
            <w:tcW w:w="1340" w:type="dxa"/>
            <w:vAlign w:val="bottom"/>
            <w:tcBorders>
              <w:right w:val="single" w:sz="8" w:color="auto"/>
            </w:tcBorders>
            <w:shd w:val="clear" w:color="auto" w:fill="0070C0"/>
          </w:tcPr>
          <w:p>
            <w:pPr>
              <w:spacing w:after="0"/>
              <w:rPr>
                <w:sz w:val="17"/>
                <w:szCs w:val="17"/>
                <w:color w:val="auto"/>
              </w:rPr>
            </w:pPr>
          </w:p>
        </w:tc>
        <w:tc>
          <w:tcPr>
            <w:tcW w:w="1580" w:type="dxa"/>
            <w:vAlign w:val="bottom"/>
            <w:tcBorders>
              <w:right w:val="single" w:sz="8" w:color="auto"/>
            </w:tcBorders>
            <w:shd w:val="clear" w:color="auto" w:fill="0070C0"/>
          </w:tcPr>
          <w:p>
            <w:pPr>
              <w:spacing w:after="0"/>
              <w:rPr>
                <w:sz w:val="17"/>
                <w:szCs w:val="17"/>
                <w:color w:val="auto"/>
              </w:rPr>
            </w:pPr>
          </w:p>
        </w:tc>
        <w:tc>
          <w:tcPr>
            <w:tcW w:w="780" w:type="dxa"/>
            <w:vAlign w:val="bottom"/>
            <w:tcBorders>
              <w:right w:val="single" w:sz="8" w:color="auto"/>
            </w:tcBorders>
            <w:shd w:val="clear" w:color="auto" w:fill="0070C0"/>
          </w:tcPr>
          <w:p>
            <w:pPr>
              <w:spacing w:after="0"/>
              <w:rPr>
                <w:sz w:val="17"/>
                <w:szCs w:val="17"/>
                <w:color w:val="auto"/>
              </w:rPr>
            </w:pPr>
          </w:p>
        </w:tc>
        <w:tc>
          <w:tcPr>
            <w:tcW w:w="1000" w:type="dxa"/>
            <w:vAlign w:val="bottom"/>
            <w:tcBorders>
              <w:right w:val="single" w:sz="8" w:color="auto"/>
            </w:tcBorders>
            <w:shd w:val="clear" w:color="auto" w:fill="0070C0"/>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0070C0"/>
          </w:tcPr>
          <w:p>
            <w:pPr>
              <w:spacing w:after="0"/>
              <w:rPr>
                <w:sz w:val="9"/>
                <w:szCs w:val="9"/>
                <w:color w:val="auto"/>
              </w:rPr>
            </w:pPr>
          </w:p>
        </w:tc>
        <w:tc>
          <w:tcPr>
            <w:tcW w:w="1580" w:type="dxa"/>
            <w:vAlign w:val="bottom"/>
            <w:tcBorders>
              <w:bottom w:val="single" w:sz="8" w:color="auto"/>
              <w:right w:val="single" w:sz="8" w:color="auto"/>
            </w:tcBorders>
            <w:shd w:val="clear" w:color="auto" w:fill="0070C0"/>
          </w:tcPr>
          <w:p>
            <w:pPr>
              <w:spacing w:after="0"/>
              <w:rPr>
                <w:sz w:val="9"/>
                <w:szCs w:val="9"/>
                <w:color w:val="auto"/>
              </w:rPr>
            </w:pPr>
          </w:p>
        </w:tc>
        <w:tc>
          <w:tcPr>
            <w:tcW w:w="1460" w:type="dxa"/>
            <w:vAlign w:val="bottom"/>
            <w:tcBorders>
              <w:bottom w:val="single" w:sz="8" w:color="auto"/>
              <w:right w:val="single" w:sz="8" w:color="auto"/>
            </w:tcBorders>
            <w:shd w:val="clear" w:color="auto" w:fill="0070C0"/>
          </w:tcPr>
          <w:p>
            <w:pPr>
              <w:spacing w:after="0"/>
              <w:rPr>
                <w:sz w:val="9"/>
                <w:szCs w:val="9"/>
                <w:color w:val="auto"/>
              </w:rPr>
            </w:pPr>
          </w:p>
        </w:tc>
        <w:tc>
          <w:tcPr>
            <w:tcW w:w="1700" w:type="dxa"/>
            <w:vAlign w:val="bottom"/>
            <w:tcBorders>
              <w:bottom w:val="single" w:sz="8" w:color="auto"/>
              <w:right w:val="single" w:sz="8" w:color="auto"/>
            </w:tcBorders>
            <w:shd w:val="clear" w:color="auto" w:fill="0070C0"/>
          </w:tcPr>
          <w:p>
            <w:pPr>
              <w:spacing w:after="0"/>
              <w:rPr>
                <w:sz w:val="9"/>
                <w:szCs w:val="9"/>
                <w:color w:val="auto"/>
              </w:rPr>
            </w:pPr>
          </w:p>
        </w:tc>
        <w:tc>
          <w:tcPr>
            <w:tcW w:w="1340" w:type="dxa"/>
            <w:vAlign w:val="bottom"/>
            <w:tcBorders>
              <w:bottom w:val="single" w:sz="8" w:color="auto"/>
              <w:right w:val="single" w:sz="8" w:color="auto"/>
            </w:tcBorders>
            <w:shd w:val="clear" w:color="auto" w:fill="0070C0"/>
          </w:tcPr>
          <w:p>
            <w:pPr>
              <w:spacing w:after="0"/>
              <w:rPr>
                <w:sz w:val="9"/>
                <w:szCs w:val="9"/>
                <w:color w:val="auto"/>
              </w:rPr>
            </w:pPr>
          </w:p>
        </w:tc>
        <w:tc>
          <w:tcPr>
            <w:tcW w:w="1580" w:type="dxa"/>
            <w:vAlign w:val="bottom"/>
            <w:tcBorders>
              <w:bottom w:val="single" w:sz="8" w:color="auto"/>
              <w:right w:val="single" w:sz="8" w:color="auto"/>
            </w:tcBorders>
            <w:shd w:val="clear" w:color="auto" w:fill="0070C0"/>
          </w:tcPr>
          <w:p>
            <w:pPr>
              <w:spacing w:after="0"/>
              <w:rPr>
                <w:sz w:val="9"/>
                <w:szCs w:val="9"/>
                <w:color w:val="auto"/>
              </w:rPr>
            </w:pPr>
          </w:p>
        </w:tc>
        <w:tc>
          <w:tcPr>
            <w:tcW w:w="780" w:type="dxa"/>
            <w:vAlign w:val="bottom"/>
            <w:tcBorders>
              <w:bottom w:val="single" w:sz="8" w:color="auto"/>
              <w:right w:val="single" w:sz="8" w:color="auto"/>
            </w:tcBorders>
            <w:shd w:val="clear" w:color="auto" w:fill="0070C0"/>
          </w:tcPr>
          <w:p>
            <w:pPr>
              <w:spacing w:after="0"/>
              <w:rPr>
                <w:sz w:val="9"/>
                <w:szCs w:val="9"/>
                <w:color w:val="auto"/>
              </w:rPr>
            </w:pPr>
          </w:p>
        </w:tc>
        <w:tc>
          <w:tcPr>
            <w:tcW w:w="1000" w:type="dxa"/>
            <w:vAlign w:val="bottom"/>
            <w:tcBorders>
              <w:bottom w:val="single" w:sz="8" w:color="auto"/>
              <w:right w:val="single" w:sz="8" w:color="auto"/>
            </w:tcBorders>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3-3 Management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Material Issues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206-1 Legal actions</w:t>
            </w: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related to disloyal</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206: DISLOYAL</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competitions and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Ethics / 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COMPETITION 2016</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monopolistic</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practices that violate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Policies</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free competition</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EMPLOYMENT</w:t>
            </w:r>
          </w:p>
        </w:tc>
        <w:tc>
          <w:tcPr>
            <w:tcW w:w="1580" w:type="dxa"/>
            <w:vAlign w:val="bottom"/>
            <w:tcBorders>
              <w:right w:val="single" w:sz="8" w:color="auto"/>
            </w:tcBorders>
            <w:shd w:val="clear" w:color="auto" w:fill="FFC000"/>
          </w:tcPr>
          <w:p>
            <w:pPr>
              <w:spacing w:after="0"/>
              <w:rPr>
                <w:sz w:val="16"/>
                <w:szCs w:val="16"/>
                <w:color w:val="auto"/>
              </w:rPr>
            </w:pPr>
          </w:p>
        </w:tc>
        <w:tc>
          <w:tcPr>
            <w:tcW w:w="1460" w:type="dxa"/>
            <w:vAlign w:val="bottom"/>
            <w:tcBorders>
              <w:right w:val="single" w:sz="8" w:color="auto"/>
            </w:tcBorders>
            <w:shd w:val="clear" w:color="auto" w:fill="FFC000"/>
          </w:tcPr>
          <w:p>
            <w:pPr>
              <w:spacing w:after="0"/>
              <w:rPr>
                <w:sz w:val="16"/>
                <w:szCs w:val="16"/>
                <w:color w:val="auto"/>
              </w:rPr>
            </w:pPr>
          </w:p>
        </w:tc>
        <w:tc>
          <w:tcPr>
            <w:tcW w:w="1700" w:type="dxa"/>
            <w:vAlign w:val="bottom"/>
            <w:tcBorders>
              <w:right w:val="single" w:sz="8" w:color="auto"/>
            </w:tcBorders>
            <w:shd w:val="clear" w:color="auto" w:fill="FFC000"/>
          </w:tcPr>
          <w:p>
            <w:pPr>
              <w:spacing w:after="0"/>
              <w:rPr>
                <w:sz w:val="16"/>
                <w:szCs w:val="16"/>
                <w:color w:val="auto"/>
              </w:rPr>
            </w:pPr>
          </w:p>
        </w:tc>
        <w:tc>
          <w:tcPr>
            <w:tcW w:w="1340" w:type="dxa"/>
            <w:vAlign w:val="bottom"/>
            <w:tcBorders>
              <w:right w:val="single" w:sz="8" w:color="auto"/>
            </w:tcBorders>
            <w:shd w:val="clear" w:color="auto" w:fill="FFC000"/>
          </w:tcPr>
          <w:p>
            <w:pPr>
              <w:spacing w:after="0"/>
              <w:rPr>
                <w:sz w:val="16"/>
                <w:szCs w:val="16"/>
                <w:color w:val="auto"/>
              </w:rPr>
            </w:pPr>
          </w:p>
        </w:tc>
        <w:tc>
          <w:tcPr>
            <w:tcW w:w="1580" w:type="dxa"/>
            <w:vAlign w:val="bottom"/>
            <w:tcBorders>
              <w:right w:val="single" w:sz="8" w:color="auto"/>
            </w:tcBorders>
            <w:shd w:val="clear" w:color="auto" w:fill="FFC000"/>
          </w:tcPr>
          <w:p>
            <w:pPr>
              <w:spacing w:after="0"/>
              <w:rPr>
                <w:sz w:val="16"/>
                <w:szCs w:val="16"/>
                <w:color w:val="auto"/>
              </w:rPr>
            </w:pPr>
          </w:p>
        </w:tc>
        <w:tc>
          <w:tcPr>
            <w:tcW w:w="780" w:type="dxa"/>
            <w:vAlign w:val="bottom"/>
            <w:tcBorders>
              <w:right w:val="single" w:sz="8" w:color="auto"/>
            </w:tcBorders>
            <w:shd w:val="clear" w:color="auto" w:fill="FFC000"/>
          </w:tcPr>
          <w:p>
            <w:pPr>
              <w:spacing w:after="0"/>
              <w:rPr>
                <w:sz w:val="16"/>
                <w:szCs w:val="16"/>
                <w:color w:val="auto"/>
              </w:rPr>
            </w:pPr>
          </w:p>
        </w:tc>
        <w:tc>
          <w:tcPr>
            <w:tcW w:w="1000" w:type="dxa"/>
            <w:vAlign w:val="bottom"/>
            <w:tcBorders>
              <w:right w:val="single" w:sz="8" w:color="auto"/>
            </w:tcBorders>
            <w:shd w:val="clear" w:color="auto" w:fill="FFC000"/>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1460" w:type="dxa"/>
            <w:vAlign w:val="bottom"/>
            <w:tcBorders>
              <w:bottom w:val="single" w:sz="8" w:color="auto"/>
              <w:right w:val="single" w:sz="8" w:color="auto"/>
            </w:tcBorders>
            <w:shd w:val="clear" w:color="auto" w:fill="FFC000"/>
          </w:tcPr>
          <w:p>
            <w:pPr>
              <w:spacing w:after="0"/>
              <w:rPr>
                <w:sz w:val="7"/>
                <w:szCs w:val="7"/>
                <w:color w:val="auto"/>
              </w:rPr>
            </w:pPr>
          </w:p>
        </w:tc>
        <w:tc>
          <w:tcPr>
            <w:tcW w:w="1700" w:type="dxa"/>
            <w:vAlign w:val="bottom"/>
            <w:tcBorders>
              <w:bottom w:val="single" w:sz="8" w:color="auto"/>
              <w:right w:val="single" w:sz="8" w:color="auto"/>
            </w:tcBorders>
            <w:shd w:val="clear" w:color="auto" w:fill="FFC000"/>
          </w:tcPr>
          <w:p>
            <w:pPr>
              <w:spacing w:after="0"/>
              <w:rPr>
                <w:sz w:val="7"/>
                <w:szCs w:val="7"/>
                <w:color w:val="auto"/>
              </w:rPr>
            </w:pPr>
          </w:p>
        </w:tc>
        <w:tc>
          <w:tcPr>
            <w:tcW w:w="1340" w:type="dxa"/>
            <w:vAlign w:val="bottom"/>
            <w:tcBorders>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780" w:type="dxa"/>
            <w:vAlign w:val="bottom"/>
            <w:tcBorders>
              <w:bottom w:val="single" w:sz="8" w:color="auto"/>
              <w:right w:val="single" w:sz="8" w:color="auto"/>
            </w:tcBorders>
            <w:shd w:val="clear" w:color="auto" w:fill="FFC000"/>
          </w:tcPr>
          <w:p>
            <w:pPr>
              <w:spacing w:after="0"/>
              <w:rPr>
                <w:sz w:val="7"/>
                <w:szCs w:val="7"/>
                <w:color w:val="auto"/>
              </w:rPr>
            </w:pPr>
          </w:p>
        </w:tc>
        <w:tc>
          <w:tcPr>
            <w:tcW w:w="1000" w:type="dxa"/>
            <w:vAlign w:val="bottom"/>
            <w:tcBorders>
              <w:bottom w:val="single" w:sz="8" w:color="auto"/>
              <w:right w:val="single" w:sz="8" w:color="auto"/>
            </w:tcBorders>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3-3 Management of</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Material Issues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401-1 New hires of</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5.1 - 8.5 -</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and turnover of</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5 - 8 - 10</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 / Our</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8.6 - 10.3</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personnel</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Employees Annex</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401-2 Benefits for</w:t>
            </w: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401: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full-time employees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EMPLOYMENT 2016</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that are not given to</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3.2 - 5.4 -</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2 - 5 - 8</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part-time or</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temporary</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employees</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401-3 Parental</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Our Employees</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5 - 8</w:t>
            </w:r>
          </w:p>
        </w:tc>
        <w:tc>
          <w:tcPr>
            <w:tcW w:w="10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5.1 - 5.4 -</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Leave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Annex</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FFC000"/>
          </w:tcPr>
          <w:p>
            <w:pPr>
              <w:ind w:left="60"/>
              <w:spacing w:after="0" w:line="146" w:lineRule="exact"/>
              <w:rPr>
                <w:sz w:val="20"/>
                <w:szCs w:val="20"/>
                <w:color w:val="auto"/>
              </w:rPr>
            </w:pPr>
            <w:r>
              <w:rPr>
                <w:rFonts w:ascii="Arial" w:cs="Arial" w:eastAsia="Arial" w:hAnsi="Arial"/>
                <w:sz w:val="15"/>
                <w:szCs w:val="15"/>
                <w:b w:val="1"/>
                <w:bCs w:val="1"/>
                <w:color w:val="auto"/>
              </w:rPr>
              <w:t>Education and</w:t>
            </w:r>
          </w:p>
        </w:tc>
        <w:tc>
          <w:tcPr>
            <w:tcW w:w="1580" w:type="dxa"/>
            <w:vAlign w:val="bottom"/>
            <w:tcBorders>
              <w:right w:val="single" w:sz="8" w:color="auto"/>
            </w:tcBorders>
            <w:shd w:val="clear" w:color="auto" w:fill="FFC000"/>
          </w:tcPr>
          <w:p>
            <w:pPr>
              <w:spacing w:after="0"/>
              <w:rPr>
                <w:sz w:val="12"/>
                <w:szCs w:val="12"/>
                <w:color w:val="auto"/>
              </w:rPr>
            </w:pPr>
          </w:p>
        </w:tc>
        <w:tc>
          <w:tcPr>
            <w:tcW w:w="1460" w:type="dxa"/>
            <w:vAlign w:val="bottom"/>
            <w:tcBorders>
              <w:right w:val="single" w:sz="8" w:color="auto"/>
            </w:tcBorders>
            <w:shd w:val="clear" w:color="auto" w:fill="FFC000"/>
          </w:tcPr>
          <w:p>
            <w:pPr>
              <w:spacing w:after="0"/>
              <w:rPr>
                <w:sz w:val="12"/>
                <w:szCs w:val="12"/>
                <w:color w:val="auto"/>
              </w:rPr>
            </w:pPr>
          </w:p>
        </w:tc>
        <w:tc>
          <w:tcPr>
            <w:tcW w:w="1700" w:type="dxa"/>
            <w:vAlign w:val="bottom"/>
            <w:tcBorders>
              <w:right w:val="single" w:sz="8" w:color="auto"/>
            </w:tcBorders>
            <w:shd w:val="clear" w:color="auto" w:fill="FFC000"/>
          </w:tcPr>
          <w:p>
            <w:pPr>
              <w:spacing w:after="0"/>
              <w:rPr>
                <w:sz w:val="12"/>
                <w:szCs w:val="12"/>
                <w:color w:val="auto"/>
              </w:rPr>
            </w:pPr>
          </w:p>
        </w:tc>
        <w:tc>
          <w:tcPr>
            <w:tcW w:w="1340" w:type="dxa"/>
            <w:vAlign w:val="bottom"/>
            <w:tcBorders>
              <w:right w:val="single" w:sz="8" w:color="auto"/>
            </w:tcBorders>
            <w:shd w:val="clear" w:color="auto" w:fill="FFC000"/>
          </w:tcPr>
          <w:p>
            <w:pPr>
              <w:spacing w:after="0"/>
              <w:rPr>
                <w:sz w:val="12"/>
                <w:szCs w:val="12"/>
                <w:color w:val="auto"/>
              </w:rPr>
            </w:pPr>
          </w:p>
        </w:tc>
        <w:tc>
          <w:tcPr>
            <w:tcW w:w="1580" w:type="dxa"/>
            <w:vAlign w:val="bottom"/>
            <w:tcBorders>
              <w:right w:val="single" w:sz="8" w:color="auto"/>
            </w:tcBorders>
            <w:shd w:val="clear" w:color="auto" w:fill="FFC000"/>
          </w:tcPr>
          <w:p>
            <w:pPr>
              <w:spacing w:after="0"/>
              <w:rPr>
                <w:sz w:val="12"/>
                <w:szCs w:val="12"/>
                <w:color w:val="auto"/>
              </w:rPr>
            </w:pPr>
          </w:p>
        </w:tc>
        <w:tc>
          <w:tcPr>
            <w:tcW w:w="780" w:type="dxa"/>
            <w:vAlign w:val="bottom"/>
            <w:tcBorders>
              <w:right w:val="single" w:sz="8" w:color="auto"/>
            </w:tcBorders>
            <w:shd w:val="clear" w:color="auto" w:fill="FFC000"/>
          </w:tcPr>
          <w:p>
            <w:pPr>
              <w:spacing w:after="0"/>
              <w:rPr>
                <w:sz w:val="12"/>
                <w:szCs w:val="12"/>
                <w:color w:val="auto"/>
              </w:rPr>
            </w:pPr>
          </w:p>
        </w:tc>
        <w:tc>
          <w:tcPr>
            <w:tcW w:w="1000" w:type="dxa"/>
            <w:vAlign w:val="bottom"/>
            <w:tcBorders>
              <w:right w:val="single" w:sz="8" w:color="auto"/>
            </w:tcBorders>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Learning</w:t>
            </w:r>
          </w:p>
        </w:tc>
        <w:tc>
          <w:tcPr>
            <w:tcW w:w="1580" w:type="dxa"/>
            <w:vAlign w:val="bottom"/>
            <w:tcBorders>
              <w:right w:val="single" w:sz="8" w:color="auto"/>
            </w:tcBorders>
            <w:shd w:val="clear" w:color="auto" w:fill="FFC000"/>
          </w:tcPr>
          <w:p>
            <w:pPr>
              <w:spacing w:after="0"/>
              <w:rPr>
                <w:sz w:val="17"/>
                <w:szCs w:val="17"/>
                <w:color w:val="auto"/>
              </w:rPr>
            </w:pPr>
          </w:p>
        </w:tc>
        <w:tc>
          <w:tcPr>
            <w:tcW w:w="1460" w:type="dxa"/>
            <w:vAlign w:val="bottom"/>
            <w:tcBorders>
              <w:right w:val="single" w:sz="8" w:color="auto"/>
            </w:tcBorders>
            <w:shd w:val="clear" w:color="auto" w:fill="FFC000"/>
          </w:tcPr>
          <w:p>
            <w:pPr>
              <w:spacing w:after="0"/>
              <w:rPr>
                <w:sz w:val="17"/>
                <w:szCs w:val="17"/>
                <w:color w:val="auto"/>
              </w:rPr>
            </w:pPr>
          </w:p>
        </w:tc>
        <w:tc>
          <w:tcPr>
            <w:tcW w:w="1700" w:type="dxa"/>
            <w:vAlign w:val="bottom"/>
            <w:tcBorders>
              <w:right w:val="single" w:sz="8" w:color="auto"/>
            </w:tcBorders>
            <w:shd w:val="clear" w:color="auto" w:fill="FFC000"/>
          </w:tcPr>
          <w:p>
            <w:pPr>
              <w:spacing w:after="0"/>
              <w:rPr>
                <w:sz w:val="17"/>
                <w:szCs w:val="17"/>
                <w:color w:val="auto"/>
              </w:rPr>
            </w:pPr>
          </w:p>
        </w:tc>
        <w:tc>
          <w:tcPr>
            <w:tcW w:w="1340" w:type="dxa"/>
            <w:vAlign w:val="bottom"/>
            <w:tcBorders>
              <w:right w:val="single" w:sz="8" w:color="auto"/>
            </w:tcBorders>
            <w:shd w:val="clear" w:color="auto" w:fill="FFC000"/>
          </w:tcPr>
          <w:p>
            <w:pPr>
              <w:spacing w:after="0"/>
              <w:rPr>
                <w:sz w:val="17"/>
                <w:szCs w:val="17"/>
                <w:color w:val="auto"/>
              </w:rPr>
            </w:pPr>
          </w:p>
        </w:tc>
        <w:tc>
          <w:tcPr>
            <w:tcW w:w="1580" w:type="dxa"/>
            <w:vAlign w:val="bottom"/>
            <w:tcBorders>
              <w:right w:val="single" w:sz="8" w:color="auto"/>
            </w:tcBorders>
            <w:shd w:val="clear" w:color="auto" w:fill="FFC000"/>
          </w:tcPr>
          <w:p>
            <w:pPr>
              <w:spacing w:after="0"/>
              <w:rPr>
                <w:sz w:val="17"/>
                <w:szCs w:val="17"/>
                <w:color w:val="auto"/>
              </w:rPr>
            </w:pPr>
          </w:p>
        </w:tc>
        <w:tc>
          <w:tcPr>
            <w:tcW w:w="780" w:type="dxa"/>
            <w:vAlign w:val="bottom"/>
            <w:tcBorders>
              <w:right w:val="single" w:sz="8" w:color="auto"/>
            </w:tcBorders>
            <w:shd w:val="clear" w:color="auto" w:fill="FFC000"/>
          </w:tcPr>
          <w:p>
            <w:pPr>
              <w:spacing w:after="0"/>
              <w:rPr>
                <w:sz w:val="17"/>
                <w:szCs w:val="17"/>
                <w:color w:val="auto"/>
              </w:rPr>
            </w:pPr>
          </w:p>
        </w:tc>
        <w:tc>
          <w:tcPr>
            <w:tcW w:w="1000" w:type="dxa"/>
            <w:vAlign w:val="bottom"/>
            <w:tcBorders>
              <w:right w:val="single" w:sz="8" w:color="auto"/>
            </w:tcBorders>
            <w:shd w:val="clear" w:color="auto" w:fill="FFC000"/>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FFC000"/>
          </w:tcPr>
          <w:p>
            <w:pPr>
              <w:spacing w:after="0"/>
              <w:rPr>
                <w:sz w:val="9"/>
                <w:szCs w:val="9"/>
                <w:color w:val="auto"/>
              </w:rPr>
            </w:pPr>
          </w:p>
        </w:tc>
        <w:tc>
          <w:tcPr>
            <w:tcW w:w="1580" w:type="dxa"/>
            <w:vAlign w:val="bottom"/>
            <w:tcBorders>
              <w:bottom w:val="single" w:sz="8" w:color="auto"/>
              <w:right w:val="single" w:sz="8" w:color="auto"/>
            </w:tcBorders>
            <w:shd w:val="clear" w:color="auto" w:fill="FFC000"/>
          </w:tcPr>
          <w:p>
            <w:pPr>
              <w:spacing w:after="0"/>
              <w:rPr>
                <w:sz w:val="9"/>
                <w:szCs w:val="9"/>
                <w:color w:val="auto"/>
              </w:rPr>
            </w:pPr>
          </w:p>
        </w:tc>
        <w:tc>
          <w:tcPr>
            <w:tcW w:w="1460" w:type="dxa"/>
            <w:vAlign w:val="bottom"/>
            <w:tcBorders>
              <w:bottom w:val="single" w:sz="8" w:color="auto"/>
              <w:right w:val="single" w:sz="8" w:color="auto"/>
            </w:tcBorders>
            <w:shd w:val="clear" w:color="auto" w:fill="FFC000"/>
          </w:tcPr>
          <w:p>
            <w:pPr>
              <w:spacing w:after="0"/>
              <w:rPr>
                <w:sz w:val="9"/>
                <w:szCs w:val="9"/>
                <w:color w:val="auto"/>
              </w:rPr>
            </w:pPr>
          </w:p>
        </w:tc>
        <w:tc>
          <w:tcPr>
            <w:tcW w:w="1700" w:type="dxa"/>
            <w:vAlign w:val="bottom"/>
            <w:tcBorders>
              <w:bottom w:val="single" w:sz="8" w:color="auto"/>
              <w:right w:val="single" w:sz="8" w:color="auto"/>
            </w:tcBorders>
            <w:shd w:val="clear" w:color="auto" w:fill="FFC000"/>
          </w:tcPr>
          <w:p>
            <w:pPr>
              <w:spacing w:after="0"/>
              <w:rPr>
                <w:sz w:val="9"/>
                <w:szCs w:val="9"/>
                <w:color w:val="auto"/>
              </w:rPr>
            </w:pPr>
          </w:p>
        </w:tc>
        <w:tc>
          <w:tcPr>
            <w:tcW w:w="1340" w:type="dxa"/>
            <w:vAlign w:val="bottom"/>
            <w:tcBorders>
              <w:bottom w:val="single" w:sz="8" w:color="auto"/>
              <w:right w:val="single" w:sz="8" w:color="auto"/>
            </w:tcBorders>
            <w:shd w:val="clear" w:color="auto" w:fill="FFC000"/>
          </w:tcPr>
          <w:p>
            <w:pPr>
              <w:spacing w:after="0"/>
              <w:rPr>
                <w:sz w:val="9"/>
                <w:szCs w:val="9"/>
                <w:color w:val="auto"/>
              </w:rPr>
            </w:pPr>
          </w:p>
        </w:tc>
        <w:tc>
          <w:tcPr>
            <w:tcW w:w="1580" w:type="dxa"/>
            <w:vAlign w:val="bottom"/>
            <w:tcBorders>
              <w:bottom w:val="single" w:sz="8" w:color="auto"/>
              <w:right w:val="single" w:sz="8" w:color="auto"/>
            </w:tcBorders>
            <w:shd w:val="clear" w:color="auto" w:fill="FFC000"/>
          </w:tcPr>
          <w:p>
            <w:pPr>
              <w:spacing w:after="0"/>
              <w:rPr>
                <w:sz w:val="9"/>
                <w:szCs w:val="9"/>
                <w:color w:val="auto"/>
              </w:rPr>
            </w:pPr>
          </w:p>
        </w:tc>
        <w:tc>
          <w:tcPr>
            <w:tcW w:w="780" w:type="dxa"/>
            <w:vAlign w:val="bottom"/>
            <w:tcBorders>
              <w:bottom w:val="single" w:sz="8" w:color="auto"/>
              <w:right w:val="single" w:sz="8" w:color="auto"/>
            </w:tcBorders>
            <w:shd w:val="clear" w:color="auto" w:fill="FFC000"/>
          </w:tcPr>
          <w:p>
            <w:pPr>
              <w:spacing w:after="0"/>
              <w:rPr>
                <w:sz w:val="9"/>
                <w:szCs w:val="9"/>
                <w:color w:val="auto"/>
              </w:rPr>
            </w:pPr>
          </w:p>
        </w:tc>
        <w:tc>
          <w:tcPr>
            <w:tcW w:w="1000" w:type="dxa"/>
            <w:vAlign w:val="bottom"/>
            <w:tcBorders>
              <w:bottom w:val="single" w:sz="8" w:color="auto"/>
              <w:right w:val="single" w:sz="8" w:color="auto"/>
            </w:tcBorders>
            <w:shd w:val="clear" w:color="auto" w:fill="FFC000"/>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3-3 Material issue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 /</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Credicorp talent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management</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4.3 - 4.4 -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404-1 Average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4.5 - 5.1 -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number of training</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4 - 8 - 10</w:t>
            </w: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8.2 - 8.5 -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hours per employees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Education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Training Annex</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404: TRAINING</w:t>
            </w: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AND EDUCATION 2016</w:t>
            </w: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82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404-2 Programs to</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 and</w:t>
            </w:r>
          </w:p>
        </w:tc>
        <w:tc>
          <w:tcPr>
            <w:tcW w:w="170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820" w:type="dxa"/>
            <w:vAlign w:val="bottom"/>
            <w:tcBorders>
              <w:left w:val="single" w:sz="8" w:color="auto"/>
              <w:right w:val="single" w:sz="8" w:color="auto"/>
            </w:tcBorders>
          </w:tcPr>
          <w:p>
            <w:pPr>
              <w:spacing w:after="0"/>
              <w:rPr>
                <w:sz w:val="4"/>
                <w:szCs w:val="4"/>
                <w:color w:val="auto"/>
              </w:rPr>
            </w:pPr>
          </w:p>
        </w:tc>
        <w:tc>
          <w:tcPr>
            <w:tcW w:w="1580" w:type="dxa"/>
            <w:vAlign w:val="bottom"/>
            <w:tcBorders>
              <w:right w:val="single" w:sz="8" w:color="auto"/>
            </w:tcBorders>
            <w:vMerge w:val="continue"/>
          </w:tcPr>
          <w:p>
            <w:pPr>
              <w:spacing w:after="0"/>
              <w:rPr>
                <w:sz w:val="4"/>
                <w:szCs w:val="4"/>
                <w:color w:val="auto"/>
              </w:rPr>
            </w:pPr>
          </w:p>
        </w:tc>
        <w:tc>
          <w:tcPr>
            <w:tcW w:w="146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improve employees’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Credicorp Talent</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8</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8.2 - 8.5</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skills and programs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to help transition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Training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Education Annex</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38"/>
        </w:trPr>
        <w:tc>
          <w:tcPr>
            <w:tcW w:w="1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184" w:name="page185"/>
    <w:bookmarkEnd w:id="1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404-3 Percentage of</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Human</w:t>
            </w: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employees that</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receive periodic</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 /</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5.1 - 8.5 -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performance and</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5 - 8 - 10</w:t>
            </w: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Performance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professional</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development</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Annex</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assessments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FFC000"/>
          </w:tcPr>
          <w:p>
            <w:pPr>
              <w:ind w:left="60"/>
              <w:spacing w:after="0" w:line="146" w:lineRule="exact"/>
              <w:rPr>
                <w:sz w:val="20"/>
                <w:szCs w:val="20"/>
                <w:color w:val="auto"/>
              </w:rPr>
            </w:pPr>
            <w:r>
              <w:rPr>
                <w:rFonts w:ascii="Arial" w:cs="Arial" w:eastAsia="Arial" w:hAnsi="Arial"/>
                <w:sz w:val="15"/>
                <w:szCs w:val="15"/>
                <w:b w:val="1"/>
                <w:bCs w:val="1"/>
                <w:color w:val="auto"/>
              </w:rPr>
              <w:t>DIVERSITY AND</w:t>
            </w:r>
          </w:p>
        </w:tc>
        <w:tc>
          <w:tcPr>
            <w:tcW w:w="1580" w:type="dxa"/>
            <w:vAlign w:val="bottom"/>
            <w:tcBorders>
              <w:right w:val="single" w:sz="8" w:color="auto"/>
            </w:tcBorders>
            <w:shd w:val="clear" w:color="auto" w:fill="FFC000"/>
          </w:tcPr>
          <w:p>
            <w:pPr>
              <w:spacing w:after="0"/>
              <w:rPr>
                <w:sz w:val="12"/>
                <w:szCs w:val="12"/>
                <w:color w:val="auto"/>
              </w:rPr>
            </w:pPr>
          </w:p>
        </w:tc>
        <w:tc>
          <w:tcPr>
            <w:tcW w:w="1460" w:type="dxa"/>
            <w:vAlign w:val="bottom"/>
            <w:tcBorders>
              <w:right w:val="single" w:sz="8" w:color="auto"/>
            </w:tcBorders>
            <w:shd w:val="clear" w:color="auto" w:fill="FFC000"/>
          </w:tcPr>
          <w:p>
            <w:pPr>
              <w:spacing w:after="0"/>
              <w:rPr>
                <w:sz w:val="12"/>
                <w:szCs w:val="12"/>
                <w:color w:val="auto"/>
              </w:rPr>
            </w:pPr>
          </w:p>
        </w:tc>
        <w:tc>
          <w:tcPr>
            <w:tcW w:w="1700" w:type="dxa"/>
            <w:vAlign w:val="bottom"/>
            <w:tcBorders>
              <w:right w:val="single" w:sz="8" w:color="auto"/>
            </w:tcBorders>
            <w:shd w:val="clear" w:color="auto" w:fill="FFC000"/>
          </w:tcPr>
          <w:p>
            <w:pPr>
              <w:spacing w:after="0"/>
              <w:rPr>
                <w:sz w:val="12"/>
                <w:szCs w:val="12"/>
                <w:color w:val="auto"/>
              </w:rPr>
            </w:pPr>
          </w:p>
        </w:tc>
        <w:tc>
          <w:tcPr>
            <w:tcW w:w="1340" w:type="dxa"/>
            <w:vAlign w:val="bottom"/>
            <w:tcBorders>
              <w:right w:val="single" w:sz="8" w:color="auto"/>
            </w:tcBorders>
            <w:shd w:val="clear" w:color="auto" w:fill="FFC000"/>
          </w:tcPr>
          <w:p>
            <w:pPr>
              <w:spacing w:after="0"/>
              <w:rPr>
                <w:sz w:val="12"/>
                <w:szCs w:val="12"/>
                <w:color w:val="auto"/>
              </w:rPr>
            </w:pPr>
          </w:p>
        </w:tc>
        <w:tc>
          <w:tcPr>
            <w:tcW w:w="1580" w:type="dxa"/>
            <w:vAlign w:val="bottom"/>
            <w:tcBorders>
              <w:right w:val="single" w:sz="8" w:color="auto"/>
            </w:tcBorders>
            <w:shd w:val="clear" w:color="auto" w:fill="FFC000"/>
          </w:tcPr>
          <w:p>
            <w:pPr>
              <w:spacing w:after="0"/>
              <w:rPr>
                <w:sz w:val="12"/>
                <w:szCs w:val="12"/>
                <w:color w:val="auto"/>
              </w:rPr>
            </w:pPr>
          </w:p>
        </w:tc>
        <w:tc>
          <w:tcPr>
            <w:tcW w:w="780" w:type="dxa"/>
            <w:vAlign w:val="bottom"/>
            <w:tcBorders>
              <w:right w:val="single" w:sz="8" w:color="auto"/>
            </w:tcBorders>
            <w:shd w:val="clear" w:color="auto" w:fill="FFC000"/>
          </w:tcPr>
          <w:p>
            <w:pPr>
              <w:spacing w:after="0"/>
              <w:rPr>
                <w:sz w:val="12"/>
                <w:szCs w:val="12"/>
                <w:color w:val="auto"/>
              </w:rPr>
            </w:pPr>
          </w:p>
        </w:tc>
        <w:tc>
          <w:tcPr>
            <w:tcW w:w="1000" w:type="dxa"/>
            <w:vAlign w:val="bottom"/>
            <w:tcBorders>
              <w:right w:val="single" w:sz="8" w:color="auto"/>
            </w:tcBorders>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EQUAL</w:t>
            </w:r>
          </w:p>
        </w:tc>
        <w:tc>
          <w:tcPr>
            <w:tcW w:w="1580" w:type="dxa"/>
            <w:vAlign w:val="bottom"/>
            <w:tcBorders>
              <w:right w:val="single" w:sz="8" w:color="auto"/>
            </w:tcBorders>
            <w:shd w:val="clear" w:color="auto" w:fill="FFC000"/>
          </w:tcPr>
          <w:p>
            <w:pPr>
              <w:spacing w:after="0"/>
              <w:rPr>
                <w:sz w:val="15"/>
                <w:szCs w:val="15"/>
                <w:color w:val="auto"/>
              </w:rPr>
            </w:pPr>
          </w:p>
        </w:tc>
        <w:tc>
          <w:tcPr>
            <w:tcW w:w="1460" w:type="dxa"/>
            <w:vAlign w:val="bottom"/>
            <w:tcBorders>
              <w:right w:val="single" w:sz="8" w:color="auto"/>
            </w:tcBorders>
            <w:shd w:val="clear" w:color="auto" w:fill="FFC000"/>
          </w:tcPr>
          <w:p>
            <w:pPr>
              <w:spacing w:after="0"/>
              <w:rPr>
                <w:sz w:val="15"/>
                <w:szCs w:val="15"/>
                <w:color w:val="auto"/>
              </w:rPr>
            </w:pPr>
          </w:p>
        </w:tc>
        <w:tc>
          <w:tcPr>
            <w:tcW w:w="1700" w:type="dxa"/>
            <w:vAlign w:val="bottom"/>
            <w:tcBorders>
              <w:right w:val="single" w:sz="8" w:color="auto"/>
            </w:tcBorders>
            <w:shd w:val="clear" w:color="auto" w:fill="FFC000"/>
          </w:tcPr>
          <w:p>
            <w:pPr>
              <w:spacing w:after="0"/>
              <w:rPr>
                <w:sz w:val="15"/>
                <w:szCs w:val="15"/>
                <w:color w:val="auto"/>
              </w:rPr>
            </w:pPr>
          </w:p>
        </w:tc>
        <w:tc>
          <w:tcPr>
            <w:tcW w:w="1340" w:type="dxa"/>
            <w:vAlign w:val="bottom"/>
            <w:tcBorders>
              <w:right w:val="single" w:sz="8" w:color="auto"/>
            </w:tcBorders>
            <w:shd w:val="clear" w:color="auto" w:fill="FFC000"/>
          </w:tcPr>
          <w:p>
            <w:pPr>
              <w:spacing w:after="0"/>
              <w:rPr>
                <w:sz w:val="15"/>
                <w:szCs w:val="15"/>
                <w:color w:val="auto"/>
              </w:rPr>
            </w:pPr>
          </w:p>
        </w:tc>
        <w:tc>
          <w:tcPr>
            <w:tcW w:w="1580" w:type="dxa"/>
            <w:vAlign w:val="bottom"/>
            <w:tcBorders>
              <w:right w:val="single" w:sz="8" w:color="auto"/>
            </w:tcBorders>
            <w:shd w:val="clear" w:color="auto" w:fill="FFC000"/>
          </w:tcPr>
          <w:p>
            <w:pPr>
              <w:spacing w:after="0"/>
              <w:rPr>
                <w:sz w:val="15"/>
                <w:szCs w:val="15"/>
                <w:color w:val="auto"/>
              </w:rPr>
            </w:pPr>
          </w:p>
        </w:tc>
        <w:tc>
          <w:tcPr>
            <w:tcW w:w="780" w:type="dxa"/>
            <w:vAlign w:val="bottom"/>
            <w:tcBorders>
              <w:right w:val="single" w:sz="8" w:color="auto"/>
            </w:tcBorders>
            <w:shd w:val="clear" w:color="auto" w:fill="FFC000"/>
          </w:tcPr>
          <w:p>
            <w:pPr>
              <w:spacing w:after="0"/>
              <w:rPr>
                <w:sz w:val="15"/>
                <w:szCs w:val="15"/>
                <w:color w:val="auto"/>
              </w:rPr>
            </w:pPr>
          </w:p>
        </w:tc>
        <w:tc>
          <w:tcPr>
            <w:tcW w:w="1000" w:type="dxa"/>
            <w:vAlign w:val="bottom"/>
            <w:tcBorders>
              <w:right w:val="single" w:sz="8" w:color="auto"/>
            </w:tcBorders>
            <w:shd w:val="clear" w:color="auto" w:fill="FFC00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OPPORTUNITIES</w:t>
            </w:r>
          </w:p>
        </w:tc>
        <w:tc>
          <w:tcPr>
            <w:tcW w:w="1580" w:type="dxa"/>
            <w:vAlign w:val="bottom"/>
            <w:tcBorders>
              <w:right w:val="single" w:sz="8" w:color="auto"/>
            </w:tcBorders>
            <w:shd w:val="clear" w:color="auto" w:fill="FFC000"/>
          </w:tcPr>
          <w:p>
            <w:pPr>
              <w:spacing w:after="0"/>
              <w:rPr>
                <w:sz w:val="17"/>
                <w:szCs w:val="17"/>
                <w:color w:val="auto"/>
              </w:rPr>
            </w:pPr>
          </w:p>
        </w:tc>
        <w:tc>
          <w:tcPr>
            <w:tcW w:w="1460" w:type="dxa"/>
            <w:vAlign w:val="bottom"/>
            <w:tcBorders>
              <w:right w:val="single" w:sz="8" w:color="auto"/>
            </w:tcBorders>
            <w:shd w:val="clear" w:color="auto" w:fill="FFC000"/>
          </w:tcPr>
          <w:p>
            <w:pPr>
              <w:spacing w:after="0"/>
              <w:rPr>
                <w:sz w:val="17"/>
                <w:szCs w:val="17"/>
                <w:color w:val="auto"/>
              </w:rPr>
            </w:pPr>
          </w:p>
        </w:tc>
        <w:tc>
          <w:tcPr>
            <w:tcW w:w="1700" w:type="dxa"/>
            <w:vAlign w:val="bottom"/>
            <w:tcBorders>
              <w:right w:val="single" w:sz="8" w:color="auto"/>
            </w:tcBorders>
            <w:shd w:val="clear" w:color="auto" w:fill="FFC000"/>
          </w:tcPr>
          <w:p>
            <w:pPr>
              <w:spacing w:after="0"/>
              <w:rPr>
                <w:sz w:val="17"/>
                <w:szCs w:val="17"/>
                <w:color w:val="auto"/>
              </w:rPr>
            </w:pPr>
          </w:p>
        </w:tc>
        <w:tc>
          <w:tcPr>
            <w:tcW w:w="1340" w:type="dxa"/>
            <w:vAlign w:val="bottom"/>
            <w:tcBorders>
              <w:right w:val="single" w:sz="8" w:color="auto"/>
            </w:tcBorders>
            <w:shd w:val="clear" w:color="auto" w:fill="FFC000"/>
          </w:tcPr>
          <w:p>
            <w:pPr>
              <w:spacing w:after="0"/>
              <w:rPr>
                <w:sz w:val="17"/>
                <w:szCs w:val="17"/>
                <w:color w:val="auto"/>
              </w:rPr>
            </w:pPr>
          </w:p>
        </w:tc>
        <w:tc>
          <w:tcPr>
            <w:tcW w:w="1580" w:type="dxa"/>
            <w:vAlign w:val="bottom"/>
            <w:tcBorders>
              <w:right w:val="single" w:sz="8" w:color="auto"/>
            </w:tcBorders>
            <w:shd w:val="clear" w:color="auto" w:fill="FFC000"/>
          </w:tcPr>
          <w:p>
            <w:pPr>
              <w:spacing w:after="0"/>
              <w:rPr>
                <w:sz w:val="17"/>
                <w:szCs w:val="17"/>
                <w:color w:val="auto"/>
              </w:rPr>
            </w:pPr>
          </w:p>
        </w:tc>
        <w:tc>
          <w:tcPr>
            <w:tcW w:w="780" w:type="dxa"/>
            <w:vAlign w:val="bottom"/>
            <w:tcBorders>
              <w:right w:val="single" w:sz="8" w:color="auto"/>
            </w:tcBorders>
            <w:shd w:val="clear" w:color="auto" w:fill="FFC000"/>
          </w:tcPr>
          <w:p>
            <w:pPr>
              <w:spacing w:after="0"/>
              <w:rPr>
                <w:sz w:val="17"/>
                <w:szCs w:val="17"/>
                <w:color w:val="auto"/>
              </w:rPr>
            </w:pPr>
          </w:p>
        </w:tc>
        <w:tc>
          <w:tcPr>
            <w:tcW w:w="1000" w:type="dxa"/>
            <w:vAlign w:val="bottom"/>
            <w:tcBorders>
              <w:right w:val="single" w:sz="8" w:color="auto"/>
            </w:tcBorders>
            <w:shd w:val="clear" w:color="auto" w:fill="FFC000"/>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FFC000"/>
          </w:tcPr>
          <w:p>
            <w:pPr>
              <w:spacing w:after="0"/>
              <w:rPr>
                <w:sz w:val="9"/>
                <w:szCs w:val="9"/>
                <w:color w:val="auto"/>
              </w:rPr>
            </w:pPr>
          </w:p>
        </w:tc>
        <w:tc>
          <w:tcPr>
            <w:tcW w:w="1580" w:type="dxa"/>
            <w:vAlign w:val="bottom"/>
            <w:tcBorders>
              <w:bottom w:val="single" w:sz="8" w:color="auto"/>
              <w:right w:val="single" w:sz="8" w:color="auto"/>
            </w:tcBorders>
            <w:shd w:val="clear" w:color="auto" w:fill="FFC000"/>
          </w:tcPr>
          <w:p>
            <w:pPr>
              <w:spacing w:after="0"/>
              <w:rPr>
                <w:sz w:val="9"/>
                <w:szCs w:val="9"/>
                <w:color w:val="auto"/>
              </w:rPr>
            </w:pPr>
          </w:p>
        </w:tc>
        <w:tc>
          <w:tcPr>
            <w:tcW w:w="1460" w:type="dxa"/>
            <w:vAlign w:val="bottom"/>
            <w:tcBorders>
              <w:bottom w:val="single" w:sz="8" w:color="auto"/>
              <w:right w:val="single" w:sz="8" w:color="auto"/>
            </w:tcBorders>
            <w:shd w:val="clear" w:color="auto" w:fill="FFC000"/>
          </w:tcPr>
          <w:p>
            <w:pPr>
              <w:spacing w:after="0"/>
              <w:rPr>
                <w:sz w:val="9"/>
                <w:szCs w:val="9"/>
                <w:color w:val="auto"/>
              </w:rPr>
            </w:pPr>
          </w:p>
        </w:tc>
        <w:tc>
          <w:tcPr>
            <w:tcW w:w="1700" w:type="dxa"/>
            <w:vAlign w:val="bottom"/>
            <w:tcBorders>
              <w:bottom w:val="single" w:sz="8" w:color="auto"/>
              <w:right w:val="single" w:sz="8" w:color="auto"/>
            </w:tcBorders>
            <w:shd w:val="clear" w:color="auto" w:fill="FFC000"/>
          </w:tcPr>
          <w:p>
            <w:pPr>
              <w:spacing w:after="0"/>
              <w:rPr>
                <w:sz w:val="9"/>
                <w:szCs w:val="9"/>
                <w:color w:val="auto"/>
              </w:rPr>
            </w:pPr>
          </w:p>
        </w:tc>
        <w:tc>
          <w:tcPr>
            <w:tcW w:w="1340" w:type="dxa"/>
            <w:vAlign w:val="bottom"/>
            <w:tcBorders>
              <w:bottom w:val="single" w:sz="8" w:color="auto"/>
              <w:right w:val="single" w:sz="8" w:color="auto"/>
            </w:tcBorders>
            <w:shd w:val="clear" w:color="auto" w:fill="FFC000"/>
          </w:tcPr>
          <w:p>
            <w:pPr>
              <w:spacing w:after="0"/>
              <w:rPr>
                <w:sz w:val="9"/>
                <w:szCs w:val="9"/>
                <w:color w:val="auto"/>
              </w:rPr>
            </w:pPr>
          </w:p>
        </w:tc>
        <w:tc>
          <w:tcPr>
            <w:tcW w:w="1580" w:type="dxa"/>
            <w:vAlign w:val="bottom"/>
            <w:tcBorders>
              <w:bottom w:val="single" w:sz="8" w:color="auto"/>
              <w:right w:val="single" w:sz="8" w:color="auto"/>
            </w:tcBorders>
            <w:shd w:val="clear" w:color="auto" w:fill="FFC000"/>
          </w:tcPr>
          <w:p>
            <w:pPr>
              <w:spacing w:after="0"/>
              <w:rPr>
                <w:sz w:val="9"/>
                <w:szCs w:val="9"/>
                <w:color w:val="auto"/>
              </w:rPr>
            </w:pPr>
          </w:p>
        </w:tc>
        <w:tc>
          <w:tcPr>
            <w:tcW w:w="780" w:type="dxa"/>
            <w:vAlign w:val="bottom"/>
            <w:tcBorders>
              <w:bottom w:val="single" w:sz="8" w:color="auto"/>
              <w:right w:val="single" w:sz="8" w:color="auto"/>
            </w:tcBorders>
            <w:shd w:val="clear" w:color="auto" w:fill="FFC000"/>
          </w:tcPr>
          <w:p>
            <w:pPr>
              <w:spacing w:after="0"/>
              <w:rPr>
                <w:sz w:val="9"/>
                <w:szCs w:val="9"/>
                <w:color w:val="auto"/>
              </w:rPr>
            </w:pPr>
          </w:p>
        </w:tc>
        <w:tc>
          <w:tcPr>
            <w:tcW w:w="1000" w:type="dxa"/>
            <w:vAlign w:val="bottom"/>
            <w:tcBorders>
              <w:bottom w:val="single" w:sz="8" w:color="auto"/>
              <w:right w:val="single" w:sz="8" w:color="auto"/>
            </w:tcBorders>
            <w:shd w:val="clear" w:color="auto" w:fill="FFC000"/>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Closing the Gender</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Gap with Our</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products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3-3 Material issue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Opportunities for</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Women / Human</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Development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405-1 Diversity in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governance bodies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Development /</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5 - 8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5.1 - 5.5 -</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and among</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Corporate</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405: DIVERSITY</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employees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Governance / Our</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820" w:type="dxa"/>
            <w:vAlign w:val="bottom"/>
            <w:tcBorders>
              <w:left w:val="single" w:sz="8" w:color="auto"/>
              <w:right w:val="single" w:sz="8" w:color="auto"/>
            </w:tcBorders>
            <w:vMerge w:val="continue"/>
          </w:tcPr>
          <w:p>
            <w:pPr>
              <w:spacing w:after="0"/>
              <w:rPr>
                <w:sz w:val="5"/>
                <w:szCs w:val="5"/>
                <w:color w:val="auto"/>
              </w:rPr>
            </w:pPr>
          </w:p>
        </w:tc>
        <w:tc>
          <w:tcPr>
            <w:tcW w:w="158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Employees Annex</w:t>
            </w:r>
          </w:p>
        </w:tc>
        <w:tc>
          <w:tcPr>
            <w:tcW w:w="170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5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AND EQUAL</w:t>
            </w:r>
          </w:p>
        </w:tc>
        <w:tc>
          <w:tcPr>
            <w:tcW w:w="15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820" w:type="dxa"/>
            <w:vAlign w:val="bottom"/>
            <w:tcBorders>
              <w:left w:val="single" w:sz="8" w:color="auto"/>
              <w:right w:val="single" w:sz="8" w:color="auto"/>
            </w:tcBorders>
            <w:vMerge w:val="continue"/>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460" w:type="dxa"/>
            <w:vAlign w:val="bottom"/>
            <w:tcBorders>
              <w:right w:val="single" w:sz="8" w:color="auto"/>
            </w:tcBorders>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OPPORTUNITIES 2016</w:t>
            </w:r>
          </w:p>
        </w:tc>
        <w:tc>
          <w:tcPr>
            <w:tcW w:w="158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82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40"/>
              <w:spacing w:after="0" w:line="164" w:lineRule="exact"/>
              <w:rPr>
                <w:sz w:val="20"/>
                <w:szCs w:val="20"/>
                <w:color w:val="auto"/>
              </w:rPr>
            </w:pPr>
            <w:r>
              <w:rPr>
                <w:rFonts w:ascii="Arial" w:cs="Arial" w:eastAsia="Arial" w:hAnsi="Arial"/>
                <w:sz w:val="15"/>
                <w:szCs w:val="15"/>
                <w:color w:val="auto"/>
              </w:rPr>
              <w:t>405-2 Ratio of the</w:t>
            </w:r>
          </w:p>
        </w:tc>
        <w:tc>
          <w:tcPr>
            <w:tcW w:w="14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820" w:type="dxa"/>
            <w:vAlign w:val="bottom"/>
            <w:tcBorders>
              <w:left w:val="single" w:sz="8" w:color="auto"/>
              <w:right w:val="single" w:sz="8" w:color="auto"/>
            </w:tcBorders>
          </w:tcPr>
          <w:p>
            <w:pPr>
              <w:spacing w:after="0"/>
              <w:rPr>
                <w:sz w:val="4"/>
                <w:szCs w:val="4"/>
                <w:color w:val="auto"/>
              </w:rPr>
            </w:pPr>
          </w:p>
        </w:tc>
        <w:tc>
          <w:tcPr>
            <w:tcW w:w="1580" w:type="dxa"/>
            <w:vAlign w:val="bottom"/>
            <w:tcBorders>
              <w:right w:val="single" w:sz="8" w:color="auto"/>
            </w:tcBorders>
            <w:vMerge w:val="continue"/>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salary base and the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5.1 - 8.5 -</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ratio for female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5 - 8 - 10</w:t>
            </w: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versus male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compensation</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NO DISCRIMINATION</w:t>
            </w:r>
          </w:p>
        </w:tc>
        <w:tc>
          <w:tcPr>
            <w:tcW w:w="1580" w:type="dxa"/>
            <w:vAlign w:val="bottom"/>
            <w:tcBorders>
              <w:right w:val="single" w:sz="8" w:color="auto"/>
            </w:tcBorders>
            <w:shd w:val="clear" w:color="auto" w:fill="FFC000"/>
          </w:tcPr>
          <w:p>
            <w:pPr>
              <w:spacing w:after="0"/>
              <w:rPr>
                <w:sz w:val="16"/>
                <w:szCs w:val="16"/>
                <w:color w:val="auto"/>
              </w:rPr>
            </w:pPr>
          </w:p>
        </w:tc>
        <w:tc>
          <w:tcPr>
            <w:tcW w:w="1460" w:type="dxa"/>
            <w:vAlign w:val="bottom"/>
            <w:tcBorders>
              <w:right w:val="single" w:sz="8" w:color="auto"/>
            </w:tcBorders>
            <w:shd w:val="clear" w:color="auto" w:fill="FFC000"/>
          </w:tcPr>
          <w:p>
            <w:pPr>
              <w:spacing w:after="0"/>
              <w:rPr>
                <w:sz w:val="16"/>
                <w:szCs w:val="16"/>
                <w:color w:val="auto"/>
              </w:rPr>
            </w:pPr>
          </w:p>
        </w:tc>
        <w:tc>
          <w:tcPr>
            <w:tcW w:w="1700" w:type="dxa"/>
            <w:vAlign w:val="bottom"/>
            <w:tcBorders>
              <w:right w:val="single" w:sz="8" w:color="auto"/>
            </w:tcBorders>
            <w:shd w:val="clear" w:color="auto" w:fill="FFC000"/>
          </w:tcPr>
          <w:p>
            <w:pPr>
              <w:spacing w:after="0"/>
              <w:rPr>
                <w:sz w:val="16"/>
                <w:szCs w:val="16"/>
                <w:color w:val="auto"/>
              </w:rPr>
            </w:pPr>
          </w:p>
        </w:tc>
        <w:tc>
          <w:tcPr>
            <w:tcW w:w="1340" w:type="dxa"/>
            <w:vAlign w:val="bottom"/>
            <w:tcBorders>
              <w:right w:val="single" w:sz="8" w:color="auto"/>
            </w:tcBorders>
            <w:shd w:val="clear" w:color="auto" w:fill="FFC000"/>
          </w:tcPr>
          <w:p>
            <w:pPr>
              <w:spacing w:after="0"/>
              <w:rPr>
                <w:sz w:val="16"/>
                <w:szCs w:val="16"/>
                <w:color w:val="auto"/>
              </w:rPr>
            </w:pPr>
          </w:p>
        </w:tc>
        <w:tc>
          <w:tcPr>
            <w:tcW w:w="1580" w:type="dxa"/>
            <w:vAlign w:val="bottom"/>
            <w:tcBorders>
              <w:right w:val="single" w:sz="8" w:color="auto"/>
            </w:tcBorders>
            <w:shd w:val="clear" w:color="auto" w:fill="FFC000"/>
          </w:tcPr>
          <w:p>
            <w:pPr>
              <w:spacing w:after="0"/>
              <w:rPr>
                <w:sz w:val="16"/>
                <w:szCs w:val="16"/>
                <w:color w:val="auto"/>
              </w:rPr>
            </w:pPr>
          </w:p>
        </w:tc>
        <w:tc>
          <w:tcPr>
            <w:tcW w:w="780" w:type="dxa"/>
            <w:vAlign w:val="bottom"/>
            <w:tcBorders>
              <w:right w:val="single" w:sz="8" w:color="auto"/>
            </w:tcBorders>
            <w:shd w:val="clear" w:color="auto" w:fill="FFC000"/>
          </w:tcPr>
          <w:p>
            <w:pPr>
              <w:spacing w:after="0"/>
              <w:rPr>
                <w:sz w:val="16"/>
                <w:szCs w:val="16"/>
                <w:color w:val="auto"/>
              </w:rPr>
            </w:pPr>
          </w:p>
        </w:tc>
        <w:tc>
          <w:tcPr>
            <w:tcW w:w="1000" w:type="dxa"/>
            <w:vAlign w:val="bottom"/>
            <w:tcBorders>
              <w:right w:val="single" w:sz="8" w:color="auto"/>
            </w:tcBorders>
            <w:shd w:val="clear" w:color="auto" w:fill="FFC000"/>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1460" w:type="dxa"/>
            <w:vAlign w:val="bottom"/>
            <w:tcBorders>
              <w:bottom w:val="single" w:sz="8" w:color="auto"/>
              <w:right w:val="single" w:sz="8" w:color="auto"/>
            </w:tcBorders>
            <w:shd w:val="clear" w:color="auto" w:fill="FFC000"/>
          </w:tcPr>
          <w:p>
            <w:pPr>
              <w:spacing w:after="0"/>
              <w:rPr>
                <w:sz w:val="7"/>
                <w:szCs w:val="7"/>
                <w:color w:val="auto"/>
              </w:rPr>
            </w:pPr>
          </w:p>
        </w:tc>
        <w:tc>
          <w:tcPr>
            <w:tcW w:w="1700" w:type="dxa"/>
            <w:vAlign w:val="bottom"/>
            <w:tcBorders>
              <w:bottom w:val="single" w:sz="8" w:color="auto"/>
              <w:right w:val="single" w:sz="8" w:color="auto"/>
            </w:tcBorders>
            <w:shd w:val="clear" w:color="auto" w:fill="FFC000"/>
          </w:tcPr>
          <w:p>
            <w:pPr>
              <w:spacing w:after="0"/>
              <w:rPr>
                <w:sz w:val="7"/>
                <w:szCs w:val="7"/>
                <w:color w:val="auto"/>
              </w:rPr>
            </w:pPr>
          </w:p>
        </w:tc>
        <w:tc>
          <w:tcPr>
            <w:tcW w:w="1340" w:type="dxa"/>
            <w:vAlign w:val="bottom"/>
            <w:tcBorders>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780" w:type="dxa"/>
            <w:vAlign w:val="bottom"/>
            <w:tcBorders>
              <w:bottom w:val="single" w:sz="8" w:color="auto"/>
              <w:right w:val="single" w:sz="8" w:color="auto"/>
            </w:tcBorders>
            <w:shd w:val="clear" w:color="auto" w:fill="FFC000"/>
          </w:tcPr>
          <w:p>
            <w:pPr>
              <w:spacing w:after="0"/>
              <w:rPr>
                <w:sz w:val="7"/>
                <w:szCs w:val="7"/>
                <w:color w:val="auto"/>
              </w:rPr>
            </w:pPr>
          </w:p>
        </w:tc>
        <w:tc>
          <w:tcPr>
            <w:tcW w:w="1000" w:type="dxa"/>
            <w:vAlign w:val="bottom"/>
            <w:tcBorders>
              <w:bottom w:val="single" w:sz="8" w:color="auto"/>
              <w:right w:val="single" w:sz="8" w:color="auto"/>
            </w:tcBorders>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Human</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3-3 Material Issue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Management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 /</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ethics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406: NO</w:t>
            </w: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406-1 Cases of</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Compliance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discrimination and</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5 - 8</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5.1 - 8.8</w:t>
            </w:r>
          </w:p>
        </w:tc>
        <w:tc>
          <w:tcPr>
            <w:tcW w:w="0" w:type="dxa"/>
            <w:vAlign w:val="bottom"/>
          </w:tcPr>
          <w:p>
            <w:pPr>
              <w:spacing w:after="0"/>
              <w:rPr>
                <w:sz w:val="1"/>
                <w:szCs w:val="1"/>
                <w:color w:val="auto"/>
              </w:rPr>
            </w:pPr>
          </w:p>
        </w:tc>
      </w:tr>
      <w:tr>
        <w:trPr>
          <w:trHeight w:val="139"/>
        </w:trPr>
        <w:tc>
          <w:tcPr>
            <w:tcW w:w="1820" w:type="dxa"/>
            <w:vAlign w:val="bottom"/>
            <w:tcBorders>
              <w:left w:val="single" w:sz="8" w:color="auto"/>
              <w:right w:val="single" w:sz="8" w:color="auto"/>
            </w:tcBorders>
          </w:tcPr>
          <w:p>
            <w:pPr>
              <w:ind w:left="60"/>
              <w:spacing w:after="0" w:line="139" w:lineRule="exact"/>
              <w:rPr>
                <w:sz w:val="20"/>
                <w:szCs w:val="20"/>
                <w:color w:val="auto"/>
              </w:rPr>
            </w:pPr>
            <w:r>
              <w:rPr>
                <w:rFonts w:ascii="Arial" w:cs="Arial" w:eastAsia="Arial" w:hAnsi="Arial"/>
                <w:sz w:val="15"/>
                <w:szCs w:val="15"/>
                <w:color w:val="auto"/>
              </w:rPr>
              <w:t>DISCRIMINATION 2016</w:t>
            </w:r>
          </w:p>
        </w:tc>
        <w:tc>
          <w:tcPr>
            <w:tcW w:w="158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5"/>
                <w:szCs w:val="15"/>
                <w:color w:val="auto"/>
                <w:w w:val="97"/>
              </w:rPr>
              <w:t>Ethics</w:t>
            </w:r>
          </w:p>
        </w:tc>
        <w:tc>
          <w:tcPr>
            <w:tcW w:w="17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actions taken</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182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CHILD LABOR</w:t>
            </w:r>
          </w:p>
        </w:tc>
        <w:tc>
          <w:tcPr>
            <w:tcW w:w="1580" w:type="dxa"/>
            <w:vAlign w:val="bottom"/>
            <w:tcBorders>
              <w:right w:val="single" w:sz="8" w:color="auto"/>
            </w:tcBorders>
            <w:shd w:val="clear" w:color="auto" w:fill="FFC000"/>
          </w:tcPr>
          <w:p>
            <w:pPr>
              <w:spacing w:after="0"/>
              <w:rPr>
                <w:sz w:val="16"/>
                <w:szCs w:val="16"/>
                <w:color w:val="auto"/>
              </w:rPr>
            </w:pPr>
          </w:p>
        </w:tc>
        <w:tc>
          <w:tcPr>
            <w:tcW w:w="1460" w:type="dxa"/>
            <w:vAlign w:val="bottom"/>
            <w:tcBorders>
              <w:right w:val="single" w:sz="8" w:color="auto"/>
            </w:tcBorders>
            <w:shd w:val="clear" w:color="auto" w:fill="FFC000"/>
          </w:tcPr>
          <w:p>
            <w:pPr>
              <w:spacing w:after="0"/>
              <w:rPr>
                <w:sz w:val="16"/>
                <w:szCs w:val="16"/>
                <w:color w:val="auto"/>
              </w:rPr>
            </w:pPr>
          </w:p>
        </w:tc>
        <w:tc>
          <w:tcPr>
            <w:tcW w:w="1700" w:type="dxa"/>
            <w:vAlign w:val="bottom"/>
            <w:tcBorders>
              <w:right w:val="single" w:sz="8" w:color="auto"/>
            </w:tcBorders>
            <w:shd w:val="clear" w:color="auto" w:fill="FFC000"/>
          </w:tcPr>
          <w:p>
            <w:pPr>
              <w:spacing w:after="0"/>
              <w:rPr>
                <w:sz w:val="16"/>
                <w:szCs w:val="16"/>
                <w:color w:val="auto"/>
              </w:rPr>
            </w:pPr>
          </w:p>
        </w:tc>
        <w:tc>
          <w:tcPr>
            <w:tcW w:w="1340" w:type="dxa"/>
            <w:vAlign w:val="bottom"/>
            <w:tcBorders>
              <w:right w:val="single" w:sz="8" w:color="auto"/>
            </w:tcBorders>
            <w:shd w:val="clear" w:color="auto" w:fill="FFC000"/>
          </w:tcPr>
          <w:p>
            <w:pPr>
              <w:spacing w:after="0"/>
              <w:rPr>
                <w:sz w:val="16"/>
                <w:szCs w:val="16"/>
                <w:color w:val="auto"/>
              </w:rPr>
            </w:pPr>
          </w:p>
        </w:tc>
        <w:tc>
          <w:tcPr>
            <w:tcW w:w="1580" w:type="dxa"/>
            <w:vAlign w:val="bottom"/>
            <w:tcBorders>
              <w:right w:val="single" w:sz="8" w:color="auto"/>
            </w:tcBorders>
            <w:shd w:val="clear" w:color="auto" w:fill="FFC000"/>
          </w:tcPr>
          <w:p>
            <w:pPr>
              <w:spacing w:after="0"/>
              <w:rPr>
                <w:sz w:val="16"/>
                <w:szCs w:val="16"/>
                <w:color w:val="auto"/>
              </w:rPr>
            </w:pPr>
          </w:p>
        </w:tc>
        <w:tc>
          <w:tcPr>
            <w:tcW w:w="780" w:type="dxa"/>
            <w:vAlign w:val="bottom"/>
            <w:tcBorders>
              <w:right w:val="single" w:sz="8" w:color="auto"/>
            </w:tcBorders>
            <w:shd w:val="clear" w:color="auto" w:fill="FFC000"/>
          </w:tcPr>
          <w:p>
            <w:pPr>
              <w:spacing w:after="0"/>
              <w:rPr>
                <w:sz w:val="16"/>
                <w:szCs w:val="16"/>
                <w:color w:val="auto"/>
              </w:rPr>
            </w:pPr>
          </w:p>
        </w:tc>
        <w:tc>
          <w:tcPr>
            <w:tcW w:w="1000" w:type="dxa"/>
            <w:vAlign w:val="bottom"/>
            <w:tcBorders>
              <w:right w:val="single" w:sz="8" w:color="auto"/>
            </w:tcBorders>
            <w:shd w:val="clear" w:color="auto" w:fill="FFC000"/>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1460" w:type="dxa"/>
            <w:vAlign w:val="bottom"/>
            <w:tcBorders>
              <w:bottom w:val="single" w:sz="8" w:color="auto"/>
              <w:right w:val="single" w:sz="8" w:color="auto"/>
            </w:tcBorders>
            <w:shd w:val="clear" w:color="auto" w:fill="FFC000"/>
          </w:tcPr>
          <w:p>
            <w:pPr>
              <w:spacing w:after="0"/>
              <w:rPr>
                <w:sz w:val="7"/>
                <w:szCs w:val="7"/>
                <w:color w:val="auto"/>
              </w:rPr>
            </w:pPr>
          </w:p>
        </w:tc>
        <w:tc>
          <w:tcPr>
            <w:tcW w:w="1700" w:type="dxa"/>
            <w:vAlign w:val="bottom"/>
            <w:tcBorders>
              <w:bottom w:val="single" w:sz="8" w:color="auto"/>
              <w:right w:val="single" w:sz="8" w:color="auto"/>
            </w:tcBorders>
            <w:shd w:val="clear" w:color="auto" w:fill="FFC000"/>
          </w:tcPr>
          <w:p>
            <w:pPr>
              <w:spacing w:after="0"/>
              <w:rPr>
                <w:sz w:val="7"/>
                <w:szCs w:val="7"/>
                <w:color w:val="auto"/>
              </w:rPr>
            </w:pPr>
          </w:p>
        </w:tc>
        <w:tc>
          <w:tcPr>
            <w:tcW w:w="1340" w:type="dxa"/>
            <w:vAlign w:val="bottom"/>
            <w:tcBorders>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780" w:type="dxa"/>
            <w:vAlign w:val="bottom"/>
            <w:tcBorders>
              <w:bottom w:val="single" w:sz="8" w:color="auto"/>
              <w:right w:val="single" w:sz="8" w:color="auto"/>
            </w:tcBorders>
            <w:shd w:val="clear" w:color="auto" w:fill="FFC000"/>
          </w:tcPr>
          <w:p>
            <w:pPr>
              <w:spacing w:after="0"/>
              <w:rPr>
                <w:sz w:val="7"/>
                <w:szCs w:val="7"/>
                <w:color w:val="auto"/>
              </w:rPr>
            </w:pPr>
          </w:p>
        </w:tc>
        <w:tc>
          <w:tcPr>
            <w:tcW w:w="1000" w:type="dxa"/>
            <w:vAlign w:val="bottom"/>
            <w:tcBorders>
              <w:bottom w:val="single" w:sz="8" w:color="auto"/>
              <w:right w:val="single" w:sz="8" w:color="auto"/>
            </w:tcBorders>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3-3 Management of</w:t>
            </w:r>
          </w:p>
        </w:tc>
        <w:tc>
          <w:tcPr>
            <w:tcW w:w="146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ESG assessment</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material issues</w:t>
            </w: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of suppliers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408-1 Operations</w:t>
            </w: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408: Child Labor</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and suppliers with</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ESG assessment</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5 - 8 - 16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5.2 - 8.7 -</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2016</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significant risk of</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of suppliers</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child labor</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FORCED LABOR</w:t>
            </w:r>
          </w:p>
        </w:tc>
        <w:tc>
          <w:tcPr>
            <w:tcW w:w="1580" w:type="dxa"/>
            <w:vAlign w:val="bottom"/>
            <w:tcBorders>
              <w:right w:val="single" w:sz="8" w:color="auto"/>
            </w:tcBorders>
            <w:shd w:val="clear" w:color="auto" w:fill="FFC000"/>
          </w:tcPr>
          <w:p>
            <w:pPr>
              <w:spacing w:after="0"/>
              <w:rPr>
                <w:sz w:val="16"/>
                <w:szCs w:val="16"/>
                <w:color w:val="auto"/>
              </w:rPr>
            </w:pPr>
          </w:p>
        </w:tc>
        <w:tc>
          <w:tcPr>
            <w:tcW w:w="1460" w:type="dxa"/>
            <w:vAlign w:val="bottom"/>
            <w:tcBorders>
              <w:right w:val="single" w:sz="8" w:color="auto"/>
            </w:tcBorders>
            <w:shd w:val="clear" w:color="auto" w:fill="FFC000"/>
          </w:tcPr>
          <w:p>
            <w:pPr>
              <w:spacing w:after="0"/>
              <w:rPr>
                <w:sz w:val="16"/>
                <w:szCs w:val="16"/>
                <w:color w:val="auto"/>
              </w:rPr>
            </w:pPr>
          </w:p>
        </w:tc>
        <w:tc>
          <w:tcPr>
            <w:tcW w:w="1700" w:type="dxa"/>
            <w:vAlign w:val="bottom"/>
            <w:tcBorders>
              <w:right w:val="single" w:sz="8" w:color="auto"/>
            </w:tcBorders>
            <w:shd w:val="clear" w:color="auto" w:fill="FFC000"/>
          </w:tcPr>
          <w:p>
            <w:pPr>
              <w:spacing w:after="0"/>
              <w:rPr>
                <w:sz w:val="16"/>
                <w:szCs w:val="16"/>
                <w:color w:val="auto"/>
              </w:rPr>
            </w:pPr>
          </w:p>
        </w:tc>
        <w:tc>
          <w:tcPr>
            <w:tcW w:w="1340" w:type="dxa"/>
            <w:vAlign w:val="bottom"/>
            <w:tcBorders>
              <w:right w:val="single" w:sz="8" w:color="auto"/>
            </w:tcBorders>
            <w:shd w:val="clear" w:color="auto" w:fill="FFC000"/>
          </w:tcPr>
          <w:p>
            <w:pPr>
              <w:spacing w:after="0"/>
              <w:rPr>
                <w:sz w:val="16"/>
                <w:szCs w:val="16"/>
                <w:color w:val="auto"/>
              </w:rPr>
            </w:pPr>
          </w:p>
        </w:tc>
        <w:tc>
          <w:tcPr>
            <w:tcW w:w="1580" w:type="dxa"/>
            <w:vAlign w:val="bottom"/>
            <w:tcBorders>
              <w:right w:val="single" w:sz="8" w:color="auto"/>
            </w:tcBorders>
            <w:shd w:val="clear" w:color="auto" w:fill="FFC000"/>
          </w:tcPr>
          <w:p>
            <w:pPr>
              <w:spacing w:after="0"/>
              <w:rPr>
                <w:sz w:val="16"/>
                <w:szCs w:val="16"/>
                <w:color w:val="auto"/>
              </w:rPr>
            </w:pPr>
          </w:p>
        </w:tc>
        <w:tc>
          <w:tcPr>
            <w:tcW w:w="780" w:type="dxa"/>
            <w:vAlign w:val="bottom"/>
            <w:tcBorders>
              <w:right w:val="single" w:sz="8" w:color="auto"/>
            </w:tcBorders>
            <w:shd w:val="clear" w:color="auto" w:fill="FFC000"/>
          </w:tcPr>
          <w:p>
            <w:pPr>
              <w:spacing w:after="0"/>
              <w:rPr>
                <w:sz w:val="16"/>
                <w:szCs w:val="16"/>
                <w:color w:val="auto"/>
              </w:rPr>
            </w:pPr>
          </w:p>
        </w:tc>
        <w:tc>
          <w:tcPr>
            <w:tcW w:w="1000" w:type="dxa"/>
            <w:vAlign w:val="bottom"/>
            <w:tcBorders>
              <w:right w:val="single" w:sz="8" w:color="auto"/>
            </w:tcBorders>
            <w:shd w:val="clear" w:color="auto" w:fill="FFC000"/>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1460" w:type="dxa"/>
            <w:vAlign w:val="bottom"/>
            <w:tcBorders>
              <w:bottom w:val="single" w:sz="8" w:color="auto"/>
              <w:right w:val="single" w:sz="8" w:color="auto"/>
            </w:tcBorders>
            <w:shd w:val="clear" w:color="auto" w:fill="FFC000"/>
          </w:tcPr>
          <w:p>
            <w:pPr>
              <w:spacing w:after="0"/>
              <w:rPr>
                <w:sz w:val="7"/>
                <w:szCs w:val="7"/>
                <w:color w:val="auto"/>
              </w:rPr>
            </w:pPr>
          </w:p>
        </w:tc>
        <w:tc>
          <w:tcPr>
            <w:tcW w:w="1700" w:type="dxa"/>
            <w:vAlign w:val="bottom"/>
            <w:tcBorders>
              <w:bottom w:val="single" w:sz="8" w:color="auto"/>
              <w:right w:val="single" w:sz="8" w:color="auto"/>
            </w:tcBorders>
            <w:shd w:val="clear" w:color="auto" w:fill="FFC000"/>
          </w:tcPr>
          <w:p>
            <w:pPr>
              <w:spacing w:after="0"/>
              <w:rPr>
                <w:sz w:val="7"/>
                <w:szCs w:val="7"/>
                <w:color w:val="auto"/>
              </w:rPr>
            </w:pPr>
          </w:p>
        </w:tc>
        <w:tc>
          <w:tcPr>
            <w:tcW w:w="1340" w:type="dxa"/>
            <w:vAlign w:val="bottom"/>
            <w:tcBorders>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780" w:type="dxa"/>
            <w:vAlign w:val="bottom"/>
            <w:tcBorders>
              <w:bottom w:val="single" w:sz="8" w:color="auto"/>
              <w:right w:val="single" w:sz="8" w:color="auto"/>
            </w:tcBorders>
            <w:shd w:val="clear" w:color="auto" w:fill="FFC000"/>
          </w:tcPr>
          <w:p>
            <w:pPr>
              <w:spacing w:after="0"/>
              <w:rPr>
                <w:sz w:val="7"/>
                <w:szCs w:val="7"/>
                <w:color w:val="auto"/>
              </w:rPr>
            </w:pPr>
          </w:p>
        </w:tc>
        <w:tc>
          <w:tcPr>
            <w:tcW w:w="1000" w:type="dxa"/>
            <w:vAlign w:val="bottom"/>
            <w:tcBorders>
              <w:bottom w:val="single" w:sz="8" w:color="auto"/>
              <w:right w:val="single" w:sz="8" w:color="auto"/>
            </w:tcBorders>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3-3 Management of</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ESG assessment</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material issues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of suppliers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85" w:name="page186"/>
    <w:bookmarkEnd w:id="185"/>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409-1 Operations</w:t>
            </w:r>
          </w:p>
        </w:tc>
        <w:tc>
          <w:tcPr>
            <w:tcW w:w="146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409: FORCED OR</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and suppliers with</w:t>
            </w:r>
          </w:p>
        </w:tc>
        <w:tc>
          <w:tcPr>
            <w:tcW w:w="14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color w:val="auto"/>
              </w:rPr>
              <w:t>ESG assessment</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OBLIGATORY LABOR</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significant risk of</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right"/>
              <w:ind w:right="183"/>
              <w:spacing w:after="0"/>
              <w:rPr>
                <w:sz w:val="20"/>
                <w:szCs w:val="20"/>
                <w:color w:val="auto"/>
              </w:rPr>
            </w:pPr>
            <w:r>
              <w:rPr>
                <w:rFonts w:ascii="Arial" w:cs="Arial" w:eastAsia="Arial" w:hAnsi="Arial"/>
                <w:sz w:val="15"/>
                <w:szCs w:val="15"/>
                <w:color w:val="auto"/>
              </w:rPr>
              <w:t>5 - 8</w:t>
            </w:r>
          </w:p>
        </w:tc>
        <w:tc>
          <w:tcPr>
            <w:tcW w:w="1000" w:type="dxa"/>
            <w:vAlign w:val="bottom"/>
            <w:tcBorders>
              <w:right w:val="single" w:sz="8" w:color="auto"/>
            </w:tcBorders>
            <w:vMerge w:val="restart"/>
          </w:tcPr>
          <w:p>
            <w:pPr>
              <w:jc w:val="right"/>
              <w:ind w:right="143"/>
              <w:spacing w:after="0"/>
              <w:rPr>
                <w:sz w:val="20"/>
                <w:szCs w:val="20"/>
                <w:color w:val="auto"/>
              </w:rPr>
            </w:pPr>
            <w:r>
              <w:rPr>
                <w:rFonts w:ascii="Arial" w:cs="Arial" w:eastAsia="Arial" w:hAnsi="Arial"/>
                <w:sz w:val="15"/>
                <w:szCs w:val="15"/>
                <w:color w:val="auto"/>
              </w:rPr>
              <w:t>5.2 - 8.7</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of suppliers</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2016</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forced or obligatory</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labor</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LOCAL COMMUNITIES</w:t>
            </w:r>
          </w:p>
        </w:tc>
        <w:tc>
          <w:tcPr>
            <w:tcW w:w="1580" w:type="dxa"/>
            <w:vAlign w:val="bottom"/>
            <w:tcBorders>
              <w:right w:val="single" w:sz="8" w:color="auto"/>
            </w:tcBorders>
            <w:shd w:val="clear" w:color="auto" w:fill="FFC000"/>
          </w:tcPr>
          <w:p>
            <w:pPr>
              <w:spacing w:after="0"/>
              <w:rPr>
                <w:sz w:val="16"/>
                <w:szCs w:val="16"/>
                <w:color w:val="auto"/>
              </w:rPr>
            </w:pPr>
          </w:p>
        </w:tc>
        <w:tc>
          <w:tcPr>
            <w:tcW w:w="1460" w:type="dxa"/>
            <w:vAlign w:val="bottom"/>
            <w:tcBorders>
              <w:right w:val="single" w:sz="8" w:color="auto"/>
            </w:tcBorders>
            <w:shd w:val="clear" w:color="auto" w:fill="FFC000"/>
          </w:tcPr>
          <w:p>
            <w:pPr>
              <w:spacing w:after="0"/>
              <w:rPr>
                <w:sz w:val="16"/>
                <w:szCs w:val="16"/>
                <w:color w:val="auto"/>
              </w:rPr>
            </w:pPr>
          </w:p>
        </w:tc>
        <w:tc>
          <w:tcPr>
            <w:tcW w:w="1700" w:type="dxa"/>
            <w:vAlign w:val="bottom"/>
            <w:tcBorders>
              <w:right w:val="single" w:sz="8" w:color="auto"/>
            </w:tcBorders>
            <w:shd w:val="clear" w:color="auto" w:fill="FFC000"/>
          </w:tcPr>
          <w:p>
            <w:pPr>
              <w:spacing w:after="0"/>
              <w:rPr>
                <w:sz w:val="16"/>
                <w:szCs w:val="16"/>
                <w:color w:val="auto"/>
              </w:rPr>
            </w:pPr>
          </w:p>
        </w:tc>
        <w:tc>
          <w:tcPr>
            <w:tcW w:w="1340" w:type="dxa"/>
            <w:vAlign w:val="bottom"/>
            <w:tcBorders>
              <w:right w:val="single" w:sz="8" w:color="auto"/>
            </w:tcBorders>
            <w:shd w:val="clear" w:color="auto" w:fill="FFC000"/>
          </w:tcPr>
          <w:p>
            <w:pPr>
              <w:spacing w:after="0"/>
              <w:rPr>
                <w:sz w:val="16"/>
                <w:szCs w:val="16"/>
                <w:color w:val="auto"/>
              </w:rPr>
            </w:pPr>
          </w:p>
        </w:tc>
        <w:tc>
          <w:tcPr>
            <w:tcW w:w="1580" w:type="dxa"/>
            <w:vAlign w:val="bottom"/>
            <w:tcBorders>
              <w:right w:val="single" w:sz="8" w:color="auto"/>
            </w:tcBorders>
            <w:shd w:val="clear" w:color="auto" w:fill="FFC000"/>
          </w:tcPr>
          <w:p>
            <w:pPr>
              <w:spacing w:after="0"/>
              <w:rPr>
                <w:sz w:val="16"/>
                <w:szCs w:val="16"/>
                <w:color w:val="auto"/>
              </w:rPr>
            </w:pPr>
          </w:p>
        </w:tc>
        <w:tc>
          <w:tcPr>
            <w:tcW w:w="780" w:type="dxa"/>
            <w:vAlign w:val="bottom"/>
            <w:tcBorders>
              <w:right w:val="single" w:sz="8" w:color="auto"/>
            </w:tcBorders>
            <w:shd w:val="clear" w:color="auto" w:fill="FFC000"/>
          </w:tcPr>
          <w:p>
            <w:pPr>
              <w:spacing w:after="0"/>
              <w:rPr>
                <w:sz w:val="16"/>
                <w:szCs w:val="16"/>
                <w:color w:val="auto"/>
              </w:rPr>
            </w:pPr>
          </w:p>
        </w:tc>
        <w:tc>
          <w:tcPr>
            <w:tcW w:w="1000" w:type="dxa"/>
            <w:vAlign w:val="bottom"/>
            <w:tcBorders>
              <w:right w:val="single" w:sz="8" w:color="auto"/>
            </w:tcBorders>
            <w:shd w:val="clear" w:color="auto" w:fill="FFC000"/>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1460" w:type="dxa"/>
            <w:vAlign w:val="bottom"/>
            <w:tcBorders>
              <w:bottom w:val="single" w:sz="8" w:color="auto"/>
              <w:right w:val="single" w:sz="8" w:color="auto"/>
            </w:tcBorders>
            <w:shd w:val="clear" w:color="auto" w:fill="FFC000"/>
          </w:tcPr>
          <w:p>
            <w:pPr>
              <w:spacing w:after="0"/>
              <w:rPr>
                <w:sz w:val="7"/>
                <w:szCs w:val="7"/>
                <w:color w:val="auto"/>
              </w:rPr>
            </w:pPr>
          </w:p>
        </w:tc>
        <w:tc>
          <w:tcPr>
            <w:tcW w:w="1700" w:type="dxa"/>
            <w:vAlign w:val="bottom"/>
            <w:tcBorders>
              <w:bottom w:val="single" w:sz="8" w:color="auto"/>
              <w:right w:val="single" w:sz="8" w:color="auto"/>
            </w:tcBorders>
            <w:shd w:val="clear" w:color="auto" w:fill="FFC000"/>
          </w:tcPr>
          <w:p>
            <w:pPr>
              <w:spacing w:after="0"/>
              <w:rPr>
                <w:sz w:val="7"/>
                <w:szCs w:val="7"/>
                <w:color w:val="auto"/>
              </w:rPr>
            </w:pPr>
          </w:p>
        </w:tc>
        <w:tc>
          <w:tcPr>
            <w:tcW w:w="1340" w:type="dxa"/>
            <w:vAlign w:val="bottom"/>
            <w:tcBorders>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780" w:type="dxa"/>
            <w:vAlign w:val="bottom"/>
            <w:tcBorders>
              <w:bottom w:val="single" w:sz="8" w:color="auto"/>
              <w:right w:val="single" w:sz="8" w:color="auto"/>
            </w:tcBorders>
            <w:shd w:val="clear" w:color="auto" w:fill="FFC000"/>
          </w:tcPr>
          <w:p>
            <w:pPr>
              <w:spacing w:after="0"/>
              <w:rPr>
                <w:sz w:val="7"/>
                <w:szCs w:val="7"/>
                <w:color w:val="auto"/>
              </w:rPr>
            </w:pPr>
          </w:p>
        </w:tc>
        <w:tc>
          <w:tcPr>
            <w:tcW w:w="1000" w:type="dxa"/>
            <w:vAlign w:val="bottom"/>
            <w:tcBorders>
              <w:bottom w:val="single" w:sz="8" w:color="auto"/>
              <w:right w:val="single" w:sz="8" w:color="auto"/>
            </w:tcBorders>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Strengthening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Deepening</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Financial Inclusion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 Transforming</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Financial</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Education/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Promoting the</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3-3 Material issue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development of</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Entrepreneurs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micro, small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medium</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businesses/ Our</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impact through</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Social</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Responsibility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Initiatives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Strengthening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deepening</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Financial Inclusion</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and Transforming</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413-1 Operations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Financial</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Education/</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with the participation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Promoting the</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of the local</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Development of</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community, impact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Entrepreneurs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assessments and</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micro, small and</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development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medium</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413: LOCAL</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programs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line="150" w:lineRule="exact"/>
              <w:rPr>
                <w:sz w:val="20"/>
                <w:szCs w:val="20"/>
                <w:color w:val="auto"/>
              </w:rPr>
            </w:pPr>
            <w:r>
              <w:rPr>
                <w:rFonts w:ascii="Arial" w:cs="Arial" w:eastAsia="Arial" w:hAnsi="Arial"/>
                <w:sz w:val="15"/>
                <w:szCs w:val="15"/>
                <w:color w:val="auto"/>
              </w:rPr>
              <w:t>businesses / Our</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20" w:type="dxa"/>
            <w:vAlign w:val="bottom"/>
            <w:tcBorders>
              <w:left w:val="single" w:sz="8" w:color="auto"/>
              <w:right w:val="single" w:sz="8" w:color="auto"/>
            </w:tcBorders>
            <w:vMerge w:val="continue"/>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COMMUNITIES 2016</w:t>
            </w: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impact through</w:t>
            </w:r>
          </w:p>
        </w:tc>
        <w:tc>
          <w:tcPr>
            <w:tcW w:w="17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Social</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Responsibility</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initiatives</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line="146" w:lineRule="exact"/>
              <w:rPr>
                <w:sz w:val="20"/>
                <w:szCs w:val="20"/>
                <w:color w:val="auto"/>
              </w:rPr>
            </w:pPr>
            <w:r>
              <w:rPr>
                <w:rFonts w:ascii="Arial" w:cs="Arial" w:eastAsia="Arial" w:hAnsi="Arial"/>
                <w:sz w:val="15"/>
                <w:szCs w:val="15"/>
                <w:b w:val="1"/>
                <w:bCs w:val="1"/>
                <w:color w:val="auto"/>
              </w:rPr>
              <w:t>There is no</w:t>
            </w: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413-2 Operations</w:t>
            </w: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consolidated data</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with significant</w:t>
            </w: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Information</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available. We are</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negative impacts –</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_</w:t>
            </w:r>
          </w:p>
        </w:tc>
        <w:tc>
          <w:tcPr>
            <w:tcW w:w="1700" w:type="dxa"/>
            <w:vAlign w:val="bottom"/>
            <w:tcBorders>
              <w:right w:val="single" w:sz="8" w:color="auto"/>
            </w:tcBorders>
          </w:tcPr>
          <w:p>
            <w:pPr>
              <w:jc w:val="right"/>
              <w:ind w:right="583"/>
              <w:spacing w:after="0"/>
              <w:rPr>
                <w:sz w:val="20"/>
                <w:szCs w:val="20"/>
                <w:color w:val="auto"/>
              </w:rPr>
            </w:pPr>
            <w:r>
              <w:rPr>
                <w:rFonts w:ascii="Arial" w:cs="Arial" w:eastAsia="Arial" w:hAnsi="Arial"/>
                <w:sz w:val="15"/>
                <w:szCs w:val="15"/>
                <w:color w:val="auto"/>
              </w:rPr>
              <w:t>413-2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unavailable or</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working to cover</w:t>
            </w:r>
          </w:p>
        </w:tc>
        <w:tc>
          <w:tcPr>
            <w:tcW w:w="780" w:type="dxa"/>
            <w:vAlign w:val="bottom"/>
            <w:tcBorders>
              <w:right w:val="single" w:sz="8" w:color="auto"/>
            </w:tcBorders>
          </w:tcPr>
          <w:p>
            <w:pPr>
              <w:jc w:val="right"/>
              <w:ind w:right="183"/>
              <w:spacing w:after="0"/>
              <w:rPr>
                <w:sz w:val="20"/>
                <w:szCs w:val="20"/>
                <w:color w:val="auto"/>
              </w:rPr>
            </w:pPr>
            <w:r>
              <w:rPr>
                <w:rFonts w:ascii="Arial" w:cs="Arial" w:eastAsia="Arial" w:hAnsi="Arial"/>
                <w:sz w:val="15"/>
                <w:szCs w:val="15"/>
                <w:color w:val="auto"/>
              </w:rPr>
              <w:t>1 - 2</w:t>
            </w:r>
          </w:p>
        </w:tc>
        <w:tc>
          <w:tcPr>
            <w:tcW w:w="1000" w:type="dxa"/>
            <w:vAlign w:val="bottom"/>
            <w:tcBorders>
              <w:right w:val="single" w:sz="8" w:color="auto"/>
            </w:tcBorders>
          </w:tcPr>
          <w:p>
            <w:pPr>
              <w:jc w:val="right"/>
              <w:ind w:right="143"/>
              <w:spacing w:after="0"/>
              <w:rPr>
                <w:sz w:val="20"/>
                <w:szCs w:val="20"/>
                <w:color w:val="auto"/>
              </w:rPr>
            </w:pPr>
            <w:r>
              <w:rPr>
                <w:rFonts w:ascii="Arial" w:cs="Arial" w:eastAsia="Arial" w:hAnsi="Arial"/>
                <w:sz w:val="15"/>
                <w:szCs w:val="15"/>
                <w:color w:val="auto"/>
              </w:rPr>
              <w:t>1.4 - 2.3</w:t>
            </w: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real and potential–</w:t>
            </w: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incomplete</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this point in future</w:t>
            </w: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on local communities</w:t>
            </w:r>
          </w:p>
        </w:tc>
        <w:tc>
          <w:tcPr>
            <w:tcW w:w="1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reports.</w:t>
            </w:r>
          </w:p>
        </w:tc>
        <w:tc>
          <w:tcPr>
            <w:tcW w:w="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20" w:type="dxa"/>
            <w:vAlign w:val="bottom"/>
            <w:tcBorders>
              <w:left w:val="single" w:sz="8" w:color="auto"/>
              <w:right w:val="single" w:sz="8" w:color="auto"/>
            </w:tcBorders>
            <w:shd w:val="clear" w:color="auto" w:fill="FFC000"/>
          </w:tcPr>
          <w:p>
            <w:pPr>
              <w:ind w:left="60"/>
              <w:spacing w:after="0" w:line="146" w:lineRule="exact"/>
              <w:rPr>
                <w:sz w:val="20"/>
                <w:szCs w:val="20"/>
                <w:color w:val="auto"/>
              </w:rPr>
            </w:pPr>
            <w:r>
              <w:rPr>
                <w:rFonts w:ascii="Arial" w:cs="Arial" w:eastAsia="Arial" w:hAnsi="Arial"/>
                <w:sz w:val="15"/>
                <w:szCs w:val="15"/>
                <w:b w:val="1"/>
                <w:bCs w:val="1"/>
                <w:color w:val="auto"/>
              </w:rPr>
              <w:t>MARKETING AND</w:t>
            </w:r>
          </w:p>
        </w:tc>
        <w:tc>
          <w:tcPr>
            <w:tcW w:w="1580" w:type="dxa"/>
            <w:vAlign w:val="bottom"/>
            <w:tcBorders>
              <w:right w:val="single" w:sz="8" w:color="auto"/>
            </w:tcBorders>
            <w:shd w:val="clear" w:color="auto" w:fill="FFC000"/>
          </w:tcPr>
          <w:p>
            <w:pPr>
              <w:spacing w:after="0"/>
              <w:rPr>
                <w:sz w:val="12"/>
                <w:szCs w:val="12"/>
                <w:color w:val="auto"/>
              </w:rPr>
            </w:pPr>
          </w:p>
        </w:tc>
        <w:tc>
          <w:tcPr>
            <w:tcW w:w="1460" w:type="dxa"/>
            <w:vAlign w:val="bottom"/>
            <w:tcBorders>
              <w:right w:val="single" w:sz="8" w:color="auto"/>
            </w:tcBorders>
            <w:shd w:val="clear" w:color="auto" w:fill="FFC000"/>
          </w:tcPr>
          <w:p>
            <w:pPr>
              <w:spacing w:after="0"/>
              <w:rPr>
                <w:sz w:val="12"/>
                <w:szCs w:val="12"/>
                <w:color w:val="auto"/>
              </w:rPr>
            </w:pPr>
          </w:p>
        </w:tc>
        <w:tc>
          <w:tcPr>
            <w:tcW w:w="1700" w:type="dxa"/>
            <w:vAlign w:val="bottom"/>
            <w:tcBorders>
              <w:right w:val="single" w:sz="8" w:color="auto"/>
            </w:tcBorders>
            <w:shd w:val="clear" w:color="auto" w:fill="FFC000"/>
          </w:tcPr>
          <w:p>
            <w:pPr>
              <w:spacing w:after="0"/>
              <w:rPr>
                <w:sz w:val="12"/>
                <w:szCs w:val="12"/>
                <w:color w:val="auto"/>
              </w:rPr>
            </w:pPr>
          </w:p>
        </w:tc>
        <w:tc>
          <w:tcPr>
            <w:tcW w:w="1340" w:type="dxa"/>
            <w:vAlign w:val="bottom"/>
            <w:tcBorders>
              <w:right w:val="single" w:sz="8" w:color="auto"/>
            </w:tcBorders>
            <w:shd w:val="clear" w:color="auto" w:fill="FFC000"/>
          </w:tcPr>
          <w:p>
            <w:pPr>
              <w:spacing w:after="0"/>
              <w:rPr>
                <w:sz w:val="12"/>
                <w:szCs w:val="12"/>
                <w:color w:val="auto"/>
              </w:rPr>
            </w:pPr>
          </w:p>
        </w:tc>
        <w:tc>
          <w:tcPr>
            <w:tcW w:w="1580" w:type="dxa"/>
            <w:vAlign w:val="bottom"/>
            <w:tcBorders>
              <w:right w:val="single" w:sz="8" w:color="auto"/>
            </w:tcBorders>
            <w:shd w:val="clear" w:color="auto" w:fill="FFC000"/>
          </w:tcPr>
          <w:p>
            <w:pPr>
              <w:spacing w:after="0"/>
              <w:rPr>
                <w:sz w:val="12"/>
                <w:szCs w:val="12"/>
                <w:color w:val="auto"/>
              </w:rPr>
            </w:pPr>
          </w:p>
        </w:tc>
        <w:tc>
          <w:tcPr>
            <w:tcW w:w="780" w:type="dxa"/>
            <w:vAlign w:val="bottom"/>
            <w:tcBorders>
              <w:right w:val="single" w:sz="8" w:color="auto"/>
            </w:tcBorders>
            <w:shd w:val="clear" w:color="auto" w:fill="FFC000"/>
          </w:tcPr>
          <w:p>
            <w:pPr>
              <w:spacing w:after="0"/>
              <w:rPr>
                <w:sz w:val="12"/>
                <w:szCs w:val="12"/>
                <w:color w:val="auto"/>
              </w:rPr>
            </w:pPr>
          </w:p>
        </w:tc>
        <w:tc>
          <w:tcPr>
            <w:tcW w:w="1000" w:type="dxa"/>
            <w:vAlign w:val="bottom"/>
            <w:tcBorders>
              <w:right w:val="single" w:sz="8" w:color="auto"/>
            </w:tcBorders>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LABELING</w:t>
            </w:r>
          </w:p>
        </w:tc>
        <w:tc>
          <w:tcPr>
            <w:tcW w:w="1580" w:type="dxa"/>
            <w:vAlign w:val="bottom"/>
            <w:tcBorders>
              <w:right w:val="single" w:sz="8" w:color="auto"/>
            </w:tcBorders>
            <w:shd w:val="clear" w:color="auto" w:fill="FFC000"/>
          </w:tcPr>
          <w:p>
            <w:pPr>
              <w:spacing w:after="0"/>
              <w:rPr>
                <w:sz w:val="17"/>
                <w:szCs w:val="17"/>
                <w:color w:val="auto"/>
              </w:rPr>
            </w:pPr>
          </w:p>
        </w:tc>
        <w:tc>
          <w:tcPr>
            <w:tcW w:w="1460" w:type="dxa"/>
            <w:vAlign w:val="bottom"/>
            <w:tcBorders>
              <w:right w:val="single" w:sz="8" w:color="auto"/>
            </w:tcBorders>
            <w:shd w:val="clear" w:color="auto" w:fill="FFC000"/>
          </w:tcPr>
          <w:p>
            <w:pPr>
              <w:spacing w:after="0"/>
              <w:rPr>
                <w:sz w:val="17"/>
                <w:szCs w:val="17"/>
                <w:color w:val="auto"/>
              </w:rPr>
            </w:pPr>
          </w:p>
        </w:tc>
        <w:tc>
          <w:tcPr>
            <w:tcW w:w="1700" w:type="dxa"/>
            <w:vAlign w:val="bottom"/>
            <w:tcBorders>
              <w:right w:val="single" w:sz="8" w:color="auto"/>
            </w:tcBorders>
            <w:shd w:val="clear" w:color="auto" w:fill="FFC000"/>
          </w:tcPr>
          <w:p>
            <w:pPr>
              <w:spacing w:after="0"/>
              <w:rPr>
                <w:sz w:val="17"/>
                <w:szCs w:val="17"/>
                <w:color w:val="auto"/>
              </w:rPr>
            </w:pPr>
          </w:p>
        </w:tc>
        <w:tc>
          <w:tcPr>
            <w:tcW w:w="1340" w:type="dxa"/>
            <w:vAlign w:val="bottom"/>
            <w:tcBorders>
              <w:right w:val="single" w:sz="8" w:color="auto"/>
            </w:tcBorders>
            <w:shd w:val="clear" w:color="auto" w:fill="FFC000"/>
          </w:tcPr>
          <w:p>
            <w:pPr>
              <w:spacing w:after="0"/>
              <w:rPr>
                <w:sz w:val="17"/>
                <w:szCs w:val="17"/>
                <w:color w:val="auto"/>
              </w:rPr>
            </w:pPr>
          </w:p>
        </w:tc>
        <w:tc>
          <w:tcPr>
            <w:tcW w:w="1580" w:type="dxa"/>
            <w:vAlign w:val="bottom"/>
            <w:tcBorders>
              <w:right w:val="single" w:sz="8" w:color="auto"/>
            </w:tcBorders>
            <w:shd w:val="clear" w:color="auto" w:fill="FFC000"/>
          </w:tcPr>
          <w:p>
            <w:pPr>
              <w:spacing w:after="0"/>
              <w:rPr>
                <w:sz w:val="17"/>
                <w:szCs w:val="17"/>
                <w:color w:val="auto"/>
              </w:rPr>
            </w:pPr>
          </w:p>
        </w:tc>
        <w:tc>
          <w:tcPr>
            <w:tcW w:w="780" w:type="dxa"/>
            <w:vAlign w:val="bottom"/>
            <w:tcBorders>
              <w:right w:val="single" w:sz="8" w:color="auto"/>
            </w:tcBorders>
            <w:shd w:val="clear" w:color="auto" w:fill="FFC000"/>
          </w:tcPr>
          <w:p>
            <w:pPr>
              <w:spacing w:after="0"/>
              <w:rPr>
                <w:sz w:val="17"/>
                <w:szCs w:val="17"/>
                <w:color w:val="auto"/>
              </w:rPr>
            </w:pPr>
          </w:p>
        </w:tc>
        <w:tc>
          <w:tcPr>
            <w:tcW w:w="1000" w:type="dxa"/>
            <w:vAlign w:val="bottom"/>
            <w:tcBorders>
              <w:right w:val="single" w:sz="8" w:color="auto"/>
            </w:tcBorders>
            <w:shd w:val="clear" w:color="auto" w:fill="FFC000"/>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shd w:val="clear" w:color="auto" w:fill="FFC000"/>
          </w:tcPr>
          <w:p>
            <w:pPr>
              <w:spacing w:after="0"/>
              <w:rPr>
                <w:sz w:val="9"/>
                <w:szCs w:val="9"/>
                <w:color w:val="auto"/>
              </w:rPr>
            </w:pPr>
          </w:p>
        </w:tc>
        <w:tc>
          <w:tcPr>
            <w:tcW w:w="1580" w:type="dxa"/>
            <w:vAlign w:val="bottom"/>
            <w:tcBorders>
              <w:bottom w:val="single" w:sz="8" w:color="auto"/>
              <w:right w:val="single" w:sz="8" w:color="auto"/>
            </w:tcBorders>
            <w:shd w:val="clear" w:color="auto" w:fill="FFC000"/>
          </w:tcPr>
          <w:p>
            <w:pPr>
              <w:spacing w:after="0"/>
              <w:rPr>
                <w:sz w:val="9"/>
                <w:szCs w:val="9"/>
                <w:color w:val="auto"/>
              </w:rPr>
            </w:pPr>
          </w:p>
        </w:tc>
        <w:tc>
          <w:tcPr>
            <w:tcW w:w="1460" w:type="dxa"/>
            <w:vAlign w:val="bottom"/>
            <w:tcBorders>
              <w:bottom w:val="single" w:sz="8" w:color="auto"/>
              <w:right w:val="single" w:sz="8" w:color="auto"/>
            </w:tcBorders>
            <w:shd w:val="clear" w:color="auto" w:fill="FFC000"/>
          </w:tcPr>
          <w:p>
            <w:pPr>
              <w:spacing w:after="0"/>
              <w:rPr>
                <w:sz w:val="9"/>
                <w:szCs w:val="9"/>
                <w:color w:val="auto"/>
              </w:rPr>
            </w:pPr>
          </w:p>
        </w:tc>
        <w:tc>
          <w:tcPr>
            <w:tcW w:w="1700" w:type="dxa"/>
            <w:vAlign w:val="bottom"/>
            <w:tcBorders>
              <w:bottom w:val="single" w:sz="8" w:color="auto"/>
              <w:right w:val="single" w:sz="8" w:color="auto"/>
            </w:tcBorders>
            <w:shd w:val="clear" w:color="auto" w:fill="FFC000"/>
          </w:tcPr>
          <w:p>
            <w:pPr>
              <w:spacing w:after="0"/>
              <w:rPr>
                <w:sz w:val="9"/>
                <w:szCs w:val="9"/>
                <w:color w:val="auto"/>
              </w:rPr>
            </w:pPr>
          </w:p>
        </w:tc>
        <w:tc>
          <w:tcPr>
            <w:tcW w:w="1340" w:type="dxa"/>
            <w:vAlign w:val="bottom"/>
            <w:tcBorders>
              <w:bottom w:val="single" w:sz="8" w:color="auto"/>
              <w:right w:val="single" w:sz="8" w:color="auto"/>
            </w:tcBorders>
            <w:shd w:val="clear" w:color="auto" w:fill="FFC000"/>
          </w:tcPr>
          <w:p>
            <w:pPr>
              <w:spacing w:after="0"/>
              <w:rPr>
                <w:sz w:val="9"/>
                <w:szCs w:val="9"/>
                <w:color w:val="auto"/>
              </w:rPr>
            </w:pPr>
          </w:p>
        </w:tc>
        <w:tc>
          <w:tcPr>
            <w:tcW w:w="1580" w:type="dxa"/>
            <w:vAlign w:val="bottom"/>
            <w:tcBorders>
              <w:bottom w:val="single" w:sz="8" w:color="auto"/>
              <w:right w:val="single" w:sz="8" w:color="auto"/>
            </w:tcBorders>
            <w:shd w:val="clear" w:color="auto" w:fill="FFC000"/>
          </w:tcPr>
          <w:p>
            <w:pPr>
              <w:spacing w:after="0"/>
              <w:rPr>
                <w:sz w:val="9"/>
                <w:szCs w:val="9"/>
                <w:color w:val="auto"/>
              </w:rPr>
            </w:pPr>
          </w:p>
        </w:tc>
        <w:tc>
          <w:tcPr>
            <w:tcW w:w="780" w:type="dxa"/>
            <w:vAlign w:val="bottom"/>
            <w:tcBorders>
              <w:bottom w:val="single" w:sz="8" w:color="auto"/>
              <w:right w:val="single" w:sz="8" w:color="auto"/>
            </w:tcBorders>
            <w:shd w:val="clear" w:color="auto" w:fill="FFC000"/>
          </w:tcPr>
          <w:p>
            <w:pPr>
              <w:spacing w:after="0"/>
              <w:rPr>
                <w:sz w:val="9"/>
                <w:szCs w:val="9"/>
                <w:color w:val="auto"/>
              </w:rPr>
            </w:pPr>
          </w:p>
        </w:tc>
        <w:tc>
          <w:tcPr>
            <w:tcW w:w="1000" w:type="dxa"/>
            <w:vAlign w:val="bottom"/>
            <w:tcBorders>
              <w:bottom w:val="single" w:sz="8" w:color="auto"/>
              <w:right w:val="single" w:sz="8" w:color="auto"/>
            </w:tcBorders>
            <w:shd w:val="clear" w:color="auto" w:fill="FFC000"/>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3-3 Material Issue</w:t>
            </w: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Simplicity and</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Transparency that</w:t>
            </w: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Generates Trust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38"/>
        </w:trPr>
        <w:tc>
          <w:tcPr>
            <w:tcW w:w="1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7" w:right="319" w:bottom="1440" w:gutter="0" w:footer="0" w:header="0"/>
        </w:sectPr>
      </w:pPr>
    </w:p>
    <w:bookmarkStart w:id="186" w:name="page187"/>
    <w:bookmarkEnd w:id="1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82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417-1 Requirements</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Simplicity and</w:t>
            </w:r>
          </w:p>
        </w:tc>
        <w:tc>
          <w:tcPr>
            <w:tcW w:w="17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for information and</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Transparency that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right"/>
              <w:ind w:right="243"/>
              <w:spacing w:after="0"/>
              <w:rPr>
                <w:sz w:val="20"/>
                <w:szCs w:val="20"/>
                <w:color w:val="auto"/>
              </w:rPr>
            </w:pPr>
            <w:r>
              <w:rPr>
                <w:rFonts w:ascii="Arial" w:cs="Arial" w:eastAsia="Arial" w:hAnsi="Arial"/>
                <w:sz w:val="15"/>
                <w:szCs w:val="15"/>
                <w:color w:val="auto"/>
              </w:rPr>
              <w:t>12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labeling of products</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Generates Trust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and services</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417-2 Cases of non-</w:t>
            </w: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There is no</w:t>
            </w: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consolidated data</w:t>
            </w: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compliance related to</w:t>
            </w: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Information not</w:t>
            </w: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available. We are</w:t>
            </w: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417: MARKETING</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information and</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_</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available of</w:t>
            </w: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right"/>
              <w:ind w:right="243"/>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working to cover</w:t>
            </w:r>
          </w:p>
        </w:tc>
        <w:tc>
          <w:tcPr>
            <w:tcW w:w="7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AND LABELING 2016</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labeling of products</w:t>
            </w: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incomplete</w:t>
            </w: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these points in the</w:t>
            </w: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and services</w:t>
            </w: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future.</w:t>
            </w: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417-3 Cases of</w:t>
            </w: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failure to comply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Simplicity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related to</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Transparency that</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right"/>
              <w:ind w:right="243"/>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communications and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Generates Trust</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marketing</w:t>
            </w: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5"/>
                <w:szCs w:val="15"/>
                <w:b w:val="1"/>
                <w:bCs w:val="1"/>
                <w:color w:val="auto"/>
              </w:rPr>
              <w:t>CLIENT PRIVACY</w:t>
            </w:r>
          </w:p>
        </w:tc>
        <w:tc>
          <w:tcPr>
            <w:tcW w:w="1580" w:type="dxa"/>
            <w:vAlign w:val="bottom"/>
            <w:tcBorders>
              <w:right w:val="single" w:sz="8" w:color="auto"/>
            </w:tcBorders>
            <w:shd w:val="clear" w:color="auto" w:fill="FFC000"/>
          </w:tcPr>
          <w:p>
            <w:pPr>
              <w:spacing w:after="0"/>
              <w:rPr>
                <w:sz w:val="16"/>
                <w:szCs w:val="16"/>
                <w:color w:val="auto"/>
              </w:rPr>
            </w:pPr>
          </w:p>
        </w:tc>
        <w:tc>
          <w:tcPr>
            <w:tcW w:w="1460" w:type="dxa"/>
            <w:vAlign w:val="bottom"/>
            <w:tcBorders>
              <w:right w:val="single" w:sz="8" w:color="auto"/>
            </w:tcBorders>
            <w:shd w:val="clear" w:color="auto" w:fill="FFC000"/>
          </w:tcPr>
          <w:p>
            <w:pPr>
              <w:spacing w:after="0"/>
              <w:rPr>
                <w:sz w:val="16"/>
                <w:szCs w:val="16"/>
                <w:color w:val="auto"/>
              </w:rPr>
            </w:pPr>
          </w:p>
        </w:tc>
        <w:tc>
          <w:tcPr>
            <w:tcW w:w="1700" w:type="dxa"/>
            <w:vAlign w:val="bottom"/>
            <w:tcBorders>
              <w:right w:val="single" w:sz="8" w:color="auto"/>
            </w:tcBorders>
            <w:shd w:val="clear" w:color="auto" w:fill="FFC000"/>
          </w:tcPr>
          <w:p>
            <w:pPr>
              <w:spacing w:after="0"/>
              <w:rPr>
                <w:sz w:val="16"/>
                <w:szCs w:val="16"/>
                <w:color w:val="auto"/>
              </w:rPr>
            </w:pPr>
          </w:p>
        </w:tc>
        <w:tc>
          <w:tcPr>
            <w:tcW w:w="1340" w:type="dxa"/>
            <w:vAlign w:val="bottom"/>
            <w:tcBorders>
              <w:right w:val="single" w:sz="8" w:color="auto"/>
            </w:tcBorders>
            <w:shd w:val="clear" w:color="auto" w:fill="FFC000"/>
          </w:tcPr>
          <w:p>
            <w:pPr>
              <w:spacing w:after="0"/>
              <w:rPr>
                <w:sz w:val="16"/>
                <w:szCs w:val="16"/>
                <w:color w:val="auto"/>
              </w:rPr>
            </w:pPr>
          </w:p>
        </w:tc>
        <w:tc>
          <w:tcPr>
            <w:tcW w:w="1580" w:type="dxa"/>
            <w:vAlign w:val="bottom"/>
            <w:tcBorders>
              <w:right w:val="single" w:sz="8" w:color="auto"/>
            </w:tcBorders>
            <w:shd w:val="clear" w:color="auto" w:fill="FFC000"/>
          </w:tcPr>
          <w:p>
            <w:pPr>
              <w:spacing w:after="0"/>
              <w:rPr>
                <w:sz w:val="16"/>
                <w:szCs w:val="16"/>
                <w:color w:val="auto"/>
              </w:rPr>
            </w:pPr>
          </w:p>
        </w:tc>
        <w:tc>
          <w:tcPr>
            <w:tcW w:w="780" w:type="dxa"/>
            <w:vAlign w:val="bottom"/>
            <w:tcBorders>
              <w:right w:val="single" w:sz="8" w:color="auto"/>
            </w:tcBorders>
            <w:shd w:val="clear" w:color="auto" w:fill="FFC000"/>
          </w:tcPr>
          <w:p>
            <w:pPr>
              <w:spacing w:after="0"/>
              <w:rPr>
                <w:sz w:val="16"/>
                <w:szCs w:val="16"/>
                <w:color w:val="auto"/>
              </w:rPr>
            </w:pPr>
          </w:p>
        </w:tc>
        <w:tc>
          <w:tcPr>
            <w:tcW w:w="1000" w:type="dxa"/>
            <w:vAlign w:val="bottom"/>
            <w:tcBorders>
              <w:right w:val="single" w:sz="8" w:color="auto"/>
            </w:tcBorders>
            <w:shd w:val="clear" w:color="auto" w:fill="FFC000"/>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1460" w:type="dxa"/>
            <w:vAlign w:val="bottom"/>
            <w:tcBorders>
              <w:bottom w:val="single" w:sz="8" w:color="auto"/>
              <w:right w:val="single" w:sz="8" w:color="auto"/>
            </w:tcBorders>
            <w:shd w:val="clear" w:color="auto" w:fill="FFC000"/>
          </w:tcPr>
          <w:p>
            <w:pPr>
              <w:spacing w:after="0"/>
              <w:rPr>
                <w:sz w:val="7"/>
                <w:szCs w:val="7"/>
                <w:color w:val="auto"/>
              </w:rPr>
            </w:pPr>
          </w:p>
        </w:tc>
        <w:tc>
          <w:tcPr>
            <w:tcW w:w="1700" w:type="dxa"/>
            <w:vAlign w:val="bottom"/>
            <w:tcBorders>
              <w:bottom w:val="single" w:sz="8" w:color="auto"/>
              <w:right w:val="single" w:sz="8" w:color="auto"/>
            </w:tcBorders>
            <w:shd w:val="clear" w:color="auto" w:fill="FFC000"/>
          </w:tcPr>
          <w:p>
            <w:pPr>
              <w:spacing w:after="0"/>
              <w:rPr>
                <w:sz w:val="7"/>
                <w:szCs w:val="7"/>
                <w:color w:val="auto"/>
              </w:rPr>
            </w:pPr>
          </w:p>
        </w:tc>
        <w:tc>
          <w:tcPr>
            <w:tcW w:w="1340" w:type="dxa"/>
            <w:vAlign w:val="bottom"/>
            <w:tcBorders>
              <w:bottom w:val="single" w:sz="8" w:color="auto"/>
              <w:right w:val="single" w:sz="8" w:color="auto"/>
            </w:tcBorders>
            <w:shd w:val="clear" w:color="auto" w:fill="FFC000"/>
          </w:tcPr>
          <w:p>
            <w:pPr>
              <w:spacing w:after="0"/>
              <w:rPr>
                <w:sz w:val="7"/>
                <w:szCs w:val="7"/>
                <w:color w:val="auto"/>
              </w:rPr>
            </w:pPr>
          </w:p>
        </w:tc>
        <w:tc>
          <w:tcPr>
            <w:tcW w:w="1580" w:type="dxa"/>
            <w:vAlign w:val="bottom"/>
            <w:tcBorders>
              <w:bottom w:val="single" w:sz="8" w:color="auto"/>
              <w:right w:val="single" w:sz="8" w:color="auto"/>
            </w:tcBorders>
            <w:shd w:val="clear" w:color="auto" w:fill="FFC000"/>
          </w:tcPr>
          <w:p>
            <w:pPr>
              <w:spacing w:after="0"/>
              <w:rPr>
                <w:sz w:val="7"/>
                <w:szCs w:val="7"/>
                <w:color w:val="auto"/>
              </w:rPr>
            </w:pPr>
          </w:p>
        </w:tc>
        <w:tc>
          <w:tcPr>
            <w:tcW w:w="780" w:type="dxa"/>
            <w:vAlign w:val="bottom"/>
            <w:tcBorders>
              <w:bottom w:val="single" w:sz="8" w:color="auto"/>
              <w:right w:val="single" w:sz="8" w:color="auto"/>
            </w:tcBorders>
            <w:shd w:val="clear" w:color="auto" w:fill="FFC000"/>
          </w:tcPr>
          <w:p>
            <w:pPr>
              <w:spacing w:after="0"/>
              <w:rPr>
                <w:sz w:val="7"/>
                <w:szCs w:val="7"/>
                <w:color w:val="auto"/>
              </w:rPr>
            </w:pPr>
          </w:p>
        </w:tc>
        <w:tc>
          <w:tcPr>
            <w:tcW w:w="1000" w:type="dxa"/>
            <w:vAlign w:val="bottom"/>
            <w:tcBorders>
              <w:bottom w:val="single" w:sz="8" w:color="auto"/>
              <w:right w:val="single" w:sz="8" w:color="auto"/>
            </w:tcBorders>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Risk Management</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GRI 3: Material Issues</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3-3 Material Issue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 Simplicity and</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2021</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Management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Transparency that</w:t>
            </w:r>
          </w:p>
        </w:tc>
        <w:tc>
          <w:tcPr>
            <w:tcW w:w="1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Generates Trust</w:t>
            </w:r>
          </w:p>
        </w:tc>
        <w:tc>
          <w:tcPr>
            <w:tcW w:w="1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418-1 Founded</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Risk Management</w:t>
            </w:r>
          </w:p>
        </w:tc>
        <w:tc>
          <w:tcPr>
            <w:tcW w:w="17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claims of violations of</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GRI 418: CLIENT</w:t>
            </w: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 Simplicity and</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client privacy and</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right"/>
              <w:ind w:right="243"/>
              <w:spacing w:after="0"/>
              <w:rPr>
                <w:sz w:val="20"/>
                <w:szCs w:val="20"/>
                <w:color w:val="auto"/>
              </w:rPr>
            </w:pPr>
            <w:r>
              <w:rPr>
                <w:rFonts w:ascii="Arial" w:cs="Arial" w:eastAsia="Arial" w:hAnsi="Arial"/>
                <w:sz w:val="15"/>
                <w:szCs w:val="15"/>
                <w:color w:val="auto"/>
              </w:rPr>
              <w:t>16</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16.3 - 16.10</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rPr>
              <w:t>PRIVACY 2016</w:t>
            </w: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Transparency that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loss of client</w:t>
            </w:r>
          </w:p>
        </w:tc>
        <w:tc>
          <w:tcPr>
            <w:tcW w:w="14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Generates Trust</w:t>
            </w: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information</w:t>
            </w:r>
          </w:p>
        </w:tc>
        <w:tc>
          <w:tcPr>
            <w:tcW w:w="14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38"/>
        </w:trPr>
        <w:tc>
          <w:tcPr>
            <w:tcW w:w="1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187" w:name="page188"/>
    <w:bookmarkEnd w:id="187"/>
    <w:p>
      <w:pPr>
        <w:ind w:left="100"/>
        <w:spacing w:after="0"/>
        <w:rPr>
          <w:sz w:val="20"/>
          <w:szCs w:val="20"/>
          <w:color w:val="auto"/>
        </w:rPr>
      </w:pPr>
      <w:r>
        <w:rPr>
          <w:rFonts w:ascii="Arial" w:cs="Arial" w:eastAsia="Arial" w:hAnsi="Arial"/>
          <w:sz w:val="15"/>
          <w:szCs w:val="15"/>
          <w:b w:val="1"/>
          <w:bCs w:val="1"/>
          <w:color w:val="auto"/>
          <w:highlight w:val="white"/>
        </w:rPr>
        <w:t>GRI Standards Content not identified as material according to Materiality Results but is reported by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2444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244475"/>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600" w:type="dxa"/>
            <w:vAlign w:val="bottom"/>
            <w:tcBorders>
              <w:top w:val="single" w:sz="8" w:color="auto"/>
              <w:left w:val="single" w:sz="8" w:color="auto"/>
              <w:bottom w:val="single" w:sz="8" w:color="auto"/>
              <w:right w:val="single" w:sz="8" w:color="auto"/>
            </w:tcBorders>
            <w:vMerge w:val="restart"/>
            <w:shd w:val="clear" w:color="auto" w:fill="808080"/>
          </w:tcPr>
          <w:p>
            <w:pPr>
              <w:ind w:left="20"/>
              <w:spacing w:after="0"/>
              <w:rPr>
                <w:sz w:val="20"/>
                <w:szCs w:val="20"/>
                <w:color w:val="auto"/>
              </w:rPr>
            </w:pPr>
            <w:r>
              <w:rPr>
                <w:rFonts w:ascii="Arial" w:cs="Arial" w:eastAsia="Arial" w:hAnsi="Arial"/>
                <w:sz w:val="15"/>
                <w:szCs w:val="15"/>
                <w:b w:val="1"/>
                <w:bCs w:val="1"/>
                <w:color w:val="auto"/>
              </w:rPr>
              <w:t>GRI STANDARD/ OTHER SOURCE</w:t>
            </w:r>
          </w:p>
        </w:tc>
        <w:tc>
          <w:tcPr>
            <w:tcW w:w="420" w:type="dxa"/>
            <w:vAlign w:val="bottom"/>
            <w:tcBorders>
              <w:top w:val="single" w:sz="8" w:color="auto"/>
              <w:bottom w:val="single" w:sz="8" w:color="808080"/>
            </w:tcBorders>
            <w:shd w:val="clear" w:color="auto" w:fill="808080"/>
          </w:tcPr>
          <w:p>
            <w:pPr>
              <w:spacing w:after="0"/>
              <w:rPr>
                <w:sz w:val="16"/>
                <w:szCs w:val="16"/>
                <w:color w:val="auto"/>
              </w:rPr>
            </w:pPr>
          </w:p>
        </w:tc>
        <w:tc>
          <w:tcPr>
            <w:tcW w:w="4100" w:type="dxa"/>
            <w:vAlign w:val="bottom"/>
            <w:tcBorders>
              <w:top w:val="single" w:sz="8" w:color="auto"/>
              <w:bottom w:val="single" w:sz="8" w:color="auto"/>
              <w:right w:val="single" w:sz="8" w:color="auto"/>
            </w:tcBorders>
            <w:vMerge w:val="restart"/>
            <w:shd w:val="clear" w:color="auto" w:fill="808080"/>
          </w:tcPr>
          <w:p>
            <w:pPr>
              <w:ind w:left="1380"/>
              <w:spacing w:after="0"/>
              <w:rPr>
                <w:sz w:val="20"/>
                <w:szCs w:val="20"/>
                <w:color w:val="auto"/>
              </w:rPr>
            </w:pPr>
            <w:r>
              <w:rPr>
                <w:rFonts w:ascii="Arial" w:cs="Arial" w:eastAsia="Arial" w:hAnsi="Arial"/>
                <w:sz w:val="15"/>
                <w:szCs w:val="15"/>
                <w:b w:val="1"/>
                <w:bCs w:val="1"/>
                <w:color w:val="auto"/>
              </w:rPr>
              <w:t>CONTENTS</w:t>
            </w:r>
          </w:p>
        </w:tc>
        <w:tc>
          <w:tcPr>
            <w:tcW w:w="2020" w:type="dxa"/>
            <w:vAlign w:val="bottom"/>
            <w:tcBorders>
              <w:top w:val="single" w:sz="8" w:color="auto"/>
              <w:bottom w:val="single" w:sz="8" w:color="auto"/>
              <w:right w:val="single" w:sz="8" w:color="auto"/>
            </w:tcBorders>
            <w:vMerge w:val="restart"/>
            <w:shd w:val="clear" w:color="auto" w:fill="808080"/>
          </w:tcPr>
          <w:p>
            <w:pPr>
              <w:jc w:val="center"/>
              <w:ind w:right="24"/>
              <w:spacing w:after="0"/>
              <w:rPr>
                <w:sz w:val="20"/>
                <w:szCs w:val="20"/>
                <w:color w:val="auto"/>
              </w:rPr>
            </w:pPr>
            <w:r>
              <w:rPr>
                <w:rFonts w:ascii="Arial" w:cs="Arial" w:eastAsia="Arial" w:hAnsi="Arial"/>
                <w:sz w:val="15"/>
                <w:szCs w:val="15"/>
                <w:b w:val="1"/>
                <w:bCs w:val="1"/>
                <w:color w:val="auto"/>
              </w:rPr>
              <w:t>SECTION</w:t>
            </w:r>
          </w:p>
        </w:tc>
        <w:tc>
          <w:tcPr>
            <w:tcW w:w="140" w:type="dxa"/>
            <w:vAlign w:val="bottom"/>
            <w:tcBorders>
              <w:top w:val="single" w:sz="8" w:color="auto"/>
              <w:bottom w:val="single" w:sz="8" w:color="auto"/>
            </w:tcBorders>
            <w:shd w:val="clear" w:color="auto" w:fill="808080"/>
          </w:tcPr>
          <w:p>
            <w:pPr>
              <w:spacing w:after="0"/>
              <w:rPr>
                <w:sz w:val="16"/>
                <w:szCs w:val="16"/>
                <w:color w:val="auto"/>
              </w:rPr>
            </w:pPr>
          </w:p>
        </w:tc>
        <w:tc>
          <w:tcPr>
            <w:tcW w:w="1980" w:type="dxa"/>
            <w:vAlign w:val="bottom"/>
            <w:tcBorders>
              <w:top w:val="single" w:sz="8" w:color="auto"/>
              <w:bottom w:val="single" w:sz="8" w:color="auto"/>
              <w:right w:val="single" w:sz="8" w:color="auto"/>
            </w:tcBorders>
            <w:gridSpan w:val="2"/>
            <w:shd w:val="clear" w:color="auto" w:fill="808080"/>
          </w:tcPr>
          <w:p>
            <w:pPr>
              <w:jc w:val="right"/>
              <w:ind w:right="504"/>
              <w:spacing w:after="0"/>
              <w:rPr>
                <w:sz w:val="20"/>
                <w:szCs w:val="20"/>
                <w:color w:val="auto"/>
              </w:rPr>
            </w:pPr>
            <w:r>
              <w:rPr>
                <w:rFonts w:ascii="Arial" w:cs="Arial" w:eastAsia="Arial" w:hAnsi="Arial"/>
                <w:sz w:val="15"/>
                <w:szCs w:val="15"/>
                <w:b w:val="1"/>
                <w:bCs w:val="1"/>
                <w:color w:val="auto"/>
              </w:rPr>
              <w:t>AGENDA 2030</w:t>
            </w:r>
          </w:p>
        </w:tc>
        <w:tc>
          <w:tcPr>
            <w:tcW w:w="0" w:type="dxa"/>
            <w:vAlign w:val="bottom"/>
          </w:tcPr>
          <w:p>
            <w:pPr>
              <w:spacing w:after="0"/>
              <w:rPr>
                <w:sz w:val="1"/>
                <w:szCs w:val="1"/>
                <w:color w:val="auto"/>
              </w:rPr>
            </w:pPr>
          </w:p>
        </w:tc>
      </w:tr>
      <w:tr>
        <w:trPr>
          <w:trHeight w:val="84"/>
        </w:trPr>
        <w:tc>
          <w:tcPr>
            <w:tcW w:w="2600" w:type="dxa"/>
            <w:vAlign w:val="bottom"/>
            <w:tcBorders>
              <w:left w:val="single" w:sz="8" w:color="auto"/>
              <w:right w:val="single" w:sz="8" w:color="auto"/>
            </w:tcBorders>
            <w:vMerge w:val="continue"/>
            <w:shd w:val="clear" w:color="auto" w:fill="808080"/>
          </w:tcPr>
          <w:p>
            <w:pPr>
              <w:spacing w:after="0"/>
              <w:rPr>
                <w:sz w:val="7"/>
                <w:szCs w:val="7"/>
                <w:color w:val="auto"/>
              </w:rPr>
            </w:pPr>
          </w:p>
        </w:tc>
        <w:tc>
          <w:tcPr>
            <w:tcW w:w="420" w:type="dxa"/>
            <w:vAlign w:val="bottom"/>
            <w:shd w:val="clear" w:color="auto" w:fill="808080"/>
          </w:tcPr>
          <w:p>
            <w:pPr>
              <w:spacing w:after="0"/>
              <w:rPr>
                <w:sz w:val="7"/>
                <w:szCs w:val="7"/>
                <w:color w:val="auto"/>
              </w:rPr>
            </w:pPr>
          </w:p>
        </w:tc>
        <w:tc>
          <w:tcPr>
            <w:tcW w:w="4100" w:type="dxa"/>
            <w:vAlign w:val="bottom"/>
            <w:tcBorders>
              <w:right w:val="single" w:sz="8" w:color="auto"/>
            </w:tcBorders>
            <w:vMerge w:val="continue"/>
            <w:shd w:val="clear" w:color="auto" w:fill="808080"/>
          </w:tcPr>
          <w:p>
            <w:pPr>
              <w:spacing w:after="0"/>
              <w:rPr>
                <w:sz w:val="7"/>
                <w:szCs w:val="7"/>
                <w:color w:val="auto"/>
              </w:rPr>
            </w:pPr>
          </w:p>
        </w:tc>
        <w:tc>
          <w:tcPr>
            <w:tcW w:w="2020" w:type="dxa"/>
            <w:vAlign w:val="bottom"/>
            <w:tcBorders>
              <w:right w:val="single" w:sz="8" w:color="auto"/>
            </w:tcBorders>
            <w:vMerge w:val="continue"/>
            <w:shd w:val="clear" w:color="auto" w:fill="808080"/>
          </w:tcPr>
          <w:p>
            <w:pPr>
              <w:spacing w:after="0"/>
              <w:rPr>
                <w:sz w:val="7"/>
                <w:szCs w:val="7"/>
                <w:color w:val="auto"/>
              </w:rPr>
            </w:pPr>
          </w:p>
        </w:tc>
        <w:tc>
          <w:tcPr>
            <w:tcW w:w="140" w:type="dxa"/>
            <w:vAlign w:val="bottom"/>
            <w:shd w:val="clear" w:color="auto" w:fill="808080"/>
          </w:tcPr>
          <w:p>
            <w:pPr>
              <w:spacing w:after="0"/>
              <w:rPr>
                <w:sz w:val="7"/>
                <w:szCs w:val="7"/>
                <w:color w:val="auto"/>
              </w:rPr>
            </w:pPr>
          </w:p>
        </w:tc>
        <w:tc>
          <w:tcPr>
            <w:tcW w:w="760" w:type="dxa"/>
            <w:vAlign w:val="bottom"/>
            <w:tcBorders>
              <w:right w:val="single" w:sz="8" w:color="auto"/>
            </w:tcBorders>
            <w:vMerge w:val="restart"/>
            <w:shd w:val="clear" w:color="auto" w:fill="808080"/>
          </w:tcPr>
          <w:p>
            <w:pPr>
              <w:jc w:val="center"/>
              <w:ind w:right="143"/>
              <w:spacing w:after="0" w:line="164" w:lineRule="exact"/>
              <w:rPr>
                <w:sz w:val="20"/>
                <w:szCs w:val="20"/>
                <w:color w:val="auto"/>
              </w:rPr>
            </w:pPr>
            <w:r>
              <w:rPr>
                <w:rFonts w:ascii="Arial" w:cs="Arial" w:eastAsia="Arial" w:hAnsi="Arial"/>
                <w:sz w:val="15"/>
                <w:szCs w:val="15"/>
                <w:b w:val="1"/>
                <w:bCs w:val="1"/>
                <w:color w:val="auto"/>
              </w:rPr>
              <w:t>SDG</w:t>
            </w:r>
          </w:p>
        </w:tc>
        <w:tc>
          <w:tcPr>
            <w:tcW w:w="1220" w:type="dxa"/>
            <w:vAlign w:val="bottom"/>
            <w:tcBorders>
              <w:right w:val="single" w:sz="8" w:color="auto"/>
            </w:tcBorders>
            <w:vMerge w:val="restart"/>
            <w:shd w:val="clear" w:color="auto" w:fill="808080"/>
          </w:tcPr>
          <w:p>
            <w:pPr>
              <w:jc w:val="right"/>
              <w:ind w:right="344"/>
              <w:spacing w:after="0" w:line="164" w:lineRule="exact"/>
              <w:rPr>
                <w:sz w:val="20"/>
                <w:szCs w:val="20"/>
                <w:color w:val="auto"/>
              </w:rPr>
            </w:pPr>
            <w:r>
              <w:rPr>
                <w:rFonts w:ascii="Arial" w:cs="Arial" w:eastAsia="Arial" w:hAnsi="Arial"/>
                <w:sz w:val="15"/>
                <w:szCs w:val="15"/>
                <w:b w:val="1"/>
                <w:bCs w:val="1"/>
                <w:color w:val="auto"/>
              </w:rPr>
              <w:t>GOAL</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shd w:val="clear" w:color="auto" w:fill="808080"/>
          </w:tcPr>
          <w:p>
            <w:pPr>
              <w:spacing w:after="0"/>
              <w:rPr>
                <w:sz w:val="7"/>
                <w:szCs w:val="7"/>
                <w:color w:val="auto"/>
              </w:rPr>
            </w:pPr>
          </w:p>
        </w:tc>
        <w:tc>
          <w:tcPr>
            <w:tcW w:w="420" w:type="dxa"/>
            <w:vAlign w:val="bottom"/>
            <w:tcBorders>
              <w:bottom w:val="single" w:sz="8" w:color="auto"/>
            </w:tcBorders>
            <w:shd w:val="clear" w:color="auto" w:fill="808080"/>
          </w:tcPr>
          <w:p>
            <w:pPr>
              <w:spacing w:after="0"/>
              <w:rPr>
                <w:sz w:val="7"/>
                <w:szCs w:val="7"/>
                <w:color w:val="auto"/>
              </w:rPr>
            </w:pPr>
          </w:p>
        </w:tc>
        <w:tc>
          <w:tcPr>
            <w:tcW w:w="4100" w:type="dxa"/>
            <w:vAlign w:val="bottom"/>
            <w:tcBorders>
              <w:bottom w:val="single" w:sz="8" w:color="auto"/>
              <w:right w:val="single" w:sz="8" w:color="auto"/>
            </w:tcBorders>
            <w:shd w:val="clear" w:color="auto" w:fill="808080"/>
          </w:tcPr>
          <w:p>
            <w:pPr>
              <w:spacing w:after="0"/>
              <w:rPr>
                <w:sz w:val="7"/>
                <w:szCs w:val="7"/>
                <w:color w:val="auto"/>
              </w:rPr>
            </w:pPr>
          </w:p>
        </w:tc>
        <w:tc>
          <w:tcPr>
            <w:tcW w:w="2020" w:type="dxa"/>
            <w:vAlign w:val="bottom"/>
            <w:tcBorders>
              <w:bottom w:val="single" w:sz="8" w:color="auto"/>
              <w:right w:val="single" w:sz="8" w:color="auto"/>
            </w:tcBorders>
            <w:shd w:val="clear" w:color="auto" w:fill="808080"/>
          </w:tcPr>
          <w:p>
            <w:pPr>
              <w:spacing w:after="0"/>
              <w:rPr>
                <w:sz w:val="7"/>
                <w:szCs w:val="7"/>
                <w:color w:val="auto"/>
              </w:rPr>
            </w:pPr>
          </w:p>
        </w:tc>
        <w:tc>
          <w:tcPr>
            <w:tcW w:w="140" w:type="dxa"/>
            <w:vAlign w:val="bottom"/>
            <w:tcBorders>
              <w:bottom w:val="single" w:sz="8" w:color="auto"/>
            </w:tcBorders>
            <w:shd w:val="clear" w:color="auto" w:fill="808080"/>
          </w:tcPr>
          <w:p>
            <w:pPr>
              <w:spacing w:after="0"/>
              <w:rPr>
                <w:sz w:val="7"/>
                <w:szCs w:val="7"/>
                <w:color w:val="auto"/>
              </w:rPr>
            </w:pPr>
          </w:p>
        </w:tc>
        <w:tc>
          <w:tcPr>
            <w:tcW w:w="760" w:type="dxa"/>
            <w:vAlign w:val="bottom"/>
            <w:tcBorders>
              <w:bottom w:val="single" w:sz="8" w:color="auto"/>
              <w:right w:val="single" w:sz="8" w:color="auto"/>
            </w:tcBorders>
            <w:vMerge w:val="continue"/>
            <w:shd w:val="clear" w:color="auto" w:fill="808080"/>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808080"/>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0070C0"/>
          </w:tcPr>
          <w:p>
            <w:pPr>
              <w:spacing w:after="0" w:line="164" w:lineRule="exact"/>
              <w:rPr>
                <w:sz w:val="20"/>
                <w:szCs w:val="20"/>
                <w:color w:val="auto"/>
              </w:rPr>
            </w:pPr>
            <w:r>
              <w:rPr>
                <w:rFonts w:ascii="Arial" w:cs="Arial" w:eastAsia="Arial" w:hAnsi="Arial"/>
                <w:sz w:val="15"/>
                <w:szCs w:val="15"/>
                <w:b w:val="1"/>
                <w:bCs w:val="1"/>
                <w:color w:val="auto"/>
              </w:rPr>
              <w:t>PROCUREMENT PRACTICES</w:t>
            </w:r>
          </w:p>
        </w:tc>
        <w:tc>
          <w:tcPr>
            <w:tcW w:w="420" w:type="dxa"/>
            <w:vAlign w:val="bottom"/>
            <w:tcBorders>
              <w:bottom w:val="single" w:sz="8" w:color="auto"/>
            </w:tcBorders>
            <w:shd w:val="clear" w:color="auto" w:fill="0070C0"/>
          </w:tcPr>
          <w:p>
            <w:pPr>
              <w:spacing w:after="0"/>
              <w:rPr>
                <w:sz w:val="14"/>
                <w:szCs w:val="14"/>
                <w:color w:val="auto"/>
              </w:rPr>
            </w:pPr>
          </w:p>
        </w:tc>
        <w:tc>
          <w:tcPr>
            <w:tcW w:w="4100" w:type="dxa"/>
            <w:vAlign w:val="bottom"/>
            <w:tcBorders>
              <w:bottom w:val="single" w:sz="8" w:color="auto"/>
              <w:right w:val="single" w:sz="8" w:color="auto"/>
            </w:tcBorders>
            <w:shd w:val="clear" w:color="auto" w:fill="0070C0"/>
          </w:tcPr>
          <w:p>
            <w:pPr>
              <w:spacing w:after="0"/>
              <w:rPr>
                <w:sz w:val="14"/>
                <w:szCs w:val="14"/>
                <w:color w:val="auto"/>
              </w:rPr>
            </w:pPr>
          </w:p>
        </w:tc>
        <w:tc>
          <w:tcPr>
            <w:tcW w:w="2020" w:type="dxa"/>
            <w:vAlign w:val="bottom"/>
            <w:tcBorders>
              <w:bottom w:val="single" w:sz="8" w:color="auto"/>
              <w:right w:val="single" w:sz="8" w:color="auto"/>
            </w:tcBorders>
            <w:shd w:val="clear" w:color="auto" w:fill="0070C0"/>
          </w:tcPr>
          <w:p>
            <w:pPr>
              <w:spacing w:after="0"/>
              <w:rPr>
                <w:sz w:val="14"/>
                <w:szCs w:val="14"/>
                <w:color w:val="auto"/>
              </w:rPr>
            </w:pPr>
          </w:p>
        </w:tc>
        <w:tc>
          <w:tcPr>
            <w:tcW w:w="140" w:type="dxa"/>
            <w:vAlign w:val="bottom"/>
            <w:tcBorders>
              <w:bottom w:val="single" w:sz="8" w:color="auto"/>
            </w:tcBorders>
            <w:shd w:val="clear" w:color="auto" w:fill="0070C0"/>
          </w:tcPr>
          <w:p>
            <w:pPr>
              <w:spacing w:after="0"/>
              <w:rPr>
                <w:sz w:val="14"/>
                <w:szCs w:val="14"/>
                <w:color w:val="auto"/>
              </w:rPr>
            </w:pPr>
          </w:p>
        </w:tc>
        <w:tc>
          <w:tcPr>
            <w:tcW w:w="760" w:type="dxa"/>
            <w:vAlign w:val="bottom"/>
            <w:tcBorders>
              <w:bottom w:val="single" w:sz="8" w:color="auto"/>
              <w:right w:val="single" w:sz="8" w:color="auto"/>
            </w:tcBorders>
            <w:shd w:val="clear" w:color="auto" w:fill="0070C0"/>
          </w:tcPr>
          <w:p>
            <w:pPr>
              <w:spacing w:after="0"/>
              <w:rPr>
                <w:sz w:val="14"/>
                <w:szCs w:val="14"/>
                <w:color w:val="auto"/>
              </w:rPr>
            </w:pPr>
          </w:p>
        </w:tc>
        <w:tc>
          <w:tcPr>
            <w:tcW w:w="1220" w:type="dxa"/>
            <w:vAlign w:val="bottom"/>
            <w:tcBorders>
              <w:bottom w:val="single" w:sz="8" w:color="auto"/>
              <w:right w:val="single" w:sz="8" w:color="auto"/>
            </w:tcBorders>
            <w:shd w:val="clear" w:color="auto" w:fill="0070C0"/>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GRI 204: PROCUREMENT</w:t>
            </w: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204-1</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Proportion of spending on local suppliers</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Sustainable Supplier</w:t>
            </w:r>
          </w:p>
        </w:tc>
        <w:tc>
          <w:tcPr>
            <w:tcW w:w="140" w:type="dxa"/>
            <w:vAlign w:val="bottom"/>
          </w:tcPr>
          <w:p>
            <w:pPr>
              <w:spacing w:after="0"/>
              <w:rPr>
                <w:sz w:val="14"/>
                <w:szCs w:val="14"/>
                <w:color w:val="auto"/>
              </w:rPr>
            </w:pPr>
          </w:p>
        </w:tc>
        <w:tc>
          <w:tcPr>
            <w:tcW w:w="760" w:type="dxa"/>
            <w:vAlign w:val="bottom"/>
            <w:tcBorders>
              <w:right w:val="single" w:sz="8" w:color="auto"/>
            </w:tcBorders>
            <w:vMerge w:val="restart"/>
          </w:tcPr>
          <w:p>
            <w:pPr>
              <w:jc w:val="center"/>
              <w:ind w:right="163"/>
              <w:spacing w:after="0"/>
              <w:rPr>
                <w:sz w:val="20"/>
                <w:szCs w:val="20"/>
                <w:color w:val="auto"/>
              </w:rPr>
            </w:pPr>
            <w:r>
              <w:rPr>
                <w:rFonts w:ascii="Arial" w:cs="Arial" w:eastAsia="Arial" w:hAnsi="Arial"/>
                <w:sz w:val="15"/>
                <w:szCs w:val="15"/>
                <w:color w:val="auto"/>
                <w:w w:val="95"/>
              </w:rPr>
              <w:t>8</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PRACTICES 2016</w:t>
            </w:r>
          </w:p>
        </w:tc>
        <w:tc>
          <w:tcPr>
            <w:tcW w:w="420" w:type="dxa"/>
            <w:vAlign w:val="bottom"/>
            <w:vMerge w:val="continue"/>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Management</w:t>
            </w:r>
          </w:p>
        </w:tc>
        <w:tc>
          <w:tcPr>
            <w:tcW w:w="14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0070C0"/>
          </w:tcPr>
          <w:p>
            <w:pPr>
              <w:spacing w:after="0" w:line="164" w:lineRule="exact"/>
              <w:rPr>
                <w:sz w:val="20"/>
                <w:szCs w:val="20"/>
                <w:color w:val="auto"/>
              </w:rPr>
            </w:pPr>
            <w:r>
              <w:rPr>
                <w:rFonts w:ascii="Arial" w:cs="Arial" w:eastAsia="Arial" w:hAnsi="Arial"/>
                <w:sz w:val="15"/>
                <w:szCs w:val="15"/>
                <w:b w:val="1"/>
                <w:bCs w:val="1"/>
                <w:color w:val="auto"/>
              </w:rPr>
              <w:t>TAX</w:t>
            </w:r>
          </w:p>
        </w:tc>
        <w:tc>
          <w:tcPr>
            <w:tcW w:w="420" w:type="dxa"/>
            <w:vAlign w:val="bottom"/>
            <w:tcBorders>
              <w:bottom w:val="single" w:sz="8" w:color="auto"/>
            </w:tcBorders>
            <w:shd w:val="clear" w:color="auto" w:fill="0070C0"/>
          </w:tcPr>
          <w:p>
            <w:pPr>
              <w:spacing w:after="0"/>
              <w:rPr>
                <w:sz w:val="14"/>
                <w:szCs w:val="14"/>
                <w:color w:val="auto"/>
              </w:rPr>
            </w:pPr>
          </w:p>
        </w:tc>
        <w:tc>
          <w:tcPr>
            <w:tcW w:w="4100" w:type="dxa"/>
            <w:vAlign w:val="bottom"/>
            <w:tcBorders>
              <w:bottom w:val="single" w:sz="8" w:color="auto"/>
              <w:right w:val="single" w:sz="8" w:color="auto"/>
            </w:tcBorders>
            <w:shd w:val="clear" w:color="auto" w:fill="0070C0"/>
          </w:tcPr>
          <w:p>
            <w:pPr>
              <w:spacing w:after="0"/>
              <w:rPr>
                <w:sz w:val="14"/>
                <w:szCs w:val="14"/>
                <w:color w:val="auto"/>
              </w:rPr>
            </w:pPr>
          </w:p>
        </w:tc>
        <w:tc>
          <w:tcPr>
            <w:tcW w:w="2020" w:type="dxa"/>
            <w:vAlign w:val="bottom"/>
            <w:tcBorders>
              <w:bottom w:val="single" w:sz="8" w:color="auto"/>
              <w:right w:val="single" w:sz="8" w:color="auto"/>
            </w:tcBorders>
            <w:shd w:val="clear" w:color="auto" w:fill="0070C0"/>
          </w:tcPr>
          <w:p>
            <w:pPr>
              <w:spacing w:after="0"/>
              <w:rPr>
                <w:sz w:val="14"/>
                <w:szCs w:val="14"/>
                <w:color w:val="auto"/>
              </w:rPr>
            </w:pPr>
          </w:p>
        </w:tc>
        <w:tc>
          <w:tcPr>
            <w:tcW w:w="140" w:type="dxa"/>
            <w:vAlign w:val="bottom"/>
            <w:tcBorders>
              <w:bottom w:val="single" w:sz="8" w:color="auto"/>
            </w:tcBorders>
            <w:shd w:val="clear" w:color="auto" w:fill="0070C0"/>
          </w:tcPr>
          <w:p>
            <w:pPr>
              <w:spacing w:after="0"/>
              <w:rPr>
                <w:sz w:val="14"/>
                <w:szCs w:val="14"/>
                <w:color w:val="auto"/>
              </w:rPr>
            </w:pPr>
          </w:p>
        </w:tc>
        <w:tc>
          <w:tcPr>
            <w:tcW w:w="760" w:type="dxa"/>
            <w:vAlign w:val="bottom"/>
            <w:tcBorders>
              <w:bottom w:val="single" w:sz="8" w:color="auto"/>
              <w:right w:val="single" w:sz="8" w:color="auto"/>
            </w:tcBorders>
            <w:shd w:val="clear" w:color="auto" w:fill="0070C0"/>
          </w:tcPr>
          <w:p>
            <w:pPr>
              <w:spacing w:after="0"/>
              <w:rPr>
                <w:sz w:val="14"/>
                <w:szCs w:val="14"/>
                <w:color w:val="auto"/>
              </w:rPr>
            </w:pPr>
          </w:p>
        </w:tc>
        <w:tc>
          <w:tcPr>
            <w:tcW w:w="1220" w:type="dxa"/>
            <w:vAlign w:val="bottom"/>
            <w:tcBorders>
              <w:bottom w:val="single" w:sz="8" w:color="auto"/>
              <w:right w:val="single" w:sz="8" w:color="auto"/>
            </w:tcBorders>
            <w:shd w:val="clear" w:color="auto" w:fill="0070C0"/>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auto"/>
              <w:right w:val="single" w:sz="8" w:color="auto"/>
            </w:tcBorders>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98"/>
              </w:rPr>
              <w:t>207-1</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Approach to tax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Corporate Management and</w:t>
            </w:r>
          </w:p>
        </w:tc>
        <w:tc>
          <w:tcPr>
            <w:tcW w:w="900" w:type="dxa"/>
            <w:vAlign w:val="bottom"/>
            <w:tcBorders>
              <w:right w:val="single" w:sz="8" w:color="auto"/>
            </w:tcBorders>
            <w:gridSpan w:val="2"/>
          </w:tcPr>
          <w:p>
            <w:pPr>
              <w:jc w:val="center"/>
              <w:ind w:right="3"/>
              <w:spacing w:after="0"/>
              <w:rPr>
                <w:sz w:val="20"/>
                <w:szCs w:val="20"/>
                <w:color w:val="auto"/>
              </w:rPr>
            </w:pPr>
            <w:r>
              <w:rPr>
                <w:rFonts w:ascii="Arial" w:cs="Arial" w:eastAsia="Arial" w:hAnsi="Arial"/>
                <w:sz w:val="15"/>
                <w:szCs w:val="15"/>
                <w:color w:val="auto"/>
              </w:rPr>
              <w:t>1 - 10 - 17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1.1 - 1.3 - 10.4 -</w:t>
            </w:r>
          </w:p>
        </w:tc>
        <w:tc>
          <w:tcPr>
            <w:tcW w:w="0" w:type="dxa"/>
            <w:vAlign w:val="bottom"/>
          </w:tcPr>
          <w:p>
            <w:pPr>
              <w:spacing w:after="0"/>
              <w:rPr>
                <w:sz w:val="1"/>
                <w:szCs w:val="1"/>
                <w:color w:val="auto"/>
              </w:rPr>
            </w:pPr>
          </w:p>
        </w:tc>
      </w:tr>
      <w:tr>
        <w:trPr>
          <w:trHeight w:val="127"/>
        </w:trPr>
        <w:tc>
          <w:tcPr>
            <w:tcW w:w="2600" w:type="dxa"/>
            <w:vAlign w:val="bottom"/>
            <w:tcBorders>
              <w:left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Control Systems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jc w:val="center"/>
              <w:ind w:right="4"/>
              <w:spacing w:after="0" w:line="127" w:lineRule="exact"/>
              <w:rPr>
                <w:sz w:val="20"/>
                <w:szCs w:val="20"/>
                <w:color w:val="auto"/>
              </w:rPr>
            </w:pPr>
            <w:r>
              <w:rPr>
                <w:rFonts w:ascii="Arial" w:cs="Arial" w:eastAsia="Arial" w:hAnsi="Arial"/>
                <w:sz w:val="14"/>
                <w:szCs w:val="14"/>
                <w:color w:val="auto"/>
              </w:rPr>
              <w:t>17.1 - 17.3</w:t>
            </w:r>
          </w:p>
        </w:tc>
        <w:tc>
          <w:tcPr>
            <w:tcW w:w="0" w:type="dxa"/>
            <w:vAlign w:val="bottom"/>
          </w:tcPr>
          <w:p>
            <w:pPr>
              <w:spacing w:after="0"/>
              <w:rPr>
                <w:sz w:val="1"/>
                <w:szCs w:val="1"/>
                <w:color w:val="auto"/>
              </w:rPr>
            </w:pPr>
          </w:p>
        </w:tc>
      </w:tr>
      <w:tr>
        <w:trPr>
          <w:trHeight w:val="211"/>
        </w:trPr>
        <w:tc>
          <w:tcPr>
            <w:tcW w:w="260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GRI 207: TAX 2019</w:t>
            </w:r>
          </w:p>
        </w:tc>
        <w:tc>
          <w:tcPr>
            <w:tcW w:w="420" w:type="dxa"/>
            <w:vAlign w:val="bottom"/>
          </w:tcPr>
          <w:p>
            <w:pPr>
              <w:jc w:val="right"/>
              <w:spacing w:after="0"/>
              <w:rPr>
                <w:sz w:val="20"/>
                <w:szCs w:val="20"/>
                <w:color w:val="auto"/>
              </w:rPr>
            </w:pPr>
            <w:r>
              <w:rPr>
                <w:rFonts w:ascii="Arial" w:cs="Arial" w:eastAsia="Arial" w:hAnsi="Arial"/>
                <w:sz w:val="15"/>
                <w:szCs w:val="15"/>
                <w:color w:val="auto"/>
                <w:w w:val="98"/>
              </w:rPr>
              <w:t>207-2</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Tax governance, control, and risk management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Corporate Management and</w:t>
            </w:r>
          </w:p>
        </w:tc>
        <w:tc>
          <w:tcPr>
            <w:tcW w:w="900" w:type="dxa"/>
            <w:vAlign w:val="bottom"/>
            <w:tcBorders>
              <w:right w:val="single" w:sz="8" w:color="auto"/>
            </w:tcBorders>
            <w:gridSpan w:val="2"/>
          </w:tcPr>
          <w:p>
            <w:pPr>
              <w:jc w:val="center"/>
              <w:ind w:right="3"/>
              <w:spacing w:after="0"/>
              <w:rPr>
                <w:sz w:val="20"/>
                <w:szCs w:val="20"/>
                <w:color w:val="auto"/>
              </w:rPr>
            </w:pPr>
            <w:r>
              <w:rPr>
                <w:rFonts w:ascii="Arial" w:cs="Arial" w:eastAsia="Arial" w:hAnsi="Arial"/>
                <w:sz w:val="15"/>
                <w:szCs w:val="15"/>
                <w:color w:val="auto"/>
              </w:rPr>
              <w:t>1 - 10 - 17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1.1 - 1.3 - 10.4 -</w:t>
            </w:r>
          </w:p>
        </w:tc>
        <w:tc>
          <w:tcPr>
            <w:tcW w:w="0" w:type="dxa"/>
            <w:vAlign w:val="bottom"/>
          </w:tcPr>
          <w:p>
            <w:pPr>
              <w:spacing w:after="0"/>
              <w:rPr>
                <w:sz w:val="1"/>
                <w:szCs w:val="1"/>
                <w:color w:val="auto"/>
              </w:rPr>
            </w:pPr>
          </w:p>
        </w:tc>
      </w:tr>
      <w:tr>
        <w:trPr>
          <w:trHeight w:val="127"/>
        </w:trPr>
        <w:tc>
          <w:tcPr>
            <w:tcW w:w="2600" w:type="dxa"/>
            <w:vAlign w:val="bottom"/>
            <w:tcBorders>
              <w:left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Control Systems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jc w:val="center"/>
              <w:ind w:right="4"/>
              <w:spacing w:after="0" w:line="127" w:lineRule="exact"/>
              <w:rPr>
                <w:sz w:val="20"/>
                <w:szCs w:val="20"/>
                <w:color w:val="auto"/>
              </w:rPr>
            </w:pPr>
            <w:r>
              <w:rPr>
                <w:rFonts w:ascii="Arial" w:cs="Arial" w:eastAsia="Arial" w:hAnsi="Arial"/>
                <w:sz w:val="14"/>
                <w:szCs w:val="14"/>
                <w:color w:val="auto"/>
              </w:rPr>
              <w:t>17.1 - 17.3</w:t>
            </w:r>
          </w:p>
        </w:tc>
        <w:tc>
          <w:tcPr>
            <w:tcW w:w="0" w:type="dxa"/>
            <w:vAlign w:val="bottom"/>
          </w:tcPr>
          <w:p>
            <w:pPr>
              <w:spacing w:after="0"/>
              <w:rPr>
                <w:sz w:val="1"/>
                <w:szCs w:val="1"/>
                <w:color w:val="auto"/>
              </w:rPr>
            </w:pPr>
          </w:p>
        </w:tc>
      </w:tr>
      <w:tr>
        <w:trPr>
          <w:trHeight w:val="211"/>
        </w:trPr>
        <w:tc>
          <w:tcPr>
            <w:tcW w:w="2600" w:type="dxa"/>
            <w:vAlign w:val="bottom"/>
            <w:tcBorders>
              <w:left w:val="single" w:sz="8" w:color="auto"/>
              <w:right w:val="single" w:sz="8" w:color="auto"/>
            </w:tcBorders>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98"/>
              </w:rPr>
              <w:t>207-4</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Country-by-country reporting</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Corporate Management and</w:t>
            </w:r>
          </w:p>
        </w:tc>
        <w:tc>
          <w:tcPr>
            <w:tcW w:w="900" w:type="dxa"/>
            <w:vAlign w:val="bottom"/>
            <w:tcBorders>
              <w:right w:val="single" w:sz="8" w:color="auto"/>
            </w:tcBorders>
            <w:gridSpan w:val="2"/>
          </w:tcPr>
          <w:p>
            <w:pPr>
              <w:jc w:val="center"/>
              <w:ind w:right="3"/>
              <w:spacing w:after="0"/>
              <w:rPr>
                <w:sz w:val="20"/>
                <w:szCs w:val="20"/>
                <w:color w:val="auto"/>
              </w:rPr>
            </w:pPr>
            <w:r>
              <w:rPr>
                <w:rFonts w:ascii="Arial" w:cs="Arial" w:eastAsia="Arial" w:hAnsi="Arial"/>
                <w:sz w:val="15"/>
                <w:szCs w:val="15"/>
                <w:color w:val="auto"/>
              </w:rPr>
              <w:t>1 - 10 - 17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1.1 - 1.3 - 10.4 -</w:t>
            </w:r>
          </w:p>
        </w:tc>
        <w:tc>
          <w:tcPr>
            <w:tcW w:w="0" w:type="dxa"/>
            <w:vAlign w:val="bottom"/>
          </w:tcPr>
          <w:p>
            <w:pPr>
              <w:spacing w:after="0"/>
              <w:rPr>
                <w:sz w:val="1"/>
                <w:szCs w:val="1"/>
                <w:color w:val="auto"/>
              </w:rPr>
            </w:pPr>
          </w:p>
        </w:tc>
      </w:tr>
      <w:tr>
        <w:trPr>
          <w:trHeight w:val="127"/>
        </w:trPr>
        <w:tc>
          <w:tcPr>
            <w:tcW w:w="2600" w:type="dxa"/>
            <w:vAlign w:val="bottom"/>
            <w:tcBorders>
              <w:left w:val="single" w:sz="8" w:color="auto"/>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Control Systems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jc w:val="center"/>
              <w:ind w:right="4"/>
              <w:spacing w:after="0" w:line="127" w:lineRule="exact"/>
              <w:rPr>
                <w:sz w:val="20"/>
                <w:szCs w:val="20"/>
                <w:color w:val="auto"/>
              </w:rPr>
            </w:pPr>
            <w:r>
              <w:rPr>
                <w:rFonts w:ascii="Arial" w:cs="Arial" w:eastAsia="Arial" w:hAnsi="Arial"/>
                <w:sz w:val="14"/>
                <w:szCs w:val="14"/>
                <w:color w:val="auto"/>
              </w:rPr>
              <w:t>17.1 - 17.3</w:t>
            </w: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00B050"/>
          </w:tcPr>
          <w:p>
            <w:pPr>
              <w:spacing w:after="0" w:line="164" w:lineRule="exact"/>
              <w:rPr>
                <w:sz w:val="20"/>
                <w:szCs w:val="20"/>
                <w:color w:val="auto"/>
              </w:rPr>
            </w:pPr>
            <w:r>
              <w:rPr>
                <w:rFonts w:ascii="Arial" w:cs="Arial" w:eastAsia="Arial" w:hAnsi="Arial"/>
                <w:sz w:val="15"/>
                <w:szCs w:val="15"/>
                <w:b w:val="1"/>
                <w:bCs w:val="1"/>
                <w:color w:val="auto"/>
              </w:rPr>
              <w:t>ENERGY</w:t>
            </w:r>
          </w:p>
        </w:tc>
        <w:tc>
          <w:tcPr>
            <w:tcW w:w="420" w:type="dxa"/>
            <w:vAlign w:val="bottom"/>
            <w:tcBorders>
              <w:bottom w:val="single" w:sz="8" w:color="auto"/>
            </w:tcBorders>
            <w:shd w:val="clear" w:color="auto" w:fill="00B050"/>
          </w:tcPr>
          <w:p>
            <w:pPr>
              <w:spacing w:after="0"/>
              <w:rPr>
                <w:sz w:val="14"/>
                <w:szCs w:val="14"/>
                <w:color w:val="auto"/>
              </w:rPr>
            </w:pPr>
          </w:p>
        </w:tc>
        <w:tc>
          <w:tcPr>
            <w:tcW w:w="4100" w:type="dxa"/>
            <w:vAlign w:val="bottom"/>
            <w:tcBorders>
              <w:bottom w:val="single" w:sz="8" w:color="auto"/>
              <w:right w:val="single" w:sz="8" w:color="auto"/>
            </w:tcBorders>
            <w:shd w:val="clear" w:color="auto" w:fill="00B050"/>
          </w:tcPr>
          <w:p>
            <w:pPr>
              <w:spacing w:after="0"/>
              <w:rPr>
                <w:sz w:val="14"/>
                <w:szCs w:val="14"/>
                <w:color w:val="auto"/>
              </w:rPr>
            </w:pPr>
          </w:p>
        </w:tc>
        <w:tc>
          <w:tcPr>
            <w:tcW w:w="2020" w:type="dxa"/>
            <w:vAlign w:val="bottom"/>
            <w:tcBorders>
              <w:bottom w:val="single" w:sz="8" w:color="auto"/>
              <w:right w:val="single" w:sz="8" w:color="auto"/>
            </w:tcBorders>
            <w:shd w:val="clear" w:color="auto" w:fill="00B050"/>
          </w:tcPr>
          <w:p>
            <w:pPr>
              <w:spacing w:after="0"/>
              <w:rPr>
                <w:sz w:val="14"/>
                <w:szCs w:val="14"/>
                <w:color w:val="auto"/>
              </w:rPr>
            </w:pPr>
          </w:p>
        </w:tc>
        <w:tc>
          <w:tcPr>
            <w:tcW w:w="140" w:type="dxa"/>
            <w:vAlign w:val="bottom"/>
            <w:tcBorders>
              <w:bottom w:val="single" w:sz="8" w:color="auto"/>
            </w:tcBorders>
            <w:shd w:val="clear" w:color="auto" w:fill="00B050"/>
          </w:tcPr>
          <w:p>
            <w:pPr>
              <w:spacing w:after="0"/>
              <w:rPr>
                <w:sz w:val="14"/>
                <w:szCs w:val="14"/>
                <w:color w:val="auto"/>
              </w:rPr>
            </w:pPr>
          </w:p>
        </w:tc>
        <w:tc>
          <w:tcPr>
            <w:tcW w:w="760" w:type="dxa"/>
            <w:vAlign w:val="bottom"/>
            <w:tcBorders>
              <w:bottom w:val="single" w:sz="8" w:color="auto"/>
              <w:right w:val="single" w:sz="8" w:color="auto"/>
            </w:tcBorders>
            <w:shd w:val="clear" w:color="auto" w:fill="00B050"/>
          </w:tcPr>
          <w:p>
            <w:pPr>
              <w:spacing w:after="0"/>
              <w:rPr>
                <w:sz w:val="14"/>
                <w:szCs w:val="14"/>
                <w:color w:val="auto"/>
              </w:rPr>
            </w:pPr>
          </w:p>
        </w:tc>
        <w:tc>
          <w:tcPr>
            <w:tcW w:w="1220" w:type="dxa"/>
            <w:vAlign w:val="bottom"/>
            <w:tcBorders>
              <w:bottom w:val="single" w:sz="8" w:color="auto"/>
              <w:right w:val="single" w:sz="8" w:color="auto"/>
            </w:tcBorders>
            <w:shd w:val="clear" w:color="auto" w:fill="00B050"/>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auto"/>
              <w:right w:val="single" w:sz="8" w:color="auto"/>
            </w:tcBorders>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302-1</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Energy consumption within the organization</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Energy: Electricity and Fuels</w:t>
            </w: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color w:val="auto"/>
              </w:rPr>
              <w:t>7 - 8 - 12 -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7.2 - 7.3 - 8.4 -</w:t>
            </w:r>
          </w:p>
        </w:tc>
        <w:tc>
          <w:tcPr>
            <w:tcW w:w="0" w:type="dxa"/>
            <w:vAlign w:val="bottom"/>
          </w:tcPr>
          <w:p>
            <w:pPr>
              <w:spacing w:after="0"/>
              <w:rPr>
                <w:sz w:val="1"/>
                <w:szCs w:val="1"/>
                <w:color w:val="auto"/>
              </w:rPr>
            </w:pPr>
          </w:p>
        </w:tc>
      </w:tr>
      <w:tr>
        <w:trPr>
          <w:trHeight w:val="126"/>
        </w:trPr>
        <w:tc>
          <w:tcPr>
            <w:tcW w:w="2600" w:type="dxa"/>
            <w:vAlign w:val="bottom"/>
            <w:tcBorders>
              <w:left w:val="single" w:sz="8" w:color="auto"/>
              <w:right w:val="single" w:sz="8" w:color="auto"/>
            </w:tcBorders>
          </w:tcPr>
          <w:p>
            <w:pPr>
              <w:spacing w:after="0"/>
              <w:rPr>
                <w:sz w:val="10"/>
                <w:szCs w:val="10"/>
                <w:color w:val="auto"/>
              </w:rPr>
            </w:pPr>
          </w:p>
        </w:tc>
        <w:tc>
          <w:tcPr>
            <w:tcW w:w="420" w:type="dxa"/>
            <w:vAlign w:val="bottom"/>
            <w:vMerge w:val="continue"/>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4"/>
                <w:szCs w:val="14"/>
                <w:color w:val="auto"/>
              </w:rPr>
              <w:t>/ Energy: Electricity and</w:t>
            </w:r>
          </w:p>
        </w:tc>
        <w:tc>
          <w:tcPr>
            <w:tcW w:w="14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143"/>
              <w:spacing w:after="0"/>
              <w:rPr>
                <w:sz w:val="20"/>
                <w:szCs w:val="20"/>
                <w:color w:val="auto"/>
              </w:rPr>
            </w:pPr>
            <w:r>
              <w:rPr>
                <w:rFonts w:ascii="Arial" w:cs="Arial" w:eastAsia="Arial" w:hAnsi="Arial"/>
                <w:sz w:val="15"/>
                <w:szCs w:val="15"/>
                <w:color w:val="auto"/>
              </w:rPr>
              <w:t>13</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12.2 - 13.1</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GRI 302: ENERGY 2016</w:t>
            </w:r>
          </w:p>
        </w:tc>
        <w:tc>
          <w:tcPr>
            <w:tcW w:w="420" w:type="dxa"/>
            <w:vAlign w:val="bottom"/>
          </w:tcPr>
          <w:p>
            <w:pPr>
              <w:spacing w:after="0"/>
              <w:rPr>
                <w:sz w:val="8"/>
                <w:szCs w:val="8"/>
                <w:color w:val="auto"/>
              </w:rPr>
            </w:pPr>
          </w:p>
        </w:tc>
        <w:tc>
          <w:tcPr>
            <w:tcW w:w="41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Fuels Annex</w:t>
            </w:r>
          </w:p>
        </w:tc>
        <w:tc>
          <w:tcPr>
            <w:tcW w:w="14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0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302-2</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Energy consumption outside of the organization</w:t>
            </w:r>
          </w:p>
        </w:tc>
        <w:tc>
          <w:tcPr>
            <w:tcW w:w="202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color w:val="auto"/>
              </w:rPr>
              <w:t>Energy: Electricity and Fuels</w:t>
            </w:r>
          </w:p>
        </w:tc>
        <w:tc>
          <w:tcPr>
            <w:tcW w:w="900" w:type="dxa"/>
            <w:vAlign w:val="bottom"/>
            <w:tcBorders>
              <w:right w:val="single" w:sz="8" w:color="auto"/>
            </w:tcBorders>
            <w:gridSpan w:val="2"/>
            <w:vMerge w:val="restart"/>
          </w:tcPr>
          <w:p>
            <w:pPr>
              <w:jc w:val="center"/>
              <w:spacing w:after="0" w:line="164" w:lineRule="exact"/>
              <w:rPr>
                <w:sz w:val="20"/>
                <w:szCs w:val="20"/>
                <w:color w:val="auto"/>
              </w:rPr>
            </w:pPr>
            <w:r>
              <w:rPr>
                <w:rFonts w:ascii="Arial" w:cs="Arial" w:eastAsia="Arial" w:hAnsi="Arial"/>
                <w:sz w:val="15"/>
                <w:szCs w:val="15"/>
                <w:color w:val="auto"/>
              </w:rPr>
              <w:t>7 - 8 - 12 -</w:t>
            </w:r>
          </w:p>
        </w:tc>
        <w:tc>
          <w:tcPr>
            <w:tcW w:w="122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5"/>
                <w:szCs w:val="15"/>
                <w:color w:val="auto"/>
              </w:rPr>
              <w:t>7.2 - 7.3 - 8.4 -</w:t>
            </w:r>
          </w:p>
        </w:tc>
        <w:tc>
          <w:tcPr>
            <w:tcW w:w="0" w:type="dxa"/>
            <w:vAlign w:val="bottom"/>
          </w:tcPr>
          <w:p>
            <w:pPr>
              <w:spacing w:after="0"/>
              <w:rPr>
                <w:sz w:val="1"/>
                <w:szCs w:val="1"/>
                <w:color w:val="auto"/>
              </w:rPr>
            </w:pPr>
          </w:p>
        </w:tc>
      </w:tr>
      <w:tr>
        <w:trPr>
          <w:trHeight w:val="80"/>
        </w:trPr>
        <w:tc>
          <w:tcPr>
            <w:tcW w:w="2600" w:type="dxa"/>
            <w:vAlign w:val="bottom"/>
            <w:tcBorders>
              <w:left w:val="single" w:sz="8" w:color="auto"/>
              <w:right w:val="single" w:sz="8" w:color="auto"/>
            </w:tcBorders>
          </w:tcPr>
          <w:p>
            <w:pPr>
              <w:spacing w:after="0"/>
              <w:rPr>
                <w:sz w:val="6"/>
                <w:szCs w:val="6"/>
                <w:color w:val="auto"/>
              </w:rPr>
            </w:pPr>
          </w:p>
        </w:tc>
        <w:tc>
          <w:tcPr>
            <w:tcW w:w="420" w:type="dxa"/>
            <w:vAlign w:val="bottom"/>
            <w:vMerge w:val="continue"/>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600" w:type="dxa"/>
            <w:vAlign w:val="bottom"/>
            <w:tcBorders>
              <w:left w:val="single" w:sz="8" w:color="auto"/>
              <w:right w:val="single" w:sz="8" w:color="auto"/>
            </w:tcBorders>
          </w:tcPr>
          <w:p>
            <w:pPr>
              <w:spacing w:after="0"/>
              <w:rPr>
                <w:sz w:val="15"/>
                <w:szCs w:val="15"/>
                <w:color w:val="auto"/>
              </w:rPr>
            </w:pPr>
          </w:p>
        </w:tc>
        <w:tc>
          <w:tcPr>
            <w:tcW w:w="420" w:type="dxa"/>
            <w:vAlign w:val="bottom"/>
            <w:vMerge w:val="continue"/>
          </w:tcPr>
          <w:p>
            <w:pPr>
              <w:spacing w:after="0"/>
              <w:rPr>
                <w:sz w:val="15"/>
                <w:szCs w:val="15"/>
                <w:color w:val="auto"/>
              </w:rPr>
            </w:pPr>
          </w:p>
        </w:tc>
        <w:tc>
          <w:tcPr>
            <w:tcW w:w="4100" w:type="dxa"/>
            <w:vAlign w:val="bottom"/>
            <w:tcBorders>
              <w:right w:val="single" w:sz="8" w:color="auto"/>
            </w:tcBorders>
            <w:vMerge w:val="continue"/>
          </w:tcPr>
          <w:p>
            <w:pPr>
              <w:spacing w:after="0"/>
              <w:rPr>
                <w:sz w:val="15"/>
                <w:szCs w:val="15"/>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 Energy: Electricity and</w:t>
            </w:r>
          </w:p>
        </w:tc>
        <w:tc>
          <w:tcPr>
            <w:tcW w:w="14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43"/>
              <w:spacing w:after="0"/>
              <w:rPr>
                <w:sz w:val="20"/>
                <w:szCs w:val="20"/>
                <w:color w:val="auto"/>
              </w:rPr>
            </w:pPr>
            <w:r>
              <w:rPr>
                <w:rFonts w:ascii="Arial" w:cs="Arial" w:eastAsia="Arial" w:hAnsi="Arial"/>
                <w:sz w:val="15"/>
                <w:szCs w:val="15"/>
                <w:color w:val="auto"/>
              </w:rPr>
              <w:t>13</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12.2 - 13.1</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1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Fuels Annex</w:t>
            </w:r>
          </w:p>
        </w:tc>
        <w:tc>
          <w:tcPr>
            <w:tcW w:w="14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00B050"/>
          </w:tcPr>
          <w:p>
            <w:pPr>
              <w:spacing w:after="0" w:line="164" w:lineRule="exact"/>
              <w:rPr>
                <w:sz w:val="20"/>
                <w:szCs w:val="20"/>
                <w:color w:val="auto"/>
              </w:rPr>
            </w:pPr>
            <w:r>
              <w:rPr>
                <w:rFonts w:ascii="Arial" w:cs="Arial" w:eastAsia="Arial" w:hAnsi="Arial"/>
                <w:sz w:val="15"/>
                <w:szCs w:val="15"/>
                <w:b w:val="1"/>
                <w:bCs w:val="1"/>
                <w:color w:val="auto"/>
              </w:rPr>
              <w:t>WATER AND EFFLUENTS</w:t>
            </w:r>
          </w:p>
        </w:tc>
        <w:tc>
          <w:tcPr>
            <w:tcW w:w="420" w:type="dxa"/>
            <w:vAlign w:val="bottom"/>
            <w:tcBorders>
              <w:bottom w:val="single" w:sz="8" w:color="auto"/>
            </w:tcBorders>
            <w:shd w:val="clear" w:color="auto" w:fill="00B050"/>
          </w:tcPr>
          <w:p>
            <w:pPr>
              <w:spacing w:after="0"/>
              <w:rPr>
                <w:sz w:val="14"/>
                <w:szCs w:val="14"/>
                <w:color w:val="auto"/>
              </w:rPr>
            </w:pPr>
          </w:p>
        </w:tc>
        <w:tc>
          <w:tcPr>
            <w:tcW w:w="4100" w:type="dxa"/>
            <w:vAlign w:val="bottom"/>
            <w:tcBorders>
              <w:bottom w:val="single" w:sz="8" w:color="auto"/>
              <w:right w:val="single" w:sz="8" w:color="auto"/>
            </w:tcBorders>
            <w:shd w:val="clear" w:color="auto" w:fill="00B050"/>
          </w:tcPr>
          <w:p>
            <w:pPr>
              <w:spacing w:after="0"/>
              <w:rPr>
                <w:sz w:val="14"/>
                <w:szCs w:val="14"/>
                <w:color w:val="auto"/>
              </w:rPr>
            </w:pPr>
          </w:p>
        </w:tc>
        <w:tc>
          <w:tcPr>
            <w:tcW w:w="2020" w:type="dxa"/>
            <w:vAlign w:val="bottom"/>
            <w:tcBorders>
              <w:bottom w:val="single" w:sz="8" w:color="auto"/>
              <w:right w:val="single" w:sz="8" w:color="auto"/>
            </w:tcBorders>
            <w:shd w:val="clear" w:color="auto" w:fill="00B050"/>
          </w:tcPr>
          <w:p>
            <w:pPr>
              <w:spacing w:after="0"/>
              <w:rPr>
                <w:sz w:val="14"/>
                <w:szCs w:val="14"/>
                <w:color w:val="auto"/>
              </w:rPr>
            </w:pPr>
          </w:p>
        </w:tc>
        <w:tc>
          <w:tcPr>
            <w:tcW w:w="140" w:type="dxa"/>
            <w:vAlign w:val="bottom"/>
            <w:tcBorders>
              <w:bottom w:val="single" w:sz="8" w:color="auto"/>
            </w:tcBorders>
            <w:shd w:val="clear" w:color="auto" w:fill="00B050"/>
          </w:tcPr>
          <w:p>
            <w:pPr>
              <w:spacing w:after="0"/>
              <w:rPr>
                <w:sz w:val="14"/>
                <w:szCs w:val="14"/>
                <w:color w:val="auto"/>
              </w:rPr>
            </w:pPr>
          </w:p>
        </w:tc>
        <w:tc>
          <w:tcPr>
            <w:tcW w:w="760" w:type="dxa"/>
            <w:vAlign w:val="bottom"/>
            <w:tcBorders>
              <w:bottom w:val="single" w:sz="8" w:color="auto"/>
              <w:right w:val="single" w:sz="8" w:color="auto"/>
            </w:tcBorders>
            <w:shd w:val="clear" w:color="auto" w:fill="00B050"/>
          </w:tcPr>
          <w:p>
            <w:pPr>
              <w:spacing w:after="0"/>
              <w:rPr>
                <w:sz w:val="14"/>
                <w:szCs w:val="14"/>
                <w:color w:val="auto"/>
              </w:rPr>
            </w:pPr>
          </w:p>
        </w:tc>
        <w:tc>
          <w:tcPr>
            <w:tcW w:w="1220" w:type="dxa"/>
            <w:vAlign w:val="bottom"/>
            <w:tcBorders>
              <w:bottom w:val="single" w:sz="8" w:color="auto"/>
              <w:right w:val="single" w:sz="8" w:color="auto"/>
            </w:tcBorders>
            <w:shd w:val="clear" w:color="auto" w:fill="00B050"/>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GRI 303: WATER AND EFFLUENTS</w:t>
            </w:r>
          </w:p>
        </w:tc>
        <w:tc>
          <w:tcPr>
            <w:tcW w:w="4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w w:val="98"/>
              </w:rPr>
              <w:t>303-1</w:t>
            </w:r>
          </w:p>
        </w:tc>
        <w:tc>
          <w:tcPr>
            <w:tcW w:w="4100" w:type="dxa"/>
            <w:vAlign w:val="bottom"/>
            <w:tcBorders>
              <w:bottom w:val="single" w:sz="8" w:color="auto"/>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Interactions with water as a shared resource</w:t>
            </w:r>
          </w:p>
        </w:tc>
        <w:tc>
          <w:tcPr>
            <w:tcW w:w="20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Water Consumption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ind w:right="163"/>
              <w:spacing w:after="0" w:line="164" w:lineRule="exact"/>
              <w:rPr>
                <w:sz w:val="20"/>
                <w:szCs w:val="20"/>
                <w:color w:val="auto"/>
              </w:rPr>
            </w:pPr>
            <w:r>
              <w:rPr>
                <w:rFonts w:ascii="Arial" w:cs="Arial" w:eastAsia="Arial" w:hAnsi="Arial"/>
                <w:sz w:val="15"/>
                <w:szCs w:val="15"/>
                <w:color w:val="auto"/>
              </w:rPr>
              <w:t>6 - 12</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6.3 - 6.4 - 12.4</w:t>
            </w: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w w:val="98"/>
              </w:rPr>
              <w:t>303-2</w:t>
            </w:r>
          </w:p>
        </w:tc>
        <w:tc>
          <w:tcPr>
            <w:tcW w:w="4100" w:type="dxa"/>
            <w:vAlign w:val="bottom"/>
            <w:tcBorders>
              <w:bottom w:val="single" w:sz="8" w:color="auto"/>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Management of water discharge-related impacts</w:t>
            </w:r>
          </w:p>
        </w:tc>
        <w:tc>
          <w:tcPr>
            <w:tcW w:w="202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Water Consumption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ind w:right="163"/>
              <w:spacing w:after="0" w:line="164" w:lineRule="exact"/>
              <w:rPr>
                <w:sz w:val="20"/>
                <w:szCs w:val="20"/>
                <w:color w:val="auto"/>
              </w:rPr>
            </w:pPr>
            <w:r>
              <w:rPr>
                <w:rFonts w:ascii="Arial" w:cs="Arial" w:eastAsia="Arial" w:hAnsi="Arial"/>
                <w:sz w:val="15"/>
                <w:szCs w:val="15"/>
                <w:color w:val="auto"/>
                <w:w w:val="95"/>
              </w:rPr>
              <w:t>6</w:t>
            </w:r>
          </w:p>
        </w:tc>
        <w:tc>
          <w:tcPr>
            <w:tcW w:w="1220" w:type="dxa"/>
            <w:vAlign w:val="bottom"/>
            <w:tcBorders>
              <w:bottom w:val="single" w:sz="8" w:color="auto"/>
              <w:right w:val="single" w:sz="8" w:color="auto"/>
            </w:tcBorders>
          </w:tcPr>
          <w:p>
            <w:pPr>
              <w:jc w:val="center"/>
              <w:ind w:right="4"/>
              <w:spacing w:after="0" w:line="164"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2018</w:t>
            </w: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303-5</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Water consumption</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Water Consumption / Water</w:t>
            </w:r>
          </w:p>
        </w:tc>
        <w:tc>
          <w:tcPr>
            <w:tcW w:w="140" w:type="dxa"/>
            <w:vAlign w:val="bottom"/>
          </w:tcPr>
          <w:p>
            <w:pPr>
              <w:spacing w:after="0"/>
              <w:rPr>
                <w:sz w:val="14"/>
                <w:szCs w:val="14"/>
                <w:color w:val="auto"/>
              </w:rPr>
            </w:pPr>
          </w:p>
        </w:tc>
        <w:tc>
          <w:tcPr>
            <w:tcW w:w="760" w:type="dxa"/>
            <w:vAlign w:val="bottom"/>
            <w:tcBorders>
              <w:right w:val="single" w:sz="8" w:color="auto"/>
            </w:tcBorders>
            <w:vMerge w:val="restart"/>
          </w:tcPr>
          <w:p>
            <w:pPr>
              <w:jc w:val="center"/>
              <w:ind w:right="163"/>
              <w:spacing w:after="0"/>
              <w:rPr>
                <w:sz w:val="20"/>
                <w:szCs w:val="20"/>
                <w:color w:val="auto"/>
              </w:rPr>
            </w:pPr>
            <w:r>
              <w:rPr>
                <w:rFonts w:ascii="Arial" w:cs="Arial" w:eastAsia="Arial" w:hAnsi="Arial"/>
                <w:sz w:val="15"/>
                <w:szCs w:val="15"/>
                <w:color w:val="auto"/>
                <w:w w:val="95"/>
              </w:rPr>
              <w:t>6</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20" w:type="dxa"/>
            <w:vAlign w:val="bottom"/>
            <w:vMerge w:val="continue"/>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Consumption Annex</w:t>
            </w:r>
          </w:p>
        </w:tc>
        <w:tc>
          <w:tcPr>
            <w:tcW w:w="14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00B050"/>
          </w:tcPr>
          <w:p>
            <w:pPr>
              <w:spacing w:after="0" w:line="164" w:lineRule="exact"/>
              <w:rPr>
                <w:sz w:val="20"/>
                <w:szCs w:val="20"/>
                <w:color w:val="auto"/>
              </w:rPr>
            </w:pPr>
            <w:r>
              <w:rPr>
                <w:rFonts w:ascii="Arial" w:cs="Arial" w:eastAsia="Arial" w:hAnsi="Arial"/>
                <w:sz w:val="15"/>
                <w:szCs w:val="15"/>
                <w:b w:val="1"/>
                <w:bCs w:val="1"/>
                <w:color w:val="auto"/>
              </w:rPr>
              <w:t>EMISSIONS</w:t>
            </w:r>
          </w:p>
        </w:tc>
        <w:tc>
          <w:tcPr>
            <w:tcW w:w="420" w:type="dxa"/>
            <w:vAlign w:val="bottom"/>
            <w:tcBorders>
              <w:bottom w:val="single" w:sz="8" w:color="auto"/>
            </w:tcBorders>
            <w:shd w:val="clear" w:color="auto" w:fill="00B050"/>
          </w:tcPr>
          <w:p>
            <w:pPr>
              <w:spacing w:after="0"/>
              <w:rPr>
                <w:sz w:val="14"/>
                <w:szCs w:val="14"/>
                <w:color w:val="auto"/>
              </w:rPr>
            </w:pPr>
          </w:p>
        </w:tc>
        <w:tc>
          <w:tcPr>
            <w:tcW w:w="4100" w:type="dxa"/>
            <w:vAlign w:val="bottom"/>
            <w:tcBorders>
              <w:bottom w:val="single" w:sz="8" w:color="auto"/>
              <w:right w:val="single" w:sz="8" w:color="auto"/>
            </w:tcBorders>
            <w:shd w:val="clear" w:color="auto" w:fill="00B050"/>
          </w:tcPr>
          <w:p>
            <w:pPr>
              <w:spacing w:after="0"/>
              <w:rPr>
                <w:sz w:val="14"/>
                <w:szCs w:val="14"/>
                <w:color w:val="auto"/>
              </w:rPr>
            </w:pPr>
          </w:p>
        </w:tc>
        <w:tc>
          <w:tcPr>
            <w:tcW w:w="2020" w:type="dxa"/>
            <w:vAlign w:val="bottom"/>
            <w:tcBorders>
              <w:bottom w:val="single" w:sz="8" w:color="auto"/>
              <w:right w:val="single" w:sz="8" w:color="auto"/>
            </w:tcBorders>
            <w:shd w:val="clear" w:color="auto" w:fill="00B050"/>
          </w:tcPr>
          <w:p>
            <w:pPr>
              <w:spacing w:after="0"/>
              <w:rPr>
                <w:sz w:val="14"/>
                <w:szCs w:val="14"/>
                <w:color w:val="auto"/>
              </w:rPr>
            </w:pPr>
          </w:p>
        </w:tc>
        <w:tc>
          <w:tcPr>
            <w:tcW w:w="140" w:type="dxa"/>
            <w:vAlign w:val="bottom"/>
            <w:tcBorders>
              <w:bottom w:val="single" w:sz="8" w:color="auto"/>
            </w:tcBorders>
            <w:shd w:val="clear" w:color="auto" w:fill="00B050"/>
          </w:tcPr>
          <w:p>
            <w:pPr>
              <w:spacing w:after="0"/>
              <w:rPr>
                <w:sz w:val="14"/>
                <w:szCs w:val="14"/>
                <w:color w:val="auto"/>
              </w:rPr>
            </w:pPr>
          </w:p>
        </w:tc>
        <w:tc>
          <w:tcPr>
            <w:tcW w:w="760" w:type="dxa"/>
            <w:vAlign w:val="bottom"/>
            <w:tcBorders>
              <w:bottom w:val="single" w:sz="8" w:color="auto"/>
              <w:right w:val="single" w:sz="8" w:color="auto"/>
            </w:tcBorders>
            <w:shd w:val="clear" w:color="auto" w:fill="00B050"/>
          </w:tcPr>
          <w:p>
            <w:pPr>
              <w:spacing w:after="0"/>
              <w:rPr>
                <w:sz w:val="14"/>
                <w:szCs w:val="14"/>
                <w:color w:val="auto"/>
              </w:rPr>
            </w:pPr>
          </w:p>
        </w:tc>
        <w:tc>
          <w:tcPr>
            <w:tcW w:w="1220" w:type="dxa"/>
            <w:vAlign w:val="bottom"/>
            <w:tcBorders>
              <w:bottom w:val="single" w:sz="8" w:color="auto"/>
              <w:right w:val="single" w:sz="8" w:color="auto"/>
            </w:tcBorders>
            <w:shd w:val="clear" w:color="auto" w:fill="00B050"/>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auto"/>
              <w:right w:val="single" w:sz="8" w:color="auto"/>
            </w:tcBorders>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305-1</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Direct (Scope 1) GHG emissions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Greenhouse Gas Emissions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3</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- 12 - 13 -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3.9 - 12.4 - 13.1 -</w:t>
            </w:r>
          </w:p>
        </w:tc>
        <w:tc>
          <w:tcPr>
            <w:tcW w:w="0" w:type="dxa"/>
            <w:vAlign w:val="bottom"/>
          </w:tcPr>
          <w:p>
            <w:pPr>
              <w:spacing w:after="0"/>
              <w:rPr>
                <w:sz w:val="1"/>
                <w:szCs w:val="1"/>
                <w:color w:val="auto"/>
              </w:rPr>
            </w:pPr>
          </w:p>
        </w:tc>
      </w:tr>
      <w:tr>
        <w:trPr>
          <w:trHeight w:val="126"/>
        </w:trPr>
        <w:tc>
          <w:tcPr>
            <w:tcW w:w="2600" w:type="dxa"/>
            <w:vAlign w:val="bottom"/>
            <w:tcBorders>
              <w:left w:val="single" w:sz="8" w:color="auto"/>
              <w:right w:val="single" w:sz="8" w:color="auto"/>
            </w:tcBorders>
          </w:tcPr>
          <w:p>
            <w:pPr>
              <w:spacing w:after="0"/>
              <w:rPr>
                <w:sz w:val="10"/>
                <w:szCs w:val="10"/>
                <w:color w:val="auto"/>
              </w:rPr>
            </w:pPr>
          </w:p>
        </w:tc>
        <w:tc>
          <w:tcPr>
            <w:tcW w:w="420" w:type="dxa"/>
            <w:vAlign w:val="bottom"/>
            <w:vMerge w:val="continue"/>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4"/>
                <w:szCs w:val="14"/>
                <w:color w:val="auto"/>
              </w:rPr>
              <w:t>(GHG) / Carbon Footprint</w:t>
            </w:r>
          </w:p>
        </w:tc>
        <w:tc>
          <w:tcPr>
            <w:tcW w:w="14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163"/>
              <w:spacing w:after="0"/>
              <w:rPr>
                <w:sz w:val="20"/>
                <w:szCs w:val="20"/>
                <w:color w:val="auto"/>
              </w:rPr>
            </w:pPr>
            <w:r>
              <w:rPr>
                <w:rFonts w:ascii="Arial" w:cs="Arial" w:eastAsia="Arial" w:hAnsi="Arial"/>
                <w:sz w:val="15"/>
                <w:szCs w:val="15"/>
                <w:color w:val="auto"/>
              </w:rPr>
              <w:t>14 - 15</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14.3 - 15.2</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1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Annex</w:t>
            </w:r>
          </w:p>
        </w:tc>
        <w:tc>
          <w:tcPr>
            <w:tcW w:w="14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auto"/>
              <w:right w:val="single" w:sz="8" w:color="auto"/>
            </w:tcBorders>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305-2</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Energy indirect (Scope 2) GHG emissions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Greenhouse Gas Emissions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3</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- 12 - 13 -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3.9 - 12.4 - 13.1 -</w:t>
            </w:r>
          </w:p>
        </w:tc>
        <w:tc>
          <w:tcPr>
            <w:tcW w:w="0" w:type="dxa"/>
            <w:vAlign w:val="bottom"/>
          </w:tcPr>
          <w:p>
            <w:pPr>
              <w:spacing w:after="0"/>
              <w:rPr>
                <w:sz w:val="1"/>
                <w:szCs w:val="1"/>
                <w:color w:val="auto"/>
              </w:rPr>
            </w:pPr>
          </w:p>
        </w:tc>
      </w:tr>
      <w:tr>
        <w:trPr>
          <w:trHeight w:val="126"/>
        </w:trPr>
        <w:tc>
          <w:tcPr>
            <w:tcW w:w="2600" w:type="dxa"/>
            <w:vAlign w:val="bottom"/>
            <w:tcBorders>
              <w:left w:val="single" w:sz="8" w:color="auto"/>
              <w:right w:val="single" w:sz="8" w:color="auto"/>
            </w:tcBorders>
          </w:tcPr>
          <w:p>
            <w:pPr>
              <w:spacing w:after="0"/>
              <w:rPr>
                <w:sz w:val="10"/>
                <w:szCs w:val="10"/>
                <w:color w:val="auto"/>
              </w:rPr>
            </w:pPr>
          </w:p>
        </w:tc>
        <w:tc>
          <w:tcPr>
            <w:tcW w:w="420" w:type="dxa"/>
            <w:vAlign w:val="bottom"/>
            <w:vMerge w:val="continue"/>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4"/>
                <w:szCs w:val="14"/>
                <w:color w:val="auto"/>
              </w:rPr>
              <w:t>(GHG) / Carbon Footprint</w:t>
            </w:r>
          </w:p>
        </w:tc>
        <w:tc>
          <w:tcPr>
            <w:tcW w:w="14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163"/>
              <w:spacing w:after="0"/>
              <w:rPr>
                <w:sz w:val="20"/>
                <w:szCs w:val="20"/>
                <w:color w:val="auto"/>
              </w:rPr>
            </w:pPr>
            <w:r>
              <w:rPr>
                <w:rFonts w:ascii="Arial" w:cs="Arial" w:eastAsia="Arial" w:hAnsi="Arial"/>
                <w:sz w:val="15"/>
                <w:szCs w:val="15"/>
                <w:color w:val="auto"/>
              </w:rPr>
              <w:t>14 - 15</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14.3 - 15.2</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GRI 305: EMISSIONS 2016</w:t>
            </w:r>
          </w:p>
        </w:tc>
        <w:tc>
          <w:tcPr>
            <w:tcW w:w="420" w:type="dxa"/>
            <w:vAlign w:val="bottom"/>
          </w:tcPr>
          <w:p>
            <w:pPr>
              <w:spacing w:after="0"/>
              <w:rPr>
                <w:sz w:val="8"/>
                <w:szCs w:val="8"/>
                <w:color w:val="auto"/>
              </w:rPr>
            </w:pPr>
          </w:p>
        </w:tc>
        <w:tc>
          <w:tcPr>
            <w:tcW w:w="41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Annex</w:t>
            </w:r>
          </w:p>
        </w:tc>
        <w:tc>
          <w:tcPr>
            <w:tcW w:w="14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0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305-3</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Other indirect (Scope 3) GHG emissions</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Greenhouse Gas Emissions</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3</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- 12 - 13 -</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3.9 - 12.4 - 13.1 -</w:t>
            </w:r>
          </w:p>
        </w:tc>
        <w:tc>
          <w:tcPr>
            <w:tcW w:w="0" w:type="dxa"/>
            <w:vAlign w:val="bottom"/>
          </w:tcPr>
          <w:p>
            <w:pPr>
              <w:spacing w:after="0"/>
              <w:rPr>
                <w:sz w:val="1"/>
                <w:szCs w:val="1"/>
                <w:color w:val="auto"/>
              </w:rPr>
            </w:pPr>
          </w:p>
        </w:tc>
      </w:tr>
      <w:tr>
        <w:trPr>
          <w:trHeight w:val="127"/>
        </w:trPr>
        <w:tc>
          <w:tcPr>
            <w:tcW w:w="2600" w:type="dxa"/>
            <w:vAlign w:val="bottom"/>
            <w:tcBorders>
              <w:left w:val="single" w:sz="8" w:color="auto"/>
              <w:right w:val="single" w:sz="8" w:color="auto"/>
            </w:tcBorders>
          </w:tcPr>
          <w:p>
            <w:pPr>
              <w:spacing w:after="0"/>
              <w:rPr>
                <w:sz w:val="11"/>
                <w:szCs w:val="11"/>
                <w:color w:val="auto"/>
              </w:rPr>
            </w:pPr>
          </w:p>
        </w:tc>
        <w:tc>
          <w:tcPr>
            <w:tcW w:w="420" w:type="dxa"/>
            <w:vAlign w:val="bottom"/>
            <w:vMerge w:val="continue"/>
          </w:tcPr>
          <w:p>
            <w:pPr>
              <w:spacing w:after="0"/>
              <w:rPr>
                <w:sz w:val="11"/>
                <w:szCs w:val="11"/>
                <w:color w:val="auto"/>
              </w:rPr>
            </w:pPr>
          </w:p>
        </w:tc>
        <w:tc>
          <w:tcPr>
            <w:tcW w:w="4100" w:type="dxa"/>
            <w:vAlign w:val="bottom"/>
            <w:tcBorders>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00" w:type="dxa"/>
            <w:vAlign w:val="bottom"/>
            <w:tcBorders>
              <w:left w:val="single" w:sz="8" w:color="auto"/>
              <w:right w:val="single" w:sz="8" w:color="auto"/>
            </w:tcBorders>
          </w:tcPr>
          <w:p>
            <w:pPr>
              <w:spacing w:after="0"/>
              <w:rPr>
                <w:sz w:val="10"/>
                <w:szCs w:val="10"/>
                <w:color w:val="auto"/>
              </w:rPr>
            </w:pPr>
          </w:p>
        </w:tc>
        <w:tc>
          <w:tcPr>
            <w:tcW w:w="420" w:type="dxa"/>
            <w:vAlign w:val="bottom"/>
            <w:vMerge w:val="continue"/>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4"/>
                <w:szCs w:val="14"/>
                <w:color w:val="auto"/>
              </w:rPr>
              <w:t>(GHG) / Carbon Footprint</w:t>
            </w:r>
          </w:p>
        </w:tc>
        <w:tc>
          <w:tcPr>
            <w:tcW w:w="14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163"/>
              <w:spacing w:after="0"/>
              <w:rPr>
                <w:sz w:val="20"/>
                <w:szCs w:val="20"/>
                <w:color w:val="auto"/>
              </w:rPr>
            </w:pPr>
            <w:r>
              <w:rPr>
                <w:rFonts w:ascii="Arial" w:cs="Arial" w:eastAsia="Arial" w:hAnsi="Arial"/>
                <w:sz w:val="15"/>
                <w:szCs w:val="15"/>
                <w:color w:val="auto"/>
              </w:rPr>
              <w:t>14 - 15</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14.3 - 15.2</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1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Annex</w:t>
            </w:r>
          </w:p>
        </w:tc>
        <w:tc>
          <w:tcPr>
            <w:tcW w:w="14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Greenhouse Gas Emissions</w:t>
            </w:r>
          </w:p>
        </w:tc>
        <w:tc>
          <w:tcPr>
            <w:tcW w:w="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00" w:type="dxa"/>
            <w:vAlign w:val="bottom"/>
            <w:tcBorders>
              <w:left w:val="single" w:sz="8" w:color="auto"/>
              <w:right w:val="single" w:sz="8" w:color="auto"/>
            </w:tcBorders>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98"/>
              </w:rPr>
              <w:t>305-5</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Reduction of GHG emissions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(GHG) / Carbon Footprint</w:t>
            </w:r>
          </w:p>
        </w:tc>
        <w:tc>
          <w:tcPr>
            <w:tcW w:w="900" w:type="dxa"/>
            <w:vAlign w:val="bottom"/>
            <w:tcBorders>
              <w:right w:val="single" w:sz="8" w:color="auto"/>
            </w:tcBorders>
            <w:gridSpan w:val="2"/>
          </w:tcPr>
          <w:p>
            <w:pPr>
              <w:jc w:val="center"/>
              <w:ind w:right="3"/>
              <w:spacing w:after="0"/>
              <w:rPr>
                <w:sz w:val="20"/>
                <w:szCs w:val="20"/>
                <w:color w:val="auto"/>
              </w:rPr>
            </w:pPr>
            <w:r>
              <w:rPr>
                <w:rFonts w:ascii="Arial" w:cs="Arial" w:eastAsia="Arial" w:hAnsi="Arial"/>
                <w:sz w:val="15"/>
                <w:szCs w:val="15"/>
                <w:color w:val="auto"/>
              </w:rPr>
              <w:t>13 - 14 - 15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13.1 - 14.3 - 15.2</w:t>
            </w:r>
          </w:p>
        </w:tc>
        <w:tc>
          <w:tcPr>
            <w:tcW w:w="0" w:type="dxa"/>
            <w:vAlign w:val="bottom"/>
          </w:tcPr>
          <w:p>
            <w:pPr>
              <w:spacing w:after="0"/>
              <w:rPr>
                <w:sz w:val="1"/>
                <w:szCs w:val="1"/>
                <w:color w:val="auto"/>
              </w:rPr>
            </w:pPr>
          </w:p>
        </w:tc>
      </w:tr>
      <w:tr>
        <w:trPr>
          <w:trHeight w:val="174"/>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10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Annex</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00B050"/>
          </w:tcPr>
          <w:p>
            <w:pPr>
              <w:spacing w:after="0" w:line="164" w:lineRule="exact"/>
              <w:rPr>
                <w:sz w:val="20"/>
                <w:szCs w:val="20"/>
                <w:color w:val="auto"/>
              </w:rPr>
            </w:pPr>
            <w:r>
              <w:rPr>
                <w:rFonts w:ascii="Arial" w:cs="Arial" w:eastAsia="Arial" w:hAnsi="Arial"/>
                <w:sz w:val="15"/>
                <w:szCs w:val="15"/>
                <w:b w:val="1"/>
                <w:bCs w:val="1"/>
                <w:color w:val="auto"/>
              </w:rPr>
              <w:t>WASTE</w:t>
            </w:r>
          </w:p>
        </w:tc>
        <w:tc>
          <w:tcPr>
            <w:tcW w:w="420" w:type="dxa"/>
            <w:vAlign w:val="bottom"/>
            <w:tcBorders>
              <w:bottom w:val="single" w:sz="8" w:color="auto"/>
            </w:tcBorders>
            <w:shd w:val="clear" w:color="auto" w:fill="00B050"/>
          </w:tcPr>
          <w:p>
            <w:pPr>
              <w:spacing w:after="0"/>
              <w:rPr>
                <w:sz w:val="14"/>
                <w:szCs w:val="14"/>
                <w:color w:val="auto"/>
              </w:rPr>
            </w:pPr>
          </w:p>
        </w:tc>
        <w:tc>
          <w:tcPr>
            <w:tcW w:w="4100" w:type="dxa"/>
            <w:vAlign w:val="bottom"/>
            <w:tcBorders>
              <w:bottom w:val="single" w:sz="8" w:color="auto"/>
              <w:right w:val="single" w:sz="8" w:color="auto"/>
            </w:tcBorders>
            <w:shd w:val="clear" w:color="auto" w:fill="00B050"/>
          </w:tcPr>
          <w:p>
            <w:pPr>
              <w:spacing w:after="0"/>
              <w:rPr>
                <w:sz w:val="14"/>
                <w:szCs w:val="14"/>
                <w:color w:val="auto"/>
              </w:rPr>
            </w:pPr>
          </w:p>
        </w:tc>
        <w:tc>
          <w:tcPr>
            <w:tcW w:w="2020" w:type="dxa"/>
            <w:vAlign w:val="bottom"/>
            <w:tcBorders>
              <w:bottom w:val="single" w:sz="8" w:color="auto"/>
              <w:right w:val="single" w:sz="8" w:color="auto"/>
            </w:tcBorders>
            <w:shd w:val="clear" w:color="auto" w:fill="00B050"/>
          </w:tcPr>
          <w:p>
            <w:pPr>
              <w:spacing w:after="0"/>
              <w:rPr>
                <w:sz w:val="14"/>
                <w:szCs w:val="14"/>
                <w:color w:val="auto"/>
              </w:rPr>
            </w:pPr>
          </w:p>
        </w:tc>
        <w:tc>
          <w:tcPr>
            <w:tcW w:w="140" w:type="dxa"/>
            <w:vAlign w:val="bottom"/>
            <w:tcBorders>
              <w:bottom w:val="single" w:sz="8" w:color="auto"/>
            </w:tcBorders>
            <w:shd w:val="clear" w:color="auto" w:fill="00B050"/>
          </w:tcPr>
          <w:p>
            <w:pPr>
              <w:spacing w:after="0"/>
              <w:rPr>
                <w:sz w:val="14"/>
                <w:szCs w:val="14"/>
                <w:color w:val="auto"/>
              </w:rPr>
            </w:pPr>
          </w:p>
        </w:tc>
        <w:tc>
          <w:tcPr>
            <w:tcW w:w="760" w:type="dxa"/>
            <w:vAlign w:val="bottom"/>
            <w:tcBorders>
              <w:bottom w:val="single" w:sz="8" w:color="auto"/>
              <w:right w:val="single" w:sz="8" w:color="auto"/>
            </w:tcBorders>
            <w:shd w:val="clear" w:color="auto" w:fill="00B050"/>
          </w:tcPr>
          <w:p>
            <w:pPr>
              <w:spacing w:after="0"/>
              <w:rPr>
                <w:sz w:val="14"/>
                <w:szCs w:val="14"/>
                <w:color w:val="auto"/>
              </w:rPr>
            </w:pPr>
          </w:p>
        </w:tc>
        <w:tc>
          <w:tcPr>
            <w:tcW w:w="1220" w:type="dxa"/>
            <w:vAlign w:val="bottom"/>
            <w:tcBorders>
              <w:bottom w:val="single" w:sz="8" w:color="auto"/>
              <w:right w:val="single" w:sz="8" w:color="auto"/>
            </w:tcBorders>
            <w:shd w:val="clear" w:color="auto" w:fill="00B050"/>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color w:val="auto"/>
              </w:rPr>
              <w:t>3 - 6 - 11 -</w:t>
            </w:r>
          </w:p>
        </w:tc>
        <w:tc>
          <w:tcPr>
            <w:tcW w:w="12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3.9 - 6.3 - 6.6 -</w:t>
            </w: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tcPr>
          <w:p>
            <w:pPr>
              <w:spacing w:after="0"/>
              <w:rPr>
                <w:sz w:val="12"/>
                <w:szCs w:val="12"/>
                <w:color w:val="auto"/>
              </w:rPr>
            </w:pPr>
          </w:p>
        </w:tc>
        <w:tc>
          <w:tcPr>
            <w:tcW w:w="420" w:type="dxa"/>
            <w:vAlign w:val="bottom"/>
          </w:tcPr>
          <w:p>
            <w:pPr>
              <w:jc w:val="right"/>
              <w:spacing w:after="0" w:line="139" w:lineRule="exact"/>
              <w:rPr>
                <w:sz w:val="20"/>
                <w:szCs w:val="20"/>
                <w:color w:val="auto"/>
              </w:rPr>
            </w:pPr>
            <w:r>
              <w:rPr>
                <w:rFonts w:ascii="Arial" w:cs="Arial" w:eastAsia="Arial" w:hAnsi="Arial"/>
                <w:sz w:val="15"/>
                <w:szCs w:val="15"/>
                <w:color w:val="auto"/>
                <w:w w:val="98"/>
              </w:rPr>
              <w:t>306-1</w:t>
            </w:r>
          </w:p>
        </w:tc>
        <w:tc>
          <w:tcPr>
            <w:tcW w:w="410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5"/>
                <w:szCs w:val="15"/>
                <w:color w:val="auto"/>
              </w:rPr>
              <w:t>Waste generation and significant waste-related impacts</w:t>
            </w:r>
          </w:p>
        </w:tc>
        <w:tc>
          <w:tcPr>
            <w:tcW w:w="2020" w:type="dxa"/>
            <w:vAlign w:val="bottom"/>
            <w:tcBorders>
              <w:right w:val="single" w:sz="8" w:color="auto"/>
            </w:tcBorders>
          </w:tcPr>
          <w:p>
            <w:pPr>
              <w:jc w:val="center"/>
              <w:ind w:right="4"/>
              <w:spacing w:after="0" w:line="139" w:lineRule="exact"/>
              <w:rPr>
                <w:sz w:val="20"/>
                <w:szCs w:val="20"/>
                <w:color w:val="auto"/>
              </w:rPr>
            </w:pPr>
            <w:r>
              <w:rPr>
                <w:rFonts w:ascii="Arial" w:cs="Arial" w:eastAsia="Arial" w:hAnsi="Arial"/>
                <w:sz w:val="15"/>
                <w:szCs w:val="15"/>
                <w:color w:val="auto"/>
                <w:w w:val="98"/>
              </w:rPr>
              <w:t>Waste</w:t>
            </w:r>
          </w:p>
        </w:tc>
        <w:tc>
          <w:tcPr>
            <w:tcW w:w="900" w:type="dxa"/>
            <w:vAlign w:val="bottom"/>
            <w:tcBorders>
              <w:right w:val="single" w:sz="8" w:color="auto"/>
            </w:tcBorders>
            <w:gridSpan w:val="2"/>
            <w:vMerge w:val="continue"/>
          </w:tcPr>
          <w:p>
            <w:pPr>
              <w:spacing w:after="0"/>
              <w:rPr>
                <w:sz w:val="12"/>
                <w:szCs w:val="12"/>
                <w:color w:val="auto"/>
              </w:rPr>
            </w:pPr>
          </w:p>
        </w:tc>
        <w:tc>
          <w:tcPr>
            <w:tcW w:w="122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5"/>
                <w:szCs w:val="15"/>
                <w:color w:val="auto"/>
              </w:rPr>
              <w:t>6.a - 6.b - 11.6 -</w:t>
            </w:r>
          </w:p>
        </w:tc>
        <w:tc>
          <w:tcPr>
            <w:tcW w:w="0" w:type="dxa"/>
            <w:vAlign w:val="bottom"/>
          </w:tcPr>
          <w:p>
            <w:pPr>
              <w:spacing w:after="0"/>
              <w:rPr>
                <w:sz w:val="1"/>
                <w:szCs w:val="1"/>
                <w:color w:val="auto"/>
              </w:rPr>
            </w:pPr>
          </w:p>
        </w:tc>
      </w:tr>
      <w:tr>
        <w:trPr>
          <w:trHeight w:val="173"/>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GRI 306: WASTE 2020</w:t>
            </w:r>
          </w:p>
        </w:tc>
        <w:tc>
          <w:tcPr>
            <w:tcW w:w="420" w:type="dxa"/>
            <w:vAlign w:val="bottom"/>
          </w:tcPr>
          <w:p>
            <w:pPr>
              <w:spacing w:after="0"/>
              <w:rPr>
                <w:sz w:val="15"/>
                <w:szCs w:val="15"/>
                <w:color w:val="auto"/>
              </w:rPr>
            </w:pPr>
          </w:p>
        </w:tc>
        <w:tc>
          <w:tcPr>
            <w:tcW w:w="41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tcPr>
          <w:p>
            <w:pPr>
              <w:jc w:val="center"/>
              <w:ind w:right="203"/>
              <w:spacing w:after="0"/>
              <w:rPr>
                <w:sz w:val="20"/>
                <w:szCs w:val="20"/>
                <w:color w:val="auto"/>
              </w:rPr>
            </w:pPr>
            <w:r>
              <w:rPr>
                <w:rFonts w:ascii="Arial" w:cs="Arial" w:eastAsia="Arial" w:hAnsi="Arial"/>
                <w:sz w:val="15"/>
                <w:szCs w:val="15"/>
                <w:color w:val="auto"/>
                <w:w w:val="95"/>
              </w:rPr>
              <w:t>12</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12.4 - 12.5</w:t>
            </w:r>
          </w:p>
        </w:tc>
        <w:tc>
          <w:tcPr>
            <w:tcW w:w="0" w:type="dxa"/>
            <w:vAlign w:val="bottom"/>
          </w:tcPr>
          <w:p>
            <w:pPr>
              <w:spacing w:after="0"/>
              <w:rPr>
                <w:sz w:val="1"/>
                <w:szCs w:val="1"/>
                <w:color w:val="auto"/>
              </w:rPr>
            </w:pPr>
          </w:p>
        </w:tc>
      </w:tr>
      <w:tr>
        <w:trPr>
          <w:trHeight w:val="35"/>
        </w:trPr>
        <w:tc>
          <w:tcPr>
            <w:tcW w:w="2600" w:type="dxa"/>
            <w:vAlign w:val="bottom"/>
            <w:tcBorders>
              <w:left w:val="single" w:sz="8" w:color="auto"/>
              <w:right w:val="single" w:sz="8" w:color="auto"/>
            </w:tcBorders>
            <w:vMerge w:val="continue"/>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8"/>
              </w:rPr>
              <w:t>306-2</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Management of significant waste-related impacts</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Waste</w:t>
            </w:r>
          </w:p>
        </w:tc>
        <w:tc>
          <w:tcPr>
            <w:tcW w:w="900" w:type="dxa"/>
            <w:vAlign w:val="bottom"/>
            <w:tcBorders>
              <w:right w:val="single" w:sz="8" w:color="auto"/>
            </w:tcBorders>
            <w:gridSpan w:val="2"/>
          </w:tcPr>
          <w:p>
            <w:pPr>
              <w:jc w:val="right"/>
              <w:spacing w:after="0" w:line="164" w:lineRule="exact"/>
              <w:rPr>
                <w:sz w:val="20"/>
                <w:szCs w:val="20"/>
                <w:color w:val="auto"/>
              </w:rPr>
            </w:pPr>
            <w:r>
              <w:rPr>
                <w:rFonts w:ascii="Arial" w:cs="Arial" w:eastAsia="Arial" w:hAnsi="Arial"/>
                <w:sz w:val="15"/>
                <w:szCs w:val="15"/>
                <w:color w:val="auto"/>
              </w:rPr>
              <w:t>3 - 6 - 8 - 11</w:t>
            </w:r>
          </w:p>
        </w:tc>
        <w:tc>
          <w:tcPr>
            <w:tcW w:w="12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3.9 - 6.3 - 8.4 -</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20" w:type="dxa"/>
            <w:vAlign w:val="bottom"/>
            <w:vMerge w:val="continue"/>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right w:val="single" w:sz="8" w:color="auto"/>
            </w:tcBorders>
            <w:vMerge w:val="restart"/>
          </w:tcPr>
          <w:p>
            <w:pPr>
              <w:jc w:val="center"/>
              <w:ind w:right="143"/>
              <w:spacing w:after="0"/>
              <w:rPr>
                <w:sz w:val="20"/>
                <w:szCs w:val="20"/>
                <w:color w:val="auto"/>
              </w:rPr>
            </w:pPr>
            <w:r>
              <w:rPr>
                <w:rFonts w:ascii="Arial" w:cs="Arial" w:eastAsia="Arial" w:hAnsi="Arial"/>
                <w:sz w:val="15"/>
                <w:szCs w:val="15"/>
                <w:color w:val="auto"/>
              </w:rPr>
              <w:t>- 12</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11.6 - 12.4 - 12.5</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1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12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6"/>
        </w:trPr>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38"/>
        </w:trPr>
        <w:tc>
          <w:tcPr>
            <w:tcW w:w="2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type w:val="continuous"/>
        </w:sectPr>
      </w:pPr>
    </w:p>
    <w:bookmarkStart w:id="188" w:name="page189"/>
    <w:bookmarkEnd w:id="1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600" w:type="dxa"/>
            <w:vAlign w:val="bottom"/>
            <w:tcBorders>
              <w:top w:val="single" w:sz="8" w:color="auto"/>
              <w:left w:val="single" w:sz="8" w:color="auto"/>
              <w:right w:val="single" w:sz="8" w:color="auto"/>
            </w:tcBorders>
          </w:tcPr>
          <w:p>
            <w:pPr>
              <w:spacing w:after="0"/>
              <w:rPr>
                <w:sz w:val="15"/>
                <w:szCs w:val="15"/>
                <w:color w:val="auto"/>
              </w:rPr>
            </w:pPr>
          </w:p>
        </w:tc>
        <w:tc>
          <w:tcPr>
            <w:tcW w:w="45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306-3 Waste generated</w:t>
            </w: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Waste</w:t>
            </w:r>
          </w:p>
        </w:tc>
        <w:tc>
          <w:tcPr>
            <w:tcW w:w="900" w:type="dxa"/>
            <w:vAlign w:val="bottom"/>
            <w:tcBorders>
              <w:top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3 - 6 - 11 -</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3.9 - 6.6 - 11.6 -</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color w:val="auto"/>
              </w:rPr>
              <w:t>12 - 15</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12.4 - 12.5 - 15.1</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5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vMerge w:val="continue"/>
          </w:tcPr>
          <w:p>
            <w:pPr>
              <w:spacing w:after="0"/>
              <w:rPr>
                <w:sz w:val="7"/>
                <w:szCs w:val="7"/>
                <w:color w:val="auto"/>
              </w:rPr>
            </w:pPr>
          </w:p>
        </w:tc>
        <w:tc>
          <w:tcPr>
            <w:tcW w:w="12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60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306-4 Waste diverted from disposal</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Waste / Waste Annex</w:t>
            </w:r>
          </w:p>
        </w:tc>
        <w:tc>
          <w:tcPr>
            <w:tcW w:w="900" w:type="dxa"/>
            <w:vAlign w:val="bottom"/>
            <w:tcBorders>
              <w:right w:val="single" w:sz="8" w:color="auto"/>
            </w:tcBorders>
          </w:tcPr>
          <w:p>
            <w:pPr>
              <w:jc w:val="center"/>
              <w:ind w:right="3"/>
              <w:spacing w:after="0"/>
              <w:rPr>
                <w:sz w:val="20"/>
                <w:szCs w:val="20"/>
                <w:color w:val="auto"/>
              </w:rPr>
            </w:pPr>
            <w:r>
              <w:rPr>
                <w:rFonts w:ascii="Arial" w:cs="Arial" w:eastAsia="Arial" w:hAnsi="Arial"/>
                <w:sz w:val="15"/>
                <w:szCs w:val="15"/>
                <w:color w:val="auto"/>
              </w:rPr>
              <w:t>3 - 11 - 12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3.9 - 11.6 - 12.4 -</w:t>
            </w:r>
          </w:p>
        </w:tc>
        <w:tc>
          <w:tcPr>
            <w:tcW w:w="0" w:type="dxa"/>
            <w:vAlign w:val="bottom"/>
          </w:tcPr>
          <w:p>
            <w:pPr>
              <w:spacing w:after="0"/>
              <w:rPr>
                <w:sz w:val="1"/>
                <w:szCs w:val="1"/>
                <w:color w:val="auto"/>
              </w:rPr>
            </w:pPr>
          </w:p>
        </w:tc>
      </w:tr>
      <w:tr>
        <w:trPr>
          <w:trHeight w:val="127"/>
        </w:trPr>
        <w:tc>
          <w:tcPr>
            <w:tcW w:w="2600" w:type="dxa"/>
            <w:vAlign w:val="bottom"/>
            <w:tcBorders>
              <w:left w:val="single" w:sz="8" w:color="auto"/>
              <w:right w:val="single" w:sz="8" w:color="auto"/>
            </w:tcBorders>
          </w:tcPr>
          <w:p>
            <w:pPr>
              <w:spacing w:after="0"/>
              <w:rPr>
                <w:sz w:val="11"/>
                <w:szCs w:val="11"/>
                <w:color w:val="auto"/>
              </w:rPr>
            </w:pPr>
          </w:p>
        </w:tc>
        <w:tc>
          <w:tcPr>
            <w:tcW w:w="452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jc w:val="center"/>
              <w:ind w:right="4"/>
              <w:spacing w:after="0" w:line="127"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306-5 Waste directed to disposal</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Waste / Waste Annex</w:t>
            </w:r>
          </w:p>
        </w:tc>
        <w:tc>
          <w:tcPr>
            <w:tcW w:w="900" w:type="dxa"/>
            <w:vAlign w:val="bottom"/>
            <w:tcBorders>
              <w:right w:val="single" w:sz="8" w:color="auto"/>
            </w:tcBorders>
          </w:tcPr>
          <w:p>
            <w:pPr>
              <w:jc w:val="right"/>
              <w:ind w:right="43"/>
              <w:spacing w:after="0" w:line="164" w:lineRule="exact"/>
              <w:rPr>
                <w:sz w:val="20"/>
                <w:szCs w:val="20"/>
                <w:color w:val="auto"/>
              </w:rPr>
            </w:pPr>
            <w:r>
              <w:rPr>
                <w:rFonts w:ascii="Arial" w:cs="Arial" w:eastAsia="Arial" w:hAnsi="Arial"/>
                <w:sz w:val="15"/>
                <w:szCs w:val="15"/>
                <w:color w:val="auto"/>
              </w:rPr>
              <w:t>3 - 6 - 11 -</w:t>
            </w:r>
          </w:p>
        </w:tc>
        <w:tc>
          <w:tcPr>
            <w:tcW w:w="12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3.9 - 6.6 - 11.6 -</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color w:val="auto"/>
              </w:rPr>
              <w:t>12 - 15</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12.4 - 12.5 - 15.1</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45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vMerge w:val="continue"/>
          </w:tcPr>
          <w:p>
            <w:pPr>
              <w:spacing w:after="0"/>
              <w:rPr>
                <w:sz w:val="7"/>
                <w:szCs w:val="7"/>
                <w:color w:val="auto"/>
              </w:rPr>
            </w:pPr>
          </w:p>
        </w:tc>
        <w:tc>
          <w:tcPr>
            <w:tcW w:w="12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00" w:type="dxa"/>
            <w:vAlign w:val="bottom"/>
            <w:tcBorders>
              <w:left w:val="single" w:sz="8" w:color="auto"/>
              <w:right w:val="single" w:sz="8" w:color="auto"/>
            </w:tcBorders>
            <w:shd w:val="clear" w:color="auto" w:fill="00B050"/>
          </w:tcPr>
          <w:p>
            <w:pPr>
              <w:spacing w:after="0" w:line="146" w:lineRule="exact"/>
              <w:rPr>
                <w:sz w:val="20"/>
                <w:szCs w:val="20"/>
                <w:color w:val="auto"/>
              </w:rPr>
            </w:pPr>
            <w:r>
              <w:rPr>
                <w:rFonts w:ascii="Arial" w:cs="Arial" w:eastAsia="Arial" w:hAnsi="Arial"/>
                <w:sz w:val="15"/>
                <w:szCs w:val="15"/>
                <w:b w:val="1"/>
                <w:bCs w:val="1"/>
                <w:color w:val="auto"/>
              </w:rPr>
              <w:t>SUPPLIER ENVIRONMENTAL</w:t>
            </w:r>
          </w:p>
        </w:tc>
        <w:tc>
          <w:tcPr>
            <w:tcW w:w="4520" w:type="dxa"/>
            <w:vAlign w:val="bottom"/>
            <w:tcBorders>
              <w:right w:val="single" w:sz="8" w:color="auto"/>
            </w:tcBorders>
            <w:shd w:val="clear" w:color="auto" w:fill="00B050"/>
          </w:tcPr>
          <w:p>
            <w:pPr>
              <w:spacing w:after="0"/>
              <w:rPr>
                <w:sz w:val="12"/>
                <w:szCs w:val="12"/>
                <w:color w:val="auto"/>
              </w:rPr>
            </w:pPr>
          </w:p>
        </w:tc>
        <w:tc>
          <w:tcPr>
            <w:tcW w:w="2020" w:type="dxa"/>
            <w:vAlign w:val="bottom"/>
            <w:tcBorders>
              <w:right w:val="single" w:sz="8" w:color="auto"/>
            </w:tcBorders>
            <w:shd w:val="clear" w:color="auto" w:fill="00B050"/>
          </w:tcPr>
          <w:p>
            <w:pPr>
              <w:spacing w:after="0"/>
              <w:rPr>
                <w:sz w:val="12"/>
                <w:szCs w:val="12"/>
                <w:color w:val="auto"/>
              </w:rPr>
            </w:pPr>
          </w:p>
        </w:tc>
        <w:tc>
          <w:tcPr>
            <w:tcW w:w="900" w:type="dxa"/>
            <w:vAlign w:val="bottom"/>
            <w:tcBorders>
              <w:right w:val="single" w:sz="8" w:color="auto"/>
            </w:tcBorders>
            <w:shd w:val="clear" w:color="auto" w:fill="00B050"/>
          </w:tcPr>
          <w:p>
            <w:pPr>
              <w:spacing w:after="0"/>
              <w:rPr>
                <w:sz w:val="12"/>
                <w:szCs w:val="12"/>
                <w:color w:val="auto"/>
              </w:rPr>
            </w:pPr>
          </w:p>
        </w:tc>
        <w:tc>
          <w:tcPr>
            <w:tcW w:w="1220" w:type="dxa"/>
            <w:vAlign w:val="bottom"/>
            <w:tcBorders>
              <w:right w:val="single" w:sz="8" w:color="auto"/>
            </w:tcBorders>
            <w:shd w:val="clear" w:color="auto" w:fill="00B050"/>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left w:val="single" w:sz="8" w:color="auto"/>
              <w:bottom w:val="single" w:sz="8" w:color="auto"/>
              <w:right w:val="single" w:sz="8" w:color="auto"/>
            </w:tcBorders>
            <w:shd w:val="clear" w:color="auto" w:fill="00B050"/>
          </w:tcPr>
          <w:p>
            <w:pPr>
              <w:spacing w:after="0"/>
              <w:rPr>
                <w:sz w:val="20"/>
                <w:szCs w:val="20"/>
                <w:color w:val="auto"/>
              </w:rPr>
            </w:pPr>
            <w:r>
              <w:rPr>
                <w:rFonts w:ascii="Arial" w:cs="Arial" w:eastAsia="Arial" w:hAnsi="Arial"/>
                <w:sz w:val="15"/>
                <w:szCs w:val="15"/>
                <w:b w:val="1"/>
                <w:bCs w:val="1"/>
                <w:color w:val="auto"/>
              </w:rPr>
              <w:t>ASSESSMENT</w:t>
            </w:r>
          </w:p>
        </w:tc>
        <w:tc>
          <w:tcPr>
            <w:tcW w:w="4520" w:type="dxa"/>
            <w:vAlign w:val="bottom"/>
            <w:tcBorders>
              <w:bottom w:val="single" w:sz="8" w:color="auto"/>
              <w:right w:val="single" w:sz="8" w:color="auto"/>
            </w:tcBorders>
            <w:shd w:val="clear" w:color="auto" w:fill="00B050"/>
          </w:tcPr>
          <w:p>
            <w:pPr>
              <w:spacing w:after="0"/>
              <w:rPr>
                <w:sz w:val="16"/>
                <w:szCs w:val="16"/>
                <w:color w:val="auto"/>
              </w:rPr>
            </w:pPr>
          </w:p>
        </w:tc>
        <w:tc>
          <w:tcPr>
            <w:tcW w:w="2020" w:type="dxa"/>
            <w:vAlign w:val="bottom"/>
            <w:tcBorders>
              <w:bottom w:val="single" w:sz="8" w:color="auto"/>
              <w:right w:val="single" w:sz="8" w:color="auto"/>
            </w:tcBorders>
            <w:shd w:val="clear" w:color="auto" w:fill="00B050"/>
          </w:tcPr>
          <w:p>
            <w:pPr>
              <w:spacing w:after="0"/>
              <w:rPr>
                <w:sz w:val="16"/>
                <w:szCs w:val="16"/>
                <w:color w:val="auto"/>
              </w:rPr>
            </w:pPr>
          </w:p>
        </w:tc>
        <w:tc>
          <w:tcPr>
            <w:tcW w:w="900" w:type="dxa"/>
            <w:vAlign w:val="bottom"/>
            <w:tcBorders>
              <w:bottom w:val="single" w:sz="8" w:color="auto"/>
              <w:right w:val="single" w:sz="8" w:color="auto"/>
            </w:tcBorders>
            <w:shd w:val="clear" w:color="auto" w:fill="00B050"/>
          </w:tcPr>
          <w:p>
            <w:pPr>
              <w:spacing w:after="0"/>
              <w:rPr>
                <w:sz w:val="16"/>
                <w:szCs w:val="16"/>
                <w:color w:val="auto"/>
              </w:rPr>
            </w:pPr>
          </w:p>
        </w:tc>
        <w:tc>
          <w:tcPr>
            <w:tcW w:w="1220" w:type="dxa"/>
            <w:vAlign w:val="bottom"/>
            <w:tcBorders>
              <w:bottom w:val="single" w:sz="8" w:color="auto"/>
              <w:right w:val="single" w:sz="8" w:color="auto"/>
            </w:tcBorders>
            <w:shd w:val="clear" w:color="auto" w:fill="00B050"/>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GRI 308: SUPPLIER</w:t>
            </w: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308-1 New suppliers that were screened using environmental</w:t>
            </w:r>
          </w:p>
        </w:tc>
        <w:tc>
          <w:tcPr>
            <w:tcW w:w="20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ENVIRONMENTAL</w:t>
            </w:r>
          </w:p>
        </w:tc>
        <w:tc>
          <w:tcPr>
            <w:tcW w:w="4520" w:type="dxa"/>
            <w:vAlign w:val="bottom"/>
            <w:tcBorders>
              <w:right w:val="single" w:sz="8" w:color="auto"/>
            </w:tcBorders>
            <w:vMerge w:val="continue"/>
          </w:tcPr>
          <w:p>
            <w:pPr>
              <w:spacing w:after="0"/>
              <w:rPr>
                <w:sz w:val="7"/>
                <w:szCs w:val="7"/>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ESG Supplier Assessment</w:t>
            </w:r>
          </w:p>
        </w:tc>
        <w:tc>
          <w:tcPr>
            <w:tcW w:w="9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600" w:type="dxa"/>
            <w:vAlign w:val="bottom"/>
            <w:tcBorders>
              <w:left w:val="single" w:sz="8" w:color="auto"/>
              <w:right w:val="single" w:sz="8" w:color="auto"/>
            </w:tcBorders>
            <w:vMerge w:val="continue"/>
          </w:tcPr>
          <w:p>
            <w:pPr>
              <w:spacing w:after="0"/>
              <w:rPr>
                <w:sz w:val="8"/>
                <w:szCs w:val="8"/>
                <w:color w:val="auto"/>
              </w:rPr>
            </w:pP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criteria</w:t>
            </w:r>
          </w:p>
        </w:tc>
        <w:tc>
          <w:tcPr>
            <w:tcW w:w="20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ASSESSMENT 2016</w:t>
            </w:r>
          </w:p>
        </w:tc>
        <w:tc>
          <w:tcPr>
            <w:tcW w:w="45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45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00" w:type="dxa"/>
            <w:vAlign w:val="bottom"/>
            <w:tcBorders>
              <w:left w:val="single" w:sz="8" w:color="auto"/>
              <w:right w:val="single" w:sz="8" w:color="auto"/>
            </w:tcBorders>
            <w:shd w:val="clear" w:color="auto" w:fill="FFC000"/>
          </w:tcPr>
          <w:p>
            <w:pPr>
              <w:spacing w:after="0" w:line="146" w:lineRule="exact"/>
              <w:rPr>
                <w:sz w:val="20"/>
                <w:szCs w:val="20"/>
                <w:color w:val="auto"/>
              </w:rPr>
            </w:pPr>
            <w:r>
              <w:rPr>
                <w:rFonts w:ascii="Arial" w:cs="Arial" w:eastAsia="Arial" w:hAnsi="Arial"/>
                <w:sz w:val="15"/>
                <w:szCs w:val="15"/>
                <w:b w:val="1"/>
                <w:bCs w:val="1"/>
                <w:color w:val="auto"/>
              </w:rPr>
              <w:t>OCCUPATIONAL HEALTH AND</w:t>
            </w:r>
          </w:p>
        </w:tc>
        <w:tc>
          <w:tcPr>
            <w:tcW w:w="4520" w:type="dxa"/>
            <w:vAlign w:val="bottom"/>
            <w:tcBorders>
              <w:right w:val="single" w:sz="8" w:color="auto"/>
            </w:tcBorders>
            <w:shd w:val="clear" w:color="auto" w:fill="FFC000"/>
          </w:tcPr>
          <w:p>
            <w:pPr>
              <w:spacing w:after="0"/>
              <w:rPr>
                <w:sz w:val="12"/>
                <w:szCs w:val="12"/>
                <w:color w:val="auto"/>
              </w:rPr>
            </w:pPr>
          </w:p>
        </w:tc>
        <w:tc>
          <w:tcPr>
            <w:tcW w:w="2020" w:type="dxa"/>
            <w:vAlign w:val="bottom"/>
            <w:tcBorders>
              <w:right w:val="single" w:sz="8" w:color="auto"/>
            </w:tcBorders>
            <w:shd w:val="clear" w:color="auto" w:fill="FFC000"/>
          </w:tcPr>
          <w:p>
            <w:pPr>
              <w:spacing w:after="0"/>
              <w:rPr>
                <w:sz w:val="12"/>
                <w:szCs w:val="12"/>
                <w:color w:val="auto"/>
              </w:rPr>
            </w:pPr>
          </w:p>
        </w:tc>
        <w:tc>
          <w:tcPr>
            <w:tcW w:w="900" w:type="dxa"/>
            <w:vAlign w:val="bottom"/>
            <w:tcBorders>
              <w:right w:val="single" w:sz="8" w:color="auto"/>
            </w:tcBorders>
            <w:shd w:val="clear" w:color="auto" w:fill="FFC000"/>
          </w:tcPr>
          <w:p>
            <w:pPr>
              <w:spacing w:after="0"/>
              <w:rPr>
                <w:sz w:val="12"/>
                <w:szCs w:val="12"/>
                <w:color w:val="auto"/>
              </w:rPr>
            </w:pPr>
          </w:p>
        </w:tc>
        <w:tc>
          <w:tcPr>
            <w:tcW w:w="1220" w:type="dxa"/>
            <w:vAlign w:val="bottom"/>
            <w:tcBorders>
              <w:right w:val="single" w:sz="8" w:color="auto"/>
            </w:tcBorders>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left w:val="single" w:sz="8" w:color="auto"/>
              <w:bottom w:val="single" w:sz="8" w:color="auto"/>
              <w:right w:val="single" w:sz="8" w:color="auto"/>
            </w:tcBorders>
            <w:shd w:val="clear" w:color="auto" w:fill="FFC000"/>
          </w:tcPr>
          <w:p>
            <w:pPr>
              <w:spacing w:after="0"/>
              <w:rPr>
                <w:sz w:val="20"/>
                <w:szCs w:val="20"/>
                <w:color w:val="auto"/>
              </w:rPr>
            </w:pPr>
            <w:r>
              <w:rPr>
                <w:rFonts w:ascii="Arial" w:cs="Arial" w:eastAsia="Arial" w:hAnsi="Arial"/>
                <w:sz w:val="15"/>
                <w:szCs w:val="15"/>
                <w:b w:val="1"/>
                <w:bCs w:val="1"/>
                <w:color w:val="auto"/>
              </w:rPr>
              <w:t>SAFETY</w:t>
            </w:r>
          </w:p>
        </w:tc>
        <w:tc>
          <w:tcPr>
            <w:tcW w:w="4520" w:type="dxa"/>
            <w:vAlign w:val="bottom"/>
            <w:tcBorders>
              <w:bottom w:val="single" w:sz="8" w:color="auto"/>
              <w:right w:val="single" w:sz="8" w:color="auto"/>
            </w:tcBorders>
            <w:shd w:val="clear" w:color="auto" w:fill="FFC000"/>
          </w:tcPr>
          <w:p>
            <w:pPr>
              <w:spacing w:after="0"/>
              <w:rPr>
                <w:sz w:val="16"/>
                <w:szCs w:val="16"/>
                <w:color w:val="auto"/>
              </w:rPr>
            </w:pPr>
          </w:p>
        </w:tc>
        <w:tc>
          <w:tcPr>
            <w:tcW w:w="2020" w:type="dxa"/>
            <w:vAlign w:val="bottom"/>
            <w:tcBorders>
              <w:bottom w:val="single" w:sz="8" w:color="auto"/>
              <w:right w:val="single" w:sz="8" w:color="auto"/>
            </w:tcBorders>
            <w:shd w:val="clear" w:color="auto" w:fill="FFC000"/>
          </w:tcPr>
          <w:p>
            <w:pPr>
              <w:spacing w:after="0"/>
              <w:rPr>
                <w:sz w:val="16"/>
                <w:szCs w:val="16"/>
                <w:color w:val="auto"/>
              </w:rPr>
            </w:pPr>
          </w:p>
        </w:tc>
        <w:tc>
          <w:tcPr>
            <w:tcW w:w="900" w:type="dxa"/>
            <w:vAlign w:val="bottom"/>
            <w:tcBorders>
              <w:bottom w:val="single" w:sz="8" w:color="auto"/>
              <w:right w:val="single" w:sz="8" w:color="auto"/>
            </w:tcBorders>
            <w:shd w:val="clear" w:color="auto" w:fill="FFC000"/>
          </w:tcPr>
          <w:p>
            <w:pPr>
              <w:spacing w:after="0"/>
              <w:rPr>
                <w:sz w:val="16"/>
                <w:szCs w:val="16"/>
                <w:color w:val="auto"/>
              </w:rPr>
            </w:pPr>
          </w:p>
        </w:tc>
        <w:tc>
          <w:tcPr>
            <w:tcW w:w="1220" w:type="dxa"/>
            <w:vAlign w:val="bottom"/>
            <w:tcBorders>
              <w:bottom w:val="single" w:sz="8" w:color="auto"/>
              <w:right w:val="single" w:sz="8" w:color="auto"/>
            </w:tcBorders>
            <w:shd w:val="clear" w:color="auto" w:fill="FFC000"/>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403-1 Occupational health and safety management system</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Other Corporate Compliance</w:t>
            </w:r>
          </w:p>
        </w:tc>
        <w:tc>
          <w:tcPr>
            <w:tcW w:w="90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color w:val="auto"/>
                <w:w w:val="95"/>
              </w:rPr>
              <w:t>8</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Policies</w:t>
            </w:r>
          </w:p>
        </w:tc>
        <w:tc>
          <w:tcPr>
            <w:tcW w:w="9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5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52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403-2 Hazard identification, risk assessment, and incident</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Occupational Health and</w:t>
            </w:r>
          </w:p>
        </w:tc>
        <w:tc>
          <w:tcPr>
            <w:tcW w:w="90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color w:val="auto"/>
                <w:w w:val="95"/>
              </w:rPr>
              <w:t>8</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investigation</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Safety</w:t>
            </w:r>
          </w:p>
        </w:tc>
        <w:tc>
          <w:tcPr>
            <w:tcW w:w="9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GRI 403: OCCUPATIONAL HEALTH</w:t>
            </w:r>
          </w:p>
        </w:tc>
        <w:tc>
          <w:tcPr>
            <w:tcW w:w="4520" w:type="dxa"/>
            <w:vAlign w:val="bottom"/>
            <w:tcBorders>
              <w:bottom w:val="single" w:sz="8" w:color="auto"/>
              <w:right w:val="single" w:sz="8" w:color="auto"/>
            </w:tcBorders>
            <w:vMerge w:val="continue"/>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vMerge w:val="continue"/>
          </w:tcPr>
          <w:p>
            <w:pPr>
              <w:spacing w:after="0"/>
              <w:rPr>
                <w:sz w:val="14"/>
                <w:szCs w:val="14"/>
                <w:color w:val="auto"/>
              </w:rPr>
            </w:pPr>
          </w:p>
        </w:tc>
        <w:tc>
          <w:tcPr>
            <w:tcW w:w="452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403-4 Worker participation, consultation, and communication on</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Other Corporate Compliance</w:t>
            </w:r>
          </w:p>
        </w:tc>
        <w:tc>
          <w:tcPr>
            <w:tcW w:w="90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color w:val="auto"/>
              </w:rPr>
              <w:t>8 - 16</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8.8 - 16.7</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AND SAFETY 2018</w:t>
            </w: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occupational health and safety</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Policies</w:t>
            </w:r>
          </w:p>
        </w:tc>
        <w:tc>
          <w:tcPr>
            <w:tcW w:w="9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continue"/>
          </w:tcPr>
          <w:p>
            <w:pPr>
              <w:spacing w:after="0"/>
              <w:rPr>
                <w:sz w:val="7"/>
                <w:szCs w:val="7"/>
                <w:color w:val="auto"/>
              </w:rPr>
            </w:pPr>
          </w:p>
        </w:tc>
        <w:tc>
          <w:tcPr>
            <w:tcW w:w="4520" w:type="dxa"/>
            <w:vAlign w:val="bottom"/>
            <w:tcBorders>
              <w:bottom w:val="single" w:sz="8" w:color="auto"/>
              <w:right w:val="single" w:sz="8" w:color="auto"/>
            </w:tcBorders>
            <w:vMerge w:val="continue"/>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403-5 Worker training on occupational health and safety</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Other Corporate Compliance</w:t>
            </w:r>
          </w:p>
        </w:tc>
        <w:tc>
          <w:tcPr>
            <w:tcW w:w="90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color w:val="auto"/>
                <w:w w:val="95"/>
              </w:rPr>
              <w:t>8</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Policies</w:t>
            </w:r>
          </w:p>
        </w:tc>
        <w:tc>
          <w:tcPr>
            <w:tcW w:w="9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5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rPr>
                <w:sz w:val="14"/>
                <w:szCs w:val="14"/>
                <w:color w:val="auto"/>
              </w:rPr>
            </w:pPr>
          </w:p>
        </w:tc>
        <w:tc>
          <w:tcPr>
            <w:tcW w:w="4520" w:type="dxa"/>
            <w:vAlign w:val="bottom"/>
            <w:tcBorders>
              <w:right w:val="single" w:sz="8" w:color="auto"/>
            </w:tcBorders>
          </w:tcPr>
          <w:p>
            <w:pPr>
              <w:spacing w:after="0" w:line="164" w:lineRule="exact"/>
              <w:rPr>
                <w:sz w:val="20"/>
                <w:szCs w:val="20"/>
                <w:color w:val="auto"/>
              </w:rPr>
            </w:pPr>
            <w:r>
              <w:rPr>
                <w:rFonts w:ascii="Arial" w:cs="Arial" w:eastAsia="Arial" w:hAnsi="Arial"/>
                <w:sz w:val="15"/>
                <w:szCs w:val="15"/>
                <w:color w:val="auto"/>
              </w:rPr>
              <w:t>403-7 Prevention and mitigation of occupational health and safety</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Occupational Health and</w:t>
            </w:r>
          </w:p>
        </w:tc>
        <w:tc>
          <w:tcPr>
            <w:tcW w:w="900" w:type="dxa"/>
            <w:vAlign w:val="bottom"/>
            <w:tcBorders>
              <w:right w:val="single" w:sz="8" w:color="auto"/>
            </w:tcBorders>
            <w:vMerge w:val="restart"/>
          </w:tcPr>
          <w:p>
            <w:pPr>
              <w:jc w:val="center"/>
              <w:ind w:right="23"/>
              <w:spacing w:after="0"/>
              <w:rPr>
                <w:sz w:val="20"/>
                <w:szCs w:val="20"/>
                <w:color w:val="auto"/>
              </w:rPr>
            </w:pPr>
            <w:r>
              <w:rPr>
                <w:rFonts w:ascii="Arial" w:cs="Arial" w:eastAsia="Arial" w:hAnsi="Arial"/>
                <w:sz w:val="15"/>
                <w:szCs w:val="15"/>
                <w:color w:val="auto"/>
                <w:w w:val="95"/>
              </w:rPr>
              <w:t>8</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tcPr>
          <w:p>
            <w:pPr>
              <w:spacing w:after="0"/>
              <w:rPr>
                <w:sz w:val="8"/>
                <w:szCs w:val="8"/>
                <w:color w:val="auto"/>
              </w:rPr>
            </w:pP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impacts directly linked by business relationships</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Safety</w:t>
            </w:r>
          </w:p>
        </w:tc>
        <w:tc>
          <w:tcPr>
            <w:tcW w:w="9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4520" w:type="dxa"/>
            <w:vAlign w:val="bottom"/>
            <w:tcBorders>
              <w:bottom w:val="single" w:sz="8" w:color="auto"/>
              <w:right w:val="single" w:sz="8" w:color="auto"/>
            </w:tcBorders>
            <w:vMerge w:val="continue"/>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FFC000"/>
          </w:tcPr>
          <w:p>
            <w:pPr>
              <w:spacing w:after="0" w:line="164" w:lineRule="exact"/>
              <w:rPr>
                <w:sz w:val="20"/>
                <w:szCs w:val="20"/>
                <w:color w:val="auto"/>
              </w:rPr>
            </w:pPr>
            <w:r>
              <w:rPr>
                <w:rFonts w:ascii="Arial" w:cs="Arial" w:eastAsia="Arial" w:hAnsi="Arial"/>
                <w:sz w:val="15"/>
                <w:szCs w:val="15"/>
                <w:b w:val="1"/>
                <w:bCs w:val="1"/>
                <w:color w:val="auto"/>
              </w:rPr>
              <w:t>SUPPLIER SOCIAL ASSESSMENT</w:t>
            </w:r>
          </w:p>
        </w:tc>
        <w:tc>
          <w:tcPr>
            <w:tcW w:w="4520" w:type="dxa"/>
            <w:vAlign w:val="bottom"/>
            <w:tcBorders>
              <w:bottom w:val="single" w:sz="8" w:color="auto"/>
              <w:right w:val="single" w:sz="8" w:color="auto"/>
            </w:tcBorders>
            <w:shd w:val="clear" w:color="auto" w:fill="FFC000"/>
          </w:tcPr>
          <w:p>
            <w:pPr>
              <w:spacing w:after="0"/>
              <w:rPr>
                <w:sz w:val="14"/>
                <w:szCs w:val="14"/>
                <w:color w:val="auto"/>
              </w:rPr>
            </w:pPr>
          </w:p>
        </w:tc>
        <w:tc>
          <w:tcPr>
            <w:tcW w:w="2020" w:type="dxa"/>
            <w:vAlign w:val="bottom"/>
            <w:tcBorders>
              <w:bottom w:val="single" w:sz="8" w:color="auto"/>
              <w:right w:val="single" w:sz="8" w:color="auto"/>
            </w:tcBorders>
            <w:shd w:val="clear" w:color="auto" w:fill="FFC000"/>
          </w:tcPr>
          <w:p>
            <w:pPr>
              <w:spacing w:after="0"/>
              <w:rPr>
                <w:sz w:val="14"/>
                <w:szCs w:val="14"/>
                <w:color w:val="auto"/>
              </w:rPr>
            </w:pPr>
          </w:p>
        </w:tc>
        <w:tc>
          <w:tcPr>
            <w:tcW w:w="900" w:type="dxa"/>
            <w:vAlign w:val="bottom"/>
            <w:tcBorders>
              <w:bottom w:val="single" w:sz="8" w:color="auto"/>
              <w:right w:val="single" w:sz="8" w:color="auto"/>
            </w:tcBorders>
            <w:shd w:val="clear" w:color="auto" w:fill="FFC000"/>
          </w:tcPr>
          <w:p>
            <w:pPr>
              <w:spacing w:after="0"/>
              <w:rPr>
                <w:sz w:val="14"/>
                <w:szCs w:val="14"/>
                <w:color w:val="auto"/>
              </w:rPr>
            </w:pPr>
          </w:p>
        </w:tc>
        <w:tc>
          <w:tcPr>
            <w:tcW w:w="1220" w:type="dxa"/>
            <w:vAlign w:val="bottom"/>
            <w:tcBorders>
              <w:bottom w:val="single" w:sz="8" w:color="auto"/>
              <w:right w:val="single" w:sz="8" w:color="auto"/>
            </w:tcBorders>
            <w:shd w:val="clear" w:color="auto" w:fill="FFC000"/>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tcPr>
          <w:p>
            <w:pPr>
              <w:spacing w:after="0" w:line="164" w:lineRule="exact"/>
              <w:rPr>
                <w:sz w:val="20"/>
                <w:szCs w:val="20"/>
                <w:color w:val="auto"/>
              </w:rPr>
            </w:pPr>
            <w:r>
              <w:rPr>
                <w:rFonts w:ascii="Arial" w:cs="Arial" w:eastAsia="Arial" w:hAnsi="Arial"/>
                <w:sz w:val="15"/>
                <w:szCs w:val="15"/>
                <w:color w:val="auto"/>
              </w:rPr>
              <w:t>GRI 414: SUPPLIER SOCIAL</w:t>
            </w: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414-1 New suppliers that were screened using social criteria</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ESG Supplier Assessment</w:t>
            </w:r>
          </w:p>
        </w:tc>
        <w:tc>
          <w:tcPr>
            <w:tcW w:w="90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15"/>
                <w:szCs w:val="15"/>
                <w:color w:val="auto"/>
              </w:rPr>
              <w:t>5 - 8 - 16</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5.2 - 8.8 - 16.1</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ASSESSMENT 2016</w:t>
            </w:r>
          </w:p>
        </w:tc>
        <w:tc>
          <w:tcPr>
            <w:tcW w:w="45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45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bottom w:val="single" w:sz="8" w:color="auto"/>
              <w:right w:val="single" w:sz="8" w:color="auto"/>
            </w:tcBorders>
            <w:shd w:val="clear" w:color="auto" w:fill="FFC000"/>
          </w:tcPr>
          <w:p>
            <w:pPr>
              <w:spacing w:after="0" w:line="164" w:lineRule="exact"/>
              <w:rPr>
                <w:sz w:val="20"/>
                <w:szCs w:val="20"/>
                <w:color w:val="auto"/>
              </w:rPr>
            </w:pPr>
            <w:r>
              <w:rPr>
                <w:rFonts w:ascii="Arial" w:cs="Arial" w:eastAsia="Arial" w:hAnsi="Arial"/>
                <w:sz w:val="15"/>
                <w:szCs w:val="15"/>
                <w:b w:val="1"/>
                <w:bCs w:val="1"/>
                <w:color w:val="auto"/>
              </w:rPr>
              <w:t>PUBLIC POLICY</w:t>
            </w:r>
          </w:p>
        </w:tc>
        <w:tc>
          <w:tcPr>
            <w:tcW w:w="4520" w:type="dxa"/>
            <w:vAlign w:val="bottom"/>
            <w:tcBorders>
              <w:bottom w:val="single" w:sz="8" w:color="auto"/>
              <w:right w:val="single" w:sz="8" w:color="auto"/>
            </w:tcBorders>
            <w:shd w:val="clear" w:color="auto" w:fill="FFC000"/>
          </w:tcPr>
          <w:p>
            <w:pPr>
              <w:spacing w:after="0"/>
              <w:rPr>
                <w:sz w:val="14"/>
                <w:szCs w:val="14"/>
                <w:color w:val="auto"/>
              </w:rPr>
            </w:pPr>
          </w:p>
        </w:tc>
        <w:tc>
          <w:tcPr>
            <w:tcW w:w="2020" w:type="dxa"/>
            <w:vAlign w:val="bottom"/>
            <w:tcBorders>
              <w:bottom w:val="single" w:sz="8" w:color="auto"/>
              <w:right w:val="single" w:sz="8" w:color="auto"/>
            </w:tcBorders>
            <w:shd w:val="clear" w:color="auto" w:fill="FFC000"/>
          </w:tcPr>
          <w:p>
            <w:pPr>
              <w:spacing w:after="0"/>
              <w:rPr>
                <w:sz w:val="14"/>
                <w:szCs w:val="14"/>
                <w:color w:val="auto"/>
              </w:rPr>
            </w:pPr>
          </w:p>
        </w:tc>
        <w:tc>
          <w:tcPr>
            <w:tcW w:w="900" w:type="dxa"/>
            <w:vAlign w:val="bottom"/>
            <w:tcBorders>
              <w:bottom w:val="single" w:sz="8" w:color="auto"/>
              <w:right w:val="single" w:sz="8" w:color="auto"/>
            </w:tcBorders>
            <w:shd w:val="clear" w:color="auto" w:fill="FFC000"/>
          </w:tcPr>
          <w:p>
            <w:pPr>
              <w:spacing w:after="0"/>
              <w:rPr>
                <w:sz w:val="14"/>
                <w:szCs w:val="14"/>
                <w:color w:val="auto"/>
              </w:rPr>
            </w:pPr>
          </w:p>
        </w:tc>
        <w:tc>
          <w:tcPr>
            <w:tcW w:w="1220" w:type="dxa"/>
            <w:vAlign w:val="bottom"/>
            <w:tcBorders>
              <w:bottom w:val="single" w:sz="8" w:color="auto"/>
              <w:right w:val="single" w:sz="8" w:color="auto"/>
            </w:tcBorders>
            <w:shd w:val="clear" w:color="auto" w:fill="FFC000"/>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5"/>
                <w:szCs w:val="15"/>
                <w:color w:val="auto"/>
              </w:rPr>
              <w:t>GRI 415: POLÍTICA PÚBLICA 2016</w:t>
            </w:r>
          </w:p>
        </w:tc>
        <w:tc>
          <w:tcPr>
            <w:tcW w:w="45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415-1 Political contributions</w:t>
            </w:r>
          </w:p>
        </w:tc>
        <w:tc>
          <w:tcPr>
            <w:tcW w:w="20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Our Approach to Political</w:t>
            </w:r>
          </w:p>
        </w:tc>
        <w:tc>
          <w:tcPr>
            <w:tcW w:w="90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15"/>
                <w:szCs w:val="15"/>
                <w:color w:val="auto"/>
              </w:rPr>
              <w:t>16</w:t>
            </w:r>
          </w:p>
        </w:tc>
        <w:tc>
          <w:tcPr>
            <w:tcW w:w="122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93"/>
        </w:trPr>
        <w:tc>
          <w:tcPr>
            <w:tcW w:w="2600" w:type="dxa"/>
            <w:vAlign w:val="bottom"/>
            <w:tcBorders>
              <w:left w:val="single" w:sz="8" w:color="auto"/>
              <w:right w:val="single" w:sz="8" w:color="auto"/>
            </w:tcBorders>
            <w:vMerge w:val="continue"/>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Contributions</w:t>
            </w:r>
          </w:p>
        </w:tc>
        <w:tc>
          <w:tcPr>
            <w:tcW w:w="9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45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72"/>
        </w:trPr>
        <w:tc>
          <w:tcPr>
            <w:tcW w:w="2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38"/>
        </w:trPr>
        <w:tc>
          <w:tcPr>
            <w:tcW w:w="260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189" w:name="page190"/>
    <w:bookmarkEnd w:id="189"/>
    <w:p>
      <w:pPr>
        <w:spacing w:after="0"/>
        <w:rPr>
          <w:sz w:val="20"/>
          <w:szCs w:val="20"/>
          <w:color w:val="auto"/>
        </w:rPr>
      </w:pPr>
      <w:r>
        <w:rPr>
          <w:rFonts w:ascii="Arial" w:cs="Arial" w:eastAsia="Arial" w:hAnsi="Arial"/>
          <w:sz w:val="15"/>
          <w:szCs w:val="15"/>
          <w:b w:val="1"/>
          <w:bCs w:val="1"/>
          <w:color w:val="auto"/>
        </w:rPr>
        <w:t>SASB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5264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00" w:type="dxa"/>
            <w:vAlign w:val="bottom"/>
            <w:tcBorders>
              <w:top w:val="single" w:sz="8" w:color="auto"/>
              <w:left w:val="single" w:sz="8" w:color="auto"/>
              <w:right w:val="single" w:sz="8" w:color="auto"/>
            </w:tcBorders>
            <w:vMerge w:val="restart"/>
            <w:shd w:val="clear" w:color="auto" w:fill="BFBFBF"/>
          </w:tcPr>
          <w:p>
            <w:pPr>
              <w:ind w:left="60"/>
              <w:spacing w:after="0"/>
              <w:rPr>
                <w:sz w:val="20"/>
                <w:szCs w:val="20"/>
                <w:color w:val="auto"/>
              </w:rPr>
            </w:pPr>
            <w:r>
              <w:rPr>
                <w:rFonts w:ascii="Arial" w:cs="Arial" w:eastAsia="Arial" w:hAnsi="Arial"/>
                <w:sz w:val="15"/>
                <w:szCs w:val="15"/>
                <w:b w:val="1"/>
                <w:bCs w:val="1"/>
                <w:color w:val="auto"/>
              </w:rPr>
              <w:t>Declaration of use</w:t>
            </w:r>
          </w:p>
        </w:tc>
        <w:tc>
          <w:tcPr>
            <w:tcW w:w="88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CREDICORP has presented the information cited in this index of SASB contents for the period between 01/01/2022</w:t>
            </w:r>
          </w:p>
        </w:tc>
        <w:tc>
          <w:tcPr>
            <w:tcW w:w="0" w:type="dxa"/>
            <w:vAlign w:val="bottom"/>
          </w:tcPr>
          <w:p>
            <w:pPr>
              <w:spacing w:after="0"/>
              <w:rPr>
                <w:sz w:val="1"/>
                <w:szCs w:val="1"/>
                <w:color w:val="auto"/>
              </w:rPr>
            </w:pPr>
          </w:p>
        </w:tc>
      </w:tr>
      <w:tr>
        <w:trPr>
          <w:trHeight w:val="93"/>
        </w:trPr>
        <w:tc>
          <w:tcPr>
            <w:tcW w:w="2400" w:type="dxa"/>
            <w:vAlign w:val="bottom"/>
            <w:tcBorders>
              <w:left w:val="single" w:sz="8" w:color="auto"/>
              <w:right w:val="single" w:sz="8" w:color="auto"/>
            </w:tcBorders>
            <w:vMerge w:val="continue"/>
            <w:shd w:val="clear" w:color="auto" w:fill="BFBFBF"/>
          </w:tcPr>
          <w:p>
            <w:pPr>
              <w:spacing w:after="0"/>
              <w:rPr>
                <w:sz w:val="8"/>
                <w:szCs w:val="8"/>
                <w:color w:val="auto"/>
              </w:rPr>
            </w:pPr>
          </w:p>
        </w:tc>
        <w:tc>
          <w:tcPr>
            <w:tcW w:w="88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and 31/12/2022 using SASB standards for COMMERCIAL BANKS (Scope: BCP and Mibanco).</w:t>
            </w: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BFBFBF"/>
          </w:tcPr>
          <w:p>
            <w:pPr>
              <w:spacing w:after="0"/>
              <w:rPr>
                <w:sz w:val="8"/>
                <w:szCs w:val="8"/>
                <w:color w:val="auto"/>
              </w:rPr>
            </w:pPr>
          </w:p>
        </w:tc>
        <w:tc>
          <w:tcPr>
            <w:tcW w:w="8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8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400" w:type="dxa"/>
            <w:vAlign w:val="bottom"/>
            <w:tcBorders>
              <w:top w:val="single" w:sz="8" w:color="auto"/>
              <w:left w:val="single" w:sz="8" w:color="auto"/>
              <w:right w:val="single" w:sz="8" w:color="auto"/>
            </w:tcBorders>
            <w:shd w:val="clear" w:color="auto" w:fill="D9D9D9"/>
          </w:tcPr>
          <w:p>
            <w:pPr>
              <w:spacing w:after="0"/>
              <w:rPr>
                <w:sz w:val="14"/>
                <w:szCs w:val="14"/>
                <w:color w:val="auto"/>
              </w:rPr>
            </w:pPr>
          </w:p>
        </w:tc>
        <w:tc>
          <w:tcPr>
            <w:tcW w:w="7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CODE</w:t>
            </w:r>
          </w:p>
        </w:tc>
        <w:tc>
          <w:tcPr>
            <w:tcW w:w="1940" w:type="dxa"/>
            <w:vAlign w:val="bottom"/>
            <w:tcBorders>
              <w:top w:val="single" w:sz="8" w:color="auto"/>
              <w:right w:val="single" w:sz="8" w:color="auto"/>
            </w:tcBorders>
            <w:shd w:val="clear" w:color="auto" w:fill="D9D9D9"/>
          </w:tcPr>
          <w:p>
            <w:pPr>
              <w:ind w:left="440"/>
              <w:spacing w:after="0" w:line="166" w:lineRule="exact"/>
              <w:rPr>
                <w:sz w:val="20"/>
                <w:szCs w:val="20"/>
                <w:color w:val="auto"/>
              </w:rPr>
            </w:pPr>
            <w:r>
              <w:rPr>
                <w:rFonts w:ascii="Arial" w:cs="Arial" w:eastAsia="Arial" w:hAnsi="Arial"/>
                <w:sz w:val="15"/>
                <w:szCs w:val="15"/>
                <w:b w:val="1"/>
                <w:bCs w:val="1"/>
                <w:color w:val="auto"/>
              </w:rPr>
              <w:t>ACCOUNTING</w:t>
            </w:r>
          </w:p>
        </w:tc>
        <w:tc>
          <w:tcPr>
            <w:tcW w:w="13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LOCATION</w:t>
            </w:r>
          </w:p>
        </w:tc>
        <w:tc>
          <w:tcPr>
            <w:tcW w:w="33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SECTION</w:t>
            </w:r>
          </w:p>
        </w:tc>
        <w:tc>
          <w:tcPr>
            <w:tcW w:w="14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OMISSION</w:t>
            </w:r>
          </w:p>
        </w:tc>
        <w:tc>
          <w:tcPr>
            <w:tcW w:w="0" w:type="dxa"/>
            <w:vAlign w:val="bottom"/>
          </w:tcPr>
          <w:p>
            <w:pPr>
              <w:spacing w:after="0"/>
              <w:rPr>
                <w:sz w:val="1"/>
                <w:szCs w:val="1"/>
                <w:color w:val="auto"/>
              </w:rPr>
            </w:pPr>
          </w:p>
        </w:tc>
      </w:tr>
      <w:tr>
        <w:trPr>
          <w:trHeight w:val="111"/>
        </w:trPr>
        <w:tc>
          <w:tcPr>
            <w:tcW w:w="2400" w:type="dxa"/>
            <w:vAlign w:val="bottom"/>
            <w:tcBorders>
              <w:left w:val="single" w:sz="8" w:color="auto"/>
              <w:right w:val="single" w:sz="8" w:color="auto"/>
            </w:tcBorders>
            <w:shd w:val="clear" w:color="auto" w:fill="D9D9D9"/>
          </w:tcPr>
          <w:p>
            <w:pPr>
              <w:spacing w:after="0"/>
              <w:rPr>
                <w:sz w:val="9"/>
                <w:szCs w:val="9"/>
                <w:color w:val="auto"/>
              </w:rPr>
            </w:pPr>
          </w:p>
        </w:tc>
        <w:tc>
          <w:tcPr>
            <w:tcW w:w="780" w:type="dxa"/>
            <w:vAlign w:val="bottom"/>
            <w:tcBorders>
              <w:right w:val="single" w:sz="8" w:color="auto"/>
            </w:tcBorders>
            <w:vMerge w:val="continue"/>
            <w:shd w:val="clear" w:color="auto" w:fill="D9D9D9"/>
          </w:tcPr>
          <w:p>
            <w:pPr>
              <w:spacing w:after="0"/>
              <w:rPr>
                <w:sz w:val="9"/>
                <w:szCs w:val="9"/>
                <w:color w:val="auto"/>
              </w:rPr>
            </w:pPr>
          </w:p>
        </w:tc>
        <w:tc>
          <w:tcPr>
            <w:tcW w:w="1940" w:type="dxa"/>
            <w:vAlign w:val="bottom"/>
            <w:tcBorders>
              <w:right w:val="single" w:sz="8" w:color="auto"/>
            </w:tcBorders>
            <w:vMerge w:val="restart"/>
            <w:shd w:val="clear" w:color="auto" w:fill="D9D9D9"/>
          </w:tcPr>
          <w:p>
            <w:pPr>
              <w:ind w:left="480"/>
              <w:spacing w:after="0"/>
              <w:rPr>
                <w:sz w:val="20"/>
                <w:szCs w:val="20"/>
                <w:color w:val="auto"/>
              </w:rPr>
            </w:pPr>
            <w:r>
              <w:rPr>
                <w:rFonts w:ascii="Arial" w:cs="Arial" w:eastAsia="Arial" w:hAnsi="Arial"/>
                <w:sz w:val="15"/>
                <w:szCs w:val="15"/>
                <w:b w:val="1"/>
                <w:bCs w:val="1"/>
                <w:color w:val="auto"/>
              </w:rPr>
              <w:t>PARAMETER</w:t>
            </w:r>
          </w:p>
        </w:tc>
        <w:tc>
          <w:tcPr>
            <w:tcW w:w="1340" w:type="dxa"/>
            <w:vAlign w:val="bottom"/>
            <w:tcBorders>
              <w:right w:val="single" w:sz="8" w:color="auto"/>
            </w:tcBorders>
            <w:vMerge w:val="continue"/>
            <w:shd w:val="clear" w:color="auto" w:fill="D9D9D9"/>
          </w:tcPr>
          <w:p>
            <w:pPr>
              <w:spacing w:after="0"/>
              <w:rPr>
                <w:sz w:val="9"/>
                <w:szCs w:val="9"/>
                <w:color w:val="auto"/>
              </w:rPr>
            </w:pPr>
          </w:p>
        </w:tc>
        <w:tc>
          <w:tcPr>
            <w:tcW w:w="3320" w:type="dxa"/>
            <w:vAlign w:val="bottom"/>
            <w:tcBorders>
              <w:right w:val="single" w:sz="8" w:color="auto"/>
            </w:tcBorders>
            <w:vMerge w:val="continue"/>
            <w:shd w:val="clear" w:color="auto" w:fill="D9D9D9"/>
          </w:tcPr>
          <w:p>
            <w:pPr>
              <w:spacing w:after="0"/>
              <w:rPr>
                <w:sz w:val="9"/>
                <w:szCs w:val="9"/>
                <w:color w:val="auto"/>
              </w:rPr>
            </w:pPr>
          </w:p>
        </w:tc>
        <w:tc>
          <w:tcPr>
            <w:tcW w:w="148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shd w:val="clear" w:color="auto" w:fill="D9D9D9"/>
          </w:tcPr>
          <w:p>
            <w:pPr>
              <w:spacing w:after="0"/>
              <w:rPr>
                <w:sz w:val="8"/>
                <w:szCs w:val="8"/>
                <w:color w:val="auto"/>
              </w:rPr>
            </w:pPr>
          </w:p>
        </w:tc>
        <w:tc>
          <w:tcPr>
            <w:tcW w:w="1940" w:type="dxa"/>
            <w:vAlign w:val="bottom"/>
            <w:tcBorders>
              <w:right w:val="single" w:sz="8" w:color="auto"/>
            </w:tcBorders>
            <w:vMerge w:val="continue"/>
            <w:shd w:val="clear" w:color="auto" w:fill="D9D9D9"/>
          </w:tcPr>
          <w:p>
            <w:pPr>
              <w:spacing w:after="0"/>
              <w:rPr>
                <w:sz w:val="8"/>
                <w:szCs w:val="8"/>
                <w:color w:val="auto"/>
              </w:rPr>
            </w:pPr>
          </w:p>
        </w:tc>
        <w:tc>
          <w:tcPr>
            <w:tcW w:w="1340" w:type="dxa"/>
            <w:vAlign w:val="bottom"/>
            <w:tcBorders>
              <w:right w:val="single" w:sz="8" w:color="auto"/>
            </w:tcBorders>
            <w:shd w:val="clear" w:color="auto" w:fill="D9D9D9"/>
          </w:tcPr>
          <w:p>
            <w:pPr>
              <w:spacing w:after="0"/>
              <w:rPr>
                <w:sz w:val="8"/>
                <w:szCs w:val="8"/>
                <w:color w:val="auto"/>
              </w:rPr>
            </w:pPr>
          </w:p>
        </w:tc>
        <w:tc>
          <w:tcPr>
            <w:tcW w:w="3320" w:type="dxa"/>
            <w:vAlign w:val="bottom"/>
            <w:tcBorders>
              <w:right w:val="single" w:sz="8" w:color="auto"/>
            </w:tcBorders>
            <w:shd w:val="clear" w:color="auto" w:fill="D9D9D9"/>
          </w:tcPr>
          <w:p>
            <w:pPr>
              <w:spacing w:after="0"/>
              <w:rPr>
                <w:sz w:val="8"/>
                <w:szCs w:val="8"/>
                <w:color w:val="auto"/>
              </w:rPr>
            </w:pPr>
          </w:p>
        </w:tc>
        <w:tc>
          <w:tcPr>
            <w:tcW w:w="148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shd w:val="clear" w:color="auto" w:fill="D9D9D9"/>
          </w:tcPr>
          <w:p>
            <w:pPr>
              <w:spacing w:after="0"/>
              <w:rPr>
                <w:sz w:val="9"/>
                <w:szCs w:val="9"/>
                <w:color w:val="auto"/>
              </w:rPr>
            </w:pPr>
          </w:p>
        </w:tc>
        <w:tc>
          <w:tcPr>
            <w:tcW w:w="1940" w:type="dxa"/>
            <w:vAlign w:val="bottom"/>
            <w:tcBorders>
              <w:bottom w:val="single" w:sz="8" w:color="auto"/>
              <w:right w:val="single" w:sz="8" w:color="auto"/>
            </w:tcBorders>
            <w:shd w:val="clear" w:color="auto" w:fill="D9D9D9"/>
          </w:tcPr>
          <w:p>
            <w:pPr>
              <w:spacing w:after="0"/>
              <w:rPr>
                <w:sz w:val="9"/>
                <w:szCs w:val="9"/>
                <w:color w:val="auto"/>
              </w:rPr>
            </w:pP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3320" w:type="dxa"/>
            <w:vAlign w:val="bottom"/>
            <w:tcBorders>
              <w:bottom w:val="single" w:sz="8" w:color="auto"/>
              <w:right w:val="single" w:sz="8" w:color="auto"/>
            </w:tcBorders>
            <w:shd w:val="clear" w:color="auto" w:fill="D9D9D9"/>
          </w:tcPr>
          <w:p>
            <w:pPr>
              <w:spacing w:after="0"/>
              <w:rPr>
                <w:sz w:val="9"/>
                <w:szCs w:val="9"/>
                <w:color w:val="auto"/>
              </w:rPr>
            </w:pPr>
          </w:p>
        </w:tc>
        <w:tc>
          <w:tcPr>
            <w:tcW w:w="14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shd w:val="clear" w:color="auto" w:fill="D9D9D9"/>
          </w:tcPr>
          <w:p>
            <w:pPr>
              <w:spacing w:after="0"/>
              <w:rPr>
                <w:sz w:val="16"/>
                <w:szCs w:val="16"/>
                <w:color w:val="auto"/>
              </w:rPr>
            </w:pPr>
          </w:p>
        </w:tc>
        <w:tc>
          <w:tcPr>
            <w:tcW w:w="2720" w:type="dxa"/>
            <w:vAlign w:val="bottom"/>
            <w:tcBorders>
              <w:right w:val="single" w:sz="8" w:color="auto"/>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Data security</w:t>
            </w:r>
          </w:p>
        </w:tc>
        <w:tc>
          <w:tcPr>
            <w:tcW w:w="1340" w:type="dxa"/>
            <w:vAlign w:val="bottom"/>
            <w:tcBorders>
              <w:right w:val="single" w:sz="8" w:color="auto"/>
            </w:tcBorders>
            <w:shd w:val="clear" w:color="auto" w:fill="D9D9D9"/>
          </w:tcPr>
          <w:p>
            <w:pPr>
              <w:spacing w:after="0"/>
              <w:rPr>
                <w:sz w:val="16"/>
                <w:szCs w:val="16"/>
                <w:color w:val="auto"/>
              </w:rPr>
            </w:pPr>
          </w:p>
        </w:tc>
        <w:tc>
          <w:tcPr>
            <w:tcW w:w="3320" w:type="dxa"/>
            <w:vAlign w:val="bottom"/>
            <w:tcBorders>
              <w:right w:val="single" w:sz="8" w:color="auto"/>
            </w:tcBorders>
            <w:shd w:val="clear" w:color="auto" w:fill="D9D9D9"/>
          </w:tcPr>
          <w:p>
            <w:pPr>
              <w:spacing w:after="0"/>
              <w:rPr>
                <w:sz w:val="16"/>
                <w:szCs w:val="16"/>
                <w:color w:val="auto"/>
              </w:rPr>
            </w:pPr>
          </w:p>
        </w:tc>
        <w:tc>
          <w:tcPr>
            <w:tcW w:w="148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400" w:type="dxa"/>
            <w:vAlign w:val="bottom"/>
            <w:tcBorders>
              <w:left w:val="single" w:sz="8" w:color="auto"/>
              <w:bottom w:val="single" w:sz="8" w:color="D9D9D9"/>
              <w:right w:val="single" w:sz="8" w:color="auto"/>
            </w:tcBorders>
            <w:shd w:val="clear" w:color="auto" w:fill="D9D9D9"/>
          </w:tcPr>
          <w:p>
            <w:pPr>
              <w:spacing w:after="0"/>
              <w:rPr>
                <w:sz w:val="7"/>
                <w:szCs w:val="7"/>
                <w:color w:val="auto"/>
              </w:rPr>
            </w:pPr>
          </w:p>
        </w:tc>
        <w:tc>
          <w:tcPr>
            <w:tcW w:w="780" w:type="dxa"/>
            <w:vAlign w:val="bottom"/>
            <w:tcBorders>
              <w:bottom w:val="single" w:sz="8" w:color="auto"/>
              <w:right w:val="single" w:sz="8" w:color="D9D9D9"/>
            </w:tcBorders>
            <w:shd w:val="clear" w:color="auto" w:fill="D9D9D9"/>
          </w:tcPr>
          <w:p>
            <w:pPr>
              <w:spacing w:after="0"/>
              <w:rPr>
                <w:sz w:val="7"/>
                <w:szCs w:val="7"/>
                <w:color w:val="auto"/>
              </w:rPr>
            </w:pPr>
          </w:p>
        </w:tc>
        <w:tc>
          <w:tcPr>
            <w:tcW w:w="1940" w:type="dxa"/>
            <w:vAlign w:val="bottom"/>
            <w:tcBorders>
              <w:bottom w:val="single" w:sz="8" w:color="auto"/>
              <w:right w:val="single" w:sz="8" w:color="auto"/>
            </w:tcBorders>
            <w:shd w:val="clear" w:color="auto" w:fill="D9D9D9"/>
          </w:tcPr>
          <w:p>
            <w:pPr>
              <w:spacing w:after="0"/>
              <w:rPr>
                <w:sz w:val="7"/>
                <w:szCs w:val="7"/>
                <w:color w:val="auto"/>
              </w:rPr>
            </w:pPr>
          </w:p>
        </w:tc>
        <w:tc>
          <w:tcPr>
            <w:tcW w:w="1340" w:type="dxa"/>
            <w:vAlign w:val="bottom"/>
            <w:tcBorders>
              <w:bottom w:val="single" w:sz="8" w:color="auto"/>
              <w:right w:val="single" w:sz="8" w:color="auto"/>
            </w:tcBorders>
            <w:shd w:val="clear" w:color="auto" w:fill="D9D9D9"/>
          </w:tcPr>
          <w:p>
            <w:pPr>
              <w:spacing w:after="0"/>
              <w:rPr>
                <w:sz w:val="7"/>
                <w:szCs w:val="7"/>
                <w:color w:val="auto"/>
              </w:rPr>
            </w:pPr>
          </w:p>
        </w:tc>
        <w:tc>
          <w:tcPr>
            <w:tcW w:w="3320" w:type="dxa"/>
            <w:vAlign w:val="bottom"/>
            <w:tcBorders>
              <w:bottom w:val="single" w:sz="8" w:color="auto"/>
              <w:right w:val="single" w:sz="8" w:color="auto"/>
            </w:tcBorders>
            <w:shd w:val="clear" w:color="auto" w:fill="D9D9D9"/>
          </w:tcPr>
          <w:p>
            <w:pPr>
              <w:spacing w:after="0"/>
              <w:rPr>
                <w:sz w:val="7"/>
                <w:szCs w:val="7"/>
                <w:color w:val="auto"/>
              </w:rPr>
            </w:pPr>
          </w:p>
        </w:tc>
        <w:tc>
          <w:tcPr>
            <w:tcW w:w="148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400" w:type="dxa"/>
            <w:vAlign w:val="bottom"/>
            <w:tcBorders>
              <w:left w:val="single" w:sz="8" w:color="auto"/>
              <w:right w:val="single" w:sz="8" w:color="auto"/>
            </w:tcBorders>
            <w:shd w:val="clear" w:color="auto" w:fill="D9D9D9"/>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(1) Number of data</w:t>
            </w:r>
          </w:p>
        </w:tc>
        <w:tc>
          <w:tcPr>
            <w:tcW w:w="1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filtrations, (2) percentage</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that imply personal</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Simplicity and Transparency that Generates</w:t>
            </w: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identification information</w:t>
            </w: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Trust / Systems for Corporate Control and</w:t>
            </w: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230a.1</w:t>
            </w:r>
          </w:p>
        </w:tc>
        <w:tc>
          <w:tcPr>
            <w:tcW w:w="19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(PII), (3) number of</w:t>
            </w: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Management</w:t>
            </w: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00" w:type="dxa"/>
            <w:vAlign w:val="bottom"/>
            <w:tcBorders>
              <w:left w:val="single" w:sz="8" w:color="auto"/>
              <w:right w:val="single" w:sz="8" w:color="auto"/>
            </w:tcBorders>
            <w:shd w:val="clear" w:color="auto" w:fill="D9D9D9"/>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332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holders of affected</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right w:val="single" w:sz="8" w:color="auto"/>
            </w:tcBorders>
            <w:shd w:val="clear" w:color="auto" w:fill="D9D9D9"/>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accounts.</w:t>
            </w:r>
          </w:p>
        </w:tc>
        <w:tc>
          <w:tcPr>
            <w:tcW w:w="13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00" w:type="dxa"/>
            <w:vAlign w:val="bottom"/>
            <w:tcBorders>
              <w:left w:val="single" w:sz="8" w:color="auto"/>
              <w:right w:val="single" w:sz="8" w:color="auto"/>
            </w:tcBorders>
            <w:shd w:val="clear" w:color="auto" w:fill="D9D9D9"/>
          </w:tcPr>
          <w:p>
            <w:pPr>
              <w:spacing w:after="0"/>
              <w:rPr>
                <w:sz w:val="14"/>
                <w:szCs w:val="1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194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Description of the focus to</w:t>
            </w:r>
          </w:p>
        </w:tc>
        <w:tc>
          <w:tcPr>
            <w:tcW w:w="1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Risk management / Simplicity and</w:t>
            </w: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identify and address risks</w:t>
            </w: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Transparency that Generates Trust/ Systems</w:t>
            </w: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230a.2</w:t>
            </w:r>
          </w:p>
        </w:tc>
        <w:tc>
          <w:tcPr>
            <w:tcW w:w="19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for data security.</w:t>
            </w: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for Corporate Control and Management</w:t>
            </w: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400" w:type="dxa"/>
            <w:vAlign w:val="bottom"/>
            <w:tcBorders>
              <w:left w:val="single" w:sz="8" w:color="auto"/>
              <w:right w:val="single" w:sz="8" w:color="auto"/>
            </w:tcBorders>
            <w:shd w:val="clear" w:color="auto" w:fill="D9D9D9"/>
          </w:tcPr>
          <w:p>
            <w:pPr>
              <w:spacing w:after="0"/>
              <w:rPr>
                <w:sz w:val="12"/>
                <w:szCs w:val="12"/>
                <w:color w:val="auto"/>
              </w:rPr>
            </w:pPr>
          </w:p>
        </w:tc>
        <w:tc>
          <w:tcPr>
            <w:tcW w:w="2720" w:type="dxa"/>
            <w:vAlign w:val="bottom"/>
            <w:tcBorders>
              <w:right w:val="single" w:sz="8" w:color="auto"/>
            </w:tcBorders>
            <w:gridSpan w:val="2"/>
            <w:shd w:val="clear" w:color="auto" w:fill="D9D9D9"/>
          </w:tcPr>
          <w:p>
            <w:pPr>
              <w:ind w:left="40"/>
              <w:spacing w:after="0" w:line="146" w:lineRule="exact"/>
              <w:rPr>
                <w:sz w:val="20"/>
                <w:szCs w:val="20"/>
                <w:color w:val="auto"/>
              </w:rPr>
            </w:pPr>
            <w:r>
              <w:rPr>
                <w:rFonts w:ascii="Arial" w:cs="Arial" w:eastAsia="Arial" w:hAnsi="Arial"/>
                <w:sz w:val="15"/>
                <w:szCs w:val="15"/>
                <w:b w:val="1"/>
                <w:bCs w:val="1"/>
                <w:color w:val="auto"/>
              </w:rPr>
              <w:t>Generation of inclusion and</w:t>
            </w:r>
          </w:p>
        </w:tc>
        <w:tc>
          <w:tcPr>
            <w:tcW w:w="1340" w:type="dxa"/>
            <w:vAlign w:val="bottom"/>
            <w:tcBorders>
              <w:right w:val="single" w:sz="8" w:color="auto"/>
            </w:tcBorders>
            <w:shd w:val="clear" w:color="auto" w:fill="D9D9D9"/>
          </w:tcPr>
          <w:p>
            <w:pPr>
              <w:spacing w:after="0"/>
              <w:rPr>
                <w:sz w:val="12"/>
                <w:szCs w:val="12"/>
                <w:color w:val="auto"/>
              </w:rPr>
            </w:pPr>
          </w:p>
        </w:tc>
        <w:tc>
          <w:tcPr>
            <w:tcW w:w="3320" w:type="dxa"/>
            <w:vAlign w:val="bottom"/>
            <w:tcBorders>
              <w:right w:val="single" w:sz="8" w:color="auto"/>
            </w:tcBorders>
            <w:shd w:val="clear" w:color="auto" w:fill="D9D9D9"/>
          </w:tcPr>
          <w:p>
            <w:pPr>
              <w:spacing w:after="0"/>
              <w:rPr>
                <w:sz w:val="12"/>
                <w:szCs w:val="12"/>
                <w:color w:val="auto"/>
              </w:rPr>
            </w:pPr>
          </w:p>
        </w:tc>
        <w:tc>
          <w:tcPr>
            <w:tcW w:w="148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00" w:type="dxa"/>
            <w:vAlign w:val="bottom"/>
            <w:tcBorders>
              <w:left w:val="single" w:sz="8" w:color="auto"/>
              <w:right w:val="single" w:sz="8" w:color="auto"/>
            </w:tcBorders>
            <w:shd w:val="clear" w:color="auto" w:fill="D9D9D9"/>
          </w:tcPr>
          <w:p>
            <w:pPr>
              <w:spacing w:after="0"/>
              <w:rPr>
                <w:sz w:val="17"/>
                <w:szCs w:val="17"/>
                <w:color w:val="auto"/>
              </w:rPr>
            </w:pPr>
          </w:p>
        </w:tc>
        <w:tc>
          <w:tcPr>
            <w:tcW w:w="2720" w:type="dxa"/>
            <w:vAlign w:val="bottom"/>
            <w:tcBorders>
              <w:right w:val="single" w:sz="8" w:color="auto"/>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financial skills</w:t>
            </w:r>
          </w:p>
        </w:tc>
        <w:tc>
          <w:tcPr>
            <w:tcW w:w="1340" w:type="dxa"/>
            <w:vAlign w:val="bottom"/>
            <w:tcBorders>
              <w:right w:val="single" w:sz="8" w:color="auto"/>
            </w:tcBorders>
            <w:shd w:val="clear" w:color="auto" w:fill="D9D9D9"/>
          </w:tcPr>
          <w:p>
            <w:pPr>
              <w:spacing w:after="0"/>
              <w:rPr>
                <w:sz w:val="17"/>
                <w:szCs w:val="17"/>
                <w:color w:val="auto"/>
              </w:rPr>
            </w:pPr>
          </w:p>
        </w:tc>
        <w:tc>
          <w:tcPr>
            <w:tcW w:w="3320" w:type="dxa"/>
            <w:vAlign w:val="bottom"/>
            <w:tcBorders>
              <w:right w:val="single" w:sz="8" w:color="auto"/>
            </w:tcBorders>
            <w:shd w:val="clear" w:color="auto" w:fill="D9D9D9"/>
          </w:tcPr>
          <w:p>
            <w:pPr>
              <w:spacing w:after="0"/>
              <w:rPr>
                <w:sz w:val="17"/>
                <w:szCs w:val="17"/>
                <w:color w:val="auto"/>
              </w:rPr>
            </w:pPr>
          </w:p>
        </w:tc>
        <w:tc>
          <w:tcPr>
            <w:tcW w:w="14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D9D9D9"/>
            </w:tcBorders>
            <w:shd w:val="clear" w:color="auto" w:fill="D9D9D9"/>
          </w:tcPr>
          <w:p>
            <w:pPr>
              <w:spacing w:after="0"/>
              <w:rPr>
                <w:sz w:val="9"/>
                <w:szCs w:val="9"/>
                <w:color w:val="auto"/>
              </w:rPr>
            </w:pPr>
          </w:p>
        </w:tc>
        <w:tc>
          <w:tcPr>
            <w:tcW w:w="1940" w:type="dxa"/>
            <w:vAlign w:val="bottom"/>
            <w:tcBorders>
              <w:bottom w:val="single" w:sz="8" w:color="auto"/>
              <w:right w:val="single" w:sz="8" w:color="auto"/>
            </w:tcBorders>
            <w:shd w:val="clear" w:color="auto" w:fill="D9D9D9"/>
          </w:tcPr>
          <w:p>
            <w:pPr>
              <w:spacing w:after="0"/>
              <w:rPr>
                <w:sz w:val="9"/>
                <w:szCs w:val="9"/>
                <w:color w:val="auto"/>
              </w:rPr>
            </w:pP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3320" w:type="dxa"/>
            <w:vAlign w:val="bottom"/>
            <w:tcBorders>
              <w:bottom w:val="single" w:sz="8" w:color="auto"/>
              <w:right w:val="single" w:sz="8" w:color="auto"/>
            </w:tcBorders>
            <w:shd w:val="clear" w:color="auto" w:fill="D9D9D9"/>
          </w:tcPr>
          <w:p>
            <w:pPr>
              <w:spacing w:after="0"/>
              <w:rPr>
                <w:sz w:val="9"/>
                <w:szCs w:val="9"/>
                <w:color w:val="auto"/>
              </w:rPr>
            </w:pPr>
          </w:p>
        </w:tc>
        <w:tc>
          <w:tcPr>
            <w:tcW w:w="14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00" w:type="dxa"/>
            <w:vAlign w:val="bottom"/>
            <w:tcBorders>
              <w:left w:val="single" w:sz="8" w:color="auto"/>
              <w:right w:val="single" w:sz="8" w:color="auto"/>
            </w:tcBorders>
            <w:shd w:val="clear" w:color="auto" w:fill="D9D9D9"/>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(1) number (2) and total</w:t>
            </w:r>
          </w:p>
        </w:tc>
        <w:tc>
          <w:tcPr>
            <w:tcW w:w="1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amount of pending loans</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DISCLOSURE ISSUES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FN-CB-</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that qualify for programs</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_</w:t>
            </w: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_</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Information not</w:t>
            </w:r>
          </w:p>
        </w:tc>
        <w:tc>
          <w:tcPr>
            <w:tcW w:w="0" w:type="dxa"/>
            <w:vAlign w:val="bottom"/>
          </w:tcPr>
          <w:p>
            <w:pPr>
              <w:spacing w:after="0"/>
              <w:rPr>
                <w:sz w:val="1"/>
                <w:szCs w:val="1"/>
                <w:color w:val="auto"/>
              </w:rPr>
            </w:pPr>
          </w:p>
        </w:tc>
      </w:tr>
      <w:tr>
        <w:trPr>
          <w:trHeight w:val="86"/>
        </w:trPr>
        <w:tc>
          <w:tcPr>
            <w:tcW w:w="2400" w:type="dxa"/>
            <w:vAlign w:val="bottom"/>
            <w:tcBorders>
              <w:left w:val="single" w:sz="8" w:color="auto"/>
              <w:right w:val="single" w:sz="8" w:color="auto"/>
            </w:tcBorders>
            <w:vMerge w:val="continue"/>
            <w:shd w:val="clear" w:color="auto" w:fill="D9D9D9"/>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240a.1</w:t>
            </w: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designed to promote small</w:t>
            </w:r>
          </w:p>
        </w:tc>
        <w:tc>
          <w:tcPr>
            <w:tcW w:w="134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available</w:t>
            </w:r>
          </w:p>
        </w:tc>
        <w:tc>
          <w:tcPr>
            <w:tcW w:w="0" w:type="dxa"/>
            <w:vAlign w:val="bottom"/>
          </w:tcPr>
          <w:p>
            <w:pPr>
              <w:spacing w:after="0"/>
              <w:rPr>
                <w:sz w:val="1"/>
                <w:szCs w:val="1"/>
                <w:color w:val="auto"/>
              </w:rPr>
            </w:pPr>
          </w:p>
        </w:tc>
      </w:tr>
      <w:tr>
        <w:trPr>
          <w:trHeight w:val="87"/>
        </w:trPr>
        <w:tc>
          <w:tcPr>
            <w:tcW w:w="24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RELATIVE TO</w:t>
            </w:r>
          </w:p>
        </w:tc>
        <w:tc>
          <w:tcPr>
            <w:tcW w:w="78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0" w:type="dxa"/>
            <w:vAlign w:val="bottom"/>
            <w:tcBorders>
              <w:left w:val="single" w:sz="8" w:color="auto"/>
              <w:right w:val="single" w:sz="8" w:color="auto"/>
            </w:tcBorders>
            <w:vMerge w:val="continue"/>
            <w:shd w:val="clear" w:color="auto" w:fill="D9D9D9"/>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companies and</w:t>
            </w: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SUSTAINABILITY AND</w:t>
            </w:r>
          </w:p>
        </w:tc>
        <w:tc>
          <w:tcPr>
            <w:tcW w:w="7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0" w:type="dxa"/>
            <w:vAlign w:val="bottom"/>
            <w:tcBorders>
              <w:left w:val="single" w:sz="8" w:color="auto"/>
              <w:right w:val="single" w:sz="8" w:color="auto"/>
            </w:tcBorders>
            <w:vMerge w:val="continue"/>
            <w:shd w:val="clear" w:color="auto" w:fill="D9D9D9"/>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community development.</w:t>
            </w: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rPr>
              <w:t>ACCOUNTING STANDARDS</w:t>
            </w:r>
          </w:p>
        </w:tc>
        <w:tc>
          <w:tcPr>
            <w:tcW w:w="78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D9D9D9"/>
              <w:right w:val="single" w:sz="8" w:color="auto"/>
            </w:tcBorders>
            <w:vMerge w:val="continue"/>
            <w:shd w:val="clear" w:color="auto" w:fill="D9D9D9"/>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00" w:type="dxa"/>
            <w:vAlign w:val="bottom"/>
            <w:tcBorders>
              <w:left w:val="single" w:sz="8" w:color="auto"/>
              <w:right w:val="single" w:sz="8" w:color="auto"/>
            </w:tcBorders>
            <w:shd w:val="clear" w:color="auto" w:fill="D9D9D9"/>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(1) Number and (2) total</w:t>
            </w:r>
          </w:p>
        </w:tc>
        <w:tc>
          <w:tcPr>
            <w:tcW w:w="1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amount of overdue and</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NPL loans that qualify for</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Information not</w:t>
            </w: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programs designed to</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_</w:t>
            </w: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_</w:t>
            </w:r>
          </w:p>
        </w:tc>
        <w:tc>
          <w:tcPr>
            <w:tcW w:w="1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240a.2</w:t>
            </w:r>
          </w:p>
        </w:tc>
        <w:tc>
          <w:tcPr>
            <w:tcW w:w="19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33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available</w:t>
            </w:r>
          </w:p>
        </w:tc>
        <w:tc>
          <w:tcPr>
            <w:tcW w:w="0" w:type="dxa"/>
            <w:vAlign w:val="bottom"/>
          </w:tcPr>
          <w:p>
            <w:pPr>
              <w:spacing w:after="0"/>
              <w:rPr>
                <w:sz w:val="1"/>
                <w:szCs w:val="1"/>
                <w:color w:val="auto"/>
              </w:rPr>
            </w:pPr>
          </w:p>
        </w:tc>
      </w:tr>
      <w:tr>
        <w:trPr>
          <w:trHeight w:val="93"/>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promote small businesses</w:t>
            </w: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00" w:type="dxa"/>
            <w:vAlign w:val="bottom"/>
            <w:tcBorders>
              <w:left w:val="single" w:sz="8" w:color="auto"/>
              <w:right w:val="single" w:sz="8" w:color="auto"/>
            </w:tcBorders>
            <w:shd w:val="clear" w:color="auto" w:fill="D9D9D9"/>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3320" w:type="dxa"/>
            <w:vAlign w:val="bottom"/>
            <w:tcBorders>
              <w:right w:val="single" w:sz="8" w:color="auto"/>
            </w:tcBorders>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and community</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right w:val="single" w:sz="8" w:color="auto"/>
            </w:tcBorders>
            <w:shd w:val="clear" w:color="auto" w:fill="D9D9D9"/>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development.</w:t>
            </w:r>
          </w:p>
        </w:tc>
        <w:tc>
          <w:tcPr>
            <w:tcW w:w="13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00" w:type="dxa"/>
            <w:vAlign w:val="bottom"/>
            <w:tcBorders>
              <w:left w:val="single" w:sz="8" w:color="auto"/>
              <w:right w:val="single" w:sz="8" w:color="auto"/>
            </w:tcBorders>
            <w:shd w:val="clear" w:color="auto" w:fill="D9D9D9"/>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Number of no-cost retail</w:t>
            </w:r>
          </w:p>
        </w:tc>
        <w:tc>
          <w:tcPr>
            <w:tcW w:w="1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current accounts provided</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Strengthening and Deepening Financial</w:t>
            </w: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to clients that were</w:t>
            </w: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240a.3</w:t>
            </w:r>
          </w:p>
        </w:tc>
        <w:tc>
          <w:tcPr>
            <w:tcW w:w="19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Inclusion / SASB indicator tables</w:t>
            </w: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previously unbanked or</w:t>
            </w: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00" w:type="dxa"/>
            <w:vAlign w:val="bottom"/>
            <w:tcBorders>
              <w:left w:val="single" w:sz="8" w:color="auto"/>
              <w:right w:val="single" w:sz="8" w:color="auto"/>
            </w:tcBorders>
            <w:shd w:val="clear" w:color="auto" w:fill="D9D9D9"/>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3320" w:type="dxa"/>
            <w:vAlign w:val="bottom"/>
            <w:tcBorders>
              <w:right w:val="single" w:sz="8" w:color="auto"/>
            </w:tcBorders>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right w:val="single" w:sz="8" w:color="auto"/>
            </w:tcBorders>
            <w:shd w:val="clear" w:color="auto" w:fill="D9D9D9"/>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infrabanked.</w:t>
            </w:r>
          </w:p>
        </w:tc>
        <w:tc>
          <w:tcPr>
            <w:tcW w:w="13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00" w:type="dxa"/>
            <w:vAlign w:val="bottom"/>
            <w:tcBorders>
              <w:left w:val="single" w:sz="8" w:color="auto"/>
              <w:right w:val="single" w:sz="8" w:color="auto"/>
            </w:tcBorders>
            <w:shd w:val="clear" w:color="auto" w:fill="D9D9D9"/>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Number of participants in</w:t>
            </w:r>
          </w:p>
        </w:tc>
        <w:tc>
          <w:tcPr>
            <w:tcW w:w="1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00" w:type="dxa"/>
            <w:vAlign w:val="bottom"/>
            <w:tcBorders>
              <w:left w:val="single" w:sz="8" w:color="auto"/>
              <w:right w:val="single" w:sz="8" w:color="auto"/>
            </w:tcBorders>
            <w:shd w:val="clear" w:color="auto" w:fill="D9D9D9"/>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initiatives for Financial</w:t>
            </w:r>
          </w:p>
        </w:tc>
        <w:tc>
          <w:tcPr>
            <w:tcW w:w="1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Education for unbanked,</w:t>
            </w:r>
          </w:p>
        </w:tc>
        <w:tc>
          <w:tcPr>
            <w:tcW w:w="1340" w:type="dxa"/>
            <w:vAlign w:val="bottom"/>
            <w:tcBorders>
              <w:right w:val="single" w:sz="8" w:color="auto"/>
            </w:tcBorders>
          </w:tcPr>
          <w:p>
            <w:pPr>
              <w:spacing w:after="0"/>
              <w:rPr>
                <w:sz w:val="7"/>
                <w:szCs w:val="7"/>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Transforming Financial education</w:t>
            </w: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240a.4</w:t>
            </w:r>
          </w:p>
        </w:tc>
        <w:tc>
          <w:tcPr>
            <w:tcW w:w="19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400" w:type="dxa"/>
            <w:vAlign w:val="bottom"/>
            <w:tcBorders>
              <w:left w:val="single" w:sz="8" w:color="auto"/>
              <w:right w:val="single" w:sz="8" w:color="auto"/>
            </w:tcBorders>
            <w:shd w:val="clear" w:color="auto" w:fill="D9D9D9"/>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infrabanked and unserved</w:t>
            </w:r>
          </w:p>
        </w:tc>
        <w:tc>
          <w:tcPr>
            <w:tcW w:w="134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00" w:type="dxa"/>
            <w:vAlign w:val="bottom"/>
            <w:tcBorders>
              <w:left w:val="single" w:sz="8" w:color="auto"/>
              <w:right w:val="single" w:sz="8" w:color="auto"/>
            </w:tcBorders>
            <w:shd w:val="clear" w:color="auto" w:fill="D9D9D9"/>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3320" w:type="dxa"/>
            <w:vAlign w:val="bottom"/>
            <w:tcBorders>
              <w:right w:val="single" w:sz="8" w:color="auto"/>
            </w:tcBorders>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right w:val="single" w:sz="8" w:color="auto"/>
            </w:tcBorders>
            <w:shd w:val="clear" w:color="auto" w:fill="D9D9D9"/>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clients.</w:t>
            </w:r>
          </w:p>
        </w:tc>
        <w:tc>
          <w:tcPr>
            <w:tcW w:w="13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38"/>
        </w:trPr>
        <w:tc>
          <w:tcPr>
            <w:tcW w:w="2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67" w:right="319" w:bottom="1440" w:gutter="0" w:footer="0" w:header="0"/>
        </w:sectPr>
      </w:pPr>
    </w:p>
    <w:bookmarkStart w:id="190" w:name="page191"/>
    <w:bookmarkEnd w:id="190"/>
    <w:p>
      <w:pPr>
        <w:ind w:left="2320"/>
        <w:spacing w:after="0"/>
        <w:rPr>
          <w:sz w:val="20"/>
          <w:szCs w:val="20"/>
          <w:color w:val="auto"/>
        </w:rPr>
      </w:pPr>
      <w:r>
        <w:rPr>
          <w:rFonts w:ascii="Arial" w:cs="Arial" w:eastAsia="Arial" w:hAnsi="Arial"/>
          <w:sz w:val="15"/>
          <w:szCs w:val="15"/>
          <w:b w:val="1"/>
          <w:bCs w:val="1"/>
          <w:color w:val="auto"/>
        </w:rPr>
        <w:t>Incorporating environmental, 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52640" cy="63836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2640" cy="6383655"/>
                    </a:xfrm>
                    <a:prstGeom prst="rect">
                      <a:avLst/>
                    </a:prstGeom>
                    <a:noFill/>
                  </pic:spPr>
                </pic:pic>
              </a:graphicData>
            </a:graphic>
          </wp:anchor>
        </w:drawing>
      </w:r>
    </w:p>
    <w:p>
      <w:pPr>
        <w:ind w:left="2320"/>
        <w:spacing w:after="0"/>
        <w:rPr>
          <w:sz w:val="20"/>
          <w:szCs w:val="20"/>
          <w:color w:val="auto"/>
        </w:rPr>
      </w:pPr>
      <w:r>
        <w:rPr>
          <w:rFonts w:ascii="Arial" w:cs="Arial" w:eastAsia="Arial" w:hAnsi="Arial"/>
          <w:sz w:val="15"/>
          <w:szCs w:val="15"/>
          <w:b w:val="1"/>
          <w:bCs w:val="1"/>
          <w:color w:val="auto"/>
        </w:rPr>
        <w:t>and management factors in credit</w:t>
      </w:r>
    </w:p>
    <w:p>
      <w:pPr>
        <w:ind w:left="2320"/>
        <w:spacing w:after="0"/>
        <w:rPr>
          <w:sz w:val="20"/>
          <w:szCs w:val="20"/>
          <w:color w:val="auto"/>
        </w:rPr>
      </w:pPr>
      <w:r>
        <w:rPr>
          <w:rFonts w:ascii="Arial" w:cs="Arial" w:eastAsia="Arial" w:hAnsi="Arial"/>
          <w:sz w:val="15"/>
          <w:szCs w:val="15"/>
          <w:b w:val="1"/>
          <w:bCs w:val="1"/>
          <w:color w:val="auto"/>
        </w:rPr>
        <w:t>analysis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5"/>
                <w:szCs w:val="15"/>
                <w:color w:val="auto"/>
              </w:rPr>
            </w:pP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Commercial and industrial</w:t>
            </w:r>
          </w:p>
        </w:tc>
        <w:tc>
          <w:tcPr>
            <w:tcW w:w="4060" w:type="dxa"/>
            <w:vAlign w:val="bottom"/>
            <w:tcBorders>
              <w:top w:val="single" w:sz="8" w:color="auto"/>
            </w:tcBorders>
          </w:tcPr>
          <w:p>
            <w:pPr>
              <w:jc w:val="center"/>
              <w:ind w:left="563"/>
              <w:spacing w:after="0"/>
              <w:rPr>
                <w:sz w:val="20"/>
                <w:szCs w:val="20"/>
                <w:color w:val="auto"/>
              </w:rPr>
            </w:pPr>
            <w:r>
              <w:rPr>
                <w:rFonts w:ascii="Arial" w:cs="Arial" w:eastAsia="Arial" w:hAnsi="Arial"/>
                <w:sz w:val="15"/>
                <w:szCs w:val="15"/>
                <w:color w:val="auto"/>
              </w:rPr>
              <w:t>Economic and Financial</w:t>
            </w:r>
          </w:p>
        </w:tc>
        <w:tc>
          <w:tcPr>
            <w:tcW w:w="14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credit exposure by</w:t>
            </w:r>
          </w:p>
        </w:tc>
        <w:tc>
          <w:tcPr>
            <w:tcW w:w="4060" w:type="dxa"/>
            <w:vAlign w:val="bottom"/>
            <w:vMerge w:val="restart"/>
          </w:tcPr>
          <w:p>
            <w:pPr>
              <w:jc w:val="center"/>
              <w:ind w:left="583"/>
              <w:spacing w:after="0"/>
              <w:rPr>
                <w:sz w:val="20"/>
                <w:szCs w:val="20"/>
                <w:color w:val="auto"/>
              </w:rPr>
            </w:pPr>
            <w:r>
              <w:rPr>
                <w:rFonts w:ascii="Arial" w:cs="Arial" w:eastAsia="Arial" w:hAnsi="Arial"/>
                <w:sz w:val="15"/>
                <w:szCs w:val="15"/>
                <w:color w:val="auto"/>
              </w:rPr>
              <w:t>Performance/Responsible and Sustainable</w:t>
            </w: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410a.1</w:t>
            </w:r>
          </w:p>
        </w:tc>
        <w:tc>
          <w:tcPr>
            <w:tcW w:w="2600" w:type="dxa"/>
            <w:vAlign w:val="bottom"/>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industry</w:t>
            </w:r>
          </w:p>
        </w:tc>
        <w:tc>
          <w:tcPr>
            <w:tcW w:w="4060" w:type="dxa"/>
            <w:vAlign w:val="bottom"/>
            <w:vMerge w:val="restart"/>
          </w:tcPr>
          <w:p>
            <w:pPr>
              <w:jc w:val="center"/>
              <w:ind w:left="563"/>
              <w:spacing w:after="0"/>
              <w:rPr>
                <w:sz w:val="20"/>
                <w:szCs w:val="20"/>
                <w:color w:val="auto"/>
              </w:rPr>
            </w:pPr>
            <w:r>
              <w:rPr>
                <w:rFonts w:ascii="Arial" w:cs="Arial" w:eastAsia="Arial" w:hAnsi="Arial"/>
                <w:sz w:val="15"/>
                <w:szCs w:val="15"/>
                <w:color w:val="auto"/>
              </w:rPr>
              <w:t>Investment</w:t>
            </w: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2600" w:type="dxa"/>
            <w:vAlign w:val="bottom"/>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600" w:type="dxa"/>
            <w:vAlign w:val="bottom"/>
          </w:tcPr>
          <w:p>
            <w:pPr>
              <w:ind w:left="60"/>
              <w:spacing w:after="0" w:line="164" w:lineRule="exact"/>
              <w:rPr>
                <w:sz w:val="20"/>
                <w:szCs w:val="20"/>
                <w:color w:val="auto"/>
              </w:rPr>
            </w:pPr>
            <w:r>
              <w:rPr>
                <w:rFonts w:ascii="Arial" w:cs="Arial" w:eastAsia="Arial" w:hAnsi="Arial"/>
                <w:sz w:val="15"/>
                <w:szCs w:val="15"/>
                <w:color w:val="auto"/>
              </w:rPr>
              <w:t>Description of the focus to</w:t>
            </w: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incorporate</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Pr>
          <w:p>
            <w:pPr>
              <w:ind w:left="60"/>
              <w:spacing w:after="0"/>
              <w:rPr>
                <w:sz w:val="20"/>
                <w:szCs w:val="20"/>
                <w:color w:val="auto"/>
              </w:rPr>
            </w:pPr>
            <w:r>
              <w:rPr>
                <w:rFonts w:ascii="Arial" w:cs="Arial" w:eastAsia="Arial" w:hAnsi="Arial"/>
                <w:sz w:val="15"/>
                <w:szCs w:val="15"/>
                <w:color w:val="auto"/>
              </w:rPr>
              <w:t>environmental, social and</w:t>
            </w:r>
          </w:p>
        </w:tc>
        <w:tc>
          <w:tcPr>
            <w:tcW w:w="4060" w:type="dxa"/>
            <w:vAlign w:val="bottom"/>
          </w:tcPr>
          <w:p>
            <w:pPr>
              <w:jc w:val="center"/>
              <w:ind w:left="563"/>
              <w:spacing w:after="0"/>
              <w:rPr>
                <w:sz w:val="20"/>
                <w:szCs w:val="20"/>
                <w:color w:val="auto"/>
              </w:rPr>
            </w:pPr>
            <w:r>
              <w:rPr>
                <w:rFonts w:ascii="Arial" w:cs="Arial" w:eastAsia="Arial" w:hAnsi="Arial"/>
                <w:sz w:val="15"/>
                <w:szCs w:val="15"/>
                <w:color w:val="auto"/>
              </w:rPr>
              <w:t>Responsible and Sustainable Investment / Our</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410a.2</w:t>
            </w:r>
          </w:p>
        </w:tc>
        <w:tc>
          <w:tcPr>
            <w:tcW w:w="2600" w:type="dxa"/>
            <w:vAlign w:val="bottom"/>
          </w:tcPr>
          <w:p>
            <w:pPr>
              <w:ind w:left="60"/>
              <w:spacing w:after="0"/>
              <w:rPr>
                <w:sz w:val="20"/>
                <w:szCs w:val="20"/>
                <w:color w:val="auto"/>
              </w:rPr>
            </w:pPr>
            <w:r>
              <w:rPr>
                <w:rFonts w:ascii="Arial" w:cs="Arial" w:eastAsia="Arial" w:hAnsi="Arial"/>
                <w:sz w:val="15"/>
                <w:szCs w:val="15"/>
                <w:color w:val="auto"/>
              </w:rPr>
              <w:t>corporate governance</w:t>
            </w:r>
          </w:p>
        </w:tc>
        <w:tc>
          <w:tcPr>
            <w:tcW w:w="4060" w:type="dxa"/>
            <w:vAlign w:val="bottom"/>
          </w:tcPr>
          <w:p>
            <w:pPr>
              <w:jc w:val="center"/>
              <w:ind w:left="583"/>
              <w:spacing w:after="0"/>
              <w:rPr>
                <w:sz w:val="20"/>
                <w:szCs w:val="20"/>
                <w:color w:val="auto"/>
              </w:rPr>
            </w:pPr>
            <w:r>
              <w:rPr>
                <w:rFonts w:ascii="Arial" w:cs="Arial" w:eastAsia="Arial" w:hAnsi="Arial"/>
                <w:sz w:val="15"/>
                <w:szCs w:val="15"/>
                <w:color w:val="auto"/>
              </w:rPr>
              <w:t>ESG Risk Management</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factors (ESG) in credit</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analysis.</w:t>
            </w:r>
          </w:p>
        </w:tc>
        <w:tc>
          <w:tcPr>
            <w:tcW w:w="4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3460" w:type="dxa"/>
            <w:vAlign w:val="bottom"/>
            <w:gridSpan w:val="2"/>
            <w:shd w:val="clear" w:color="auto" w:fill="D9D9D9"/>
          </w:tcPr>
          <w:p>
            <w:pPr>
              <w:ind w:left="120"/>
              <w:spacing w:after="0"/>
              <w:rPr>
                <w:sz w:val="20"/>
                <w:szCs w:val="20"/>
                <w:color w:val="auto"/>
              </w:rPr>
            </w:pPr>
            <w:r>
              <w:rPr>
                <w:rFonts w:ascii="Arial" w:cs="Arial" w:eastAsia="Arial" w:hAnsi="Arial"/>
                <w:sz w:val="15"/>
                <w:szCs w:val="15"/>
                <w:b w:val="1"/>
                <w:bCs w:val="1"/>
                <w:color w:val="auto"/>
              </w:rPr>
              <w:t>Business Ethics</w:t>
            </w:r>
          </w:p>
        </w:tc>
        <w:tc>
          <w:tcPr>
            <w:tcW w:w="4060" w:type="dxa"/>
            <w:vAlign w:val="bottom"/>
            <w:shd w:val="clear" w:color="auto" w:fill="D9D9D9"/>
          </w:tcPr>
          <w:p>
            <w:pPr>
              <w:spacing w:after="0"/>
              <w:rPr>
                <w:sz w:val="16"/>
                <w:szCs w:val="16"/>
                <w:color w:val="auto"/>
              </w:rPr>
            </w:pPr>
          </w:p>
        </w:tc>
        <w:tc>
          <w:tcPr>
            <w:tcW w:w="14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260" w:type="dxa"/>
            <w:vAlign w:val="bottom"/>
          </w:tcPr>
          <w:p>
            <w:pPr>
              <w:spacing w:after="0"/>
              <w:rPr>
                <w:sz w:val="7"/>
                <w:szCs w:val="7"/>
                <w:color w:val="auto"/>
              </w:rPr>
            </w:pPr>
          </w:p>
        </w:tc>
        <w:tc>
          <w:tcPr>
            <w:tcW w:w="860" w:type="dxa"/>
            <w:vAlign w:val="bottom"/>
            <w:tcBorders>
              <w:bottom w:val="single" w:sz="8" w:color="auto"/>
              <w:right w:val="single" w:sz="8" w:color="D9D9D9"/>
            </w:tcBorders>
            <w:shd w:val="clear" w:color="auto" w:fill="D9D9D9"/>
          </w:tcPr>
          <w:p>
            <w:pPr>
              <w:spacing w:after="0"/>
              <w:rPr>
                <w:sz w:val="7"/>
                <w:szCs w:val="7"/>
                <w:color w:val="auto"/>
              </w:rPr>
            </w:pPr>
          </w:p>
        </w:tc>
        <w:tc>
          <w:tcPr>
            <w:tcW w:w="2600" w:type="dxa"/>
            <w:vAlign w:val="bottom"/>
            <w:tcBorders>
              <w:bottom w:val="single" w:sz="8" w:color="auto"/>
            </w:tcBorders>
            <w:shd w:val="clear" w:color="auto" w:fill="D9D9D9"/>
          </w:tcPr>
          <w:p>
            <w:pPr>
              <w:spacing w:after="0"/>
              <w:rPr>
                <w:sz w:val="7"/>
                <w:szCs w:val="7"/>
                <w:color w:val="auto"/>
              </w:rPr>
            </w:pPr>
          </w:p>
        </w:tc>
        <w:tc>
          <w:tcPr>
            <w:tcW w:w="4060" w:type="dxa"/>
            <w:vAlign w:val="bottom"/>
            <w:tcBorders>
              <w:bottom w:val="single" w:sz="8" w:color="auto"/>
            </w:tcBorders>
            <w:shd w:val="clear" w:color="auto" w:fill="D9D9D9"/>
          </w:tcPr>
          <w:p>
            <w:pPr>
              <w:spacing w:after="0"/>
              <w:rPr>
                <w:sz w:val="7"/>
                <w:szCs w:val="7"/>
                <w:color w:val="auto"/>
              </w:rPr>
            </w:pPr>
          </w:p>
        </w:tc>
        <w:tc>
          <w:tcPr>
            <w:tcW w:w="1460" w:type="dxa"/>
            <w:vAlign w:val="bottom"/>
            <w:tcBorders>
              <w:bottom w:val="single" w:sz="8" w:color="auto"/>
            </w:tcBorders>
            <w:shd w:val="clear" w:color="auto" w:fill="D9D9D9"/>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600" w:type="dxa"/>
            <w:vAlign w:val="bottom"/>
          </w:tcPr>
          <w:p>
            <w:pPr>
              <w:ind w:left="60"/>
              <w:spacing w:after="0" w:line="164" w:lineRule="exact"/>
              <w:rPr>
                <w:sz w:val="20"/>
                <w:szCs w:val="20"/>
                <w:color w:val="auto"/>
              </w:rPr>
            </w:pPr>
            <w:r>
              <w:rPr>
                <w:rFonts w:ascii="Arial" w:cs="Arial" w:eastAsia="Arial" w:hAnsi="Arial"/>
                <w:sz w:val="15"/>
                <w:szCs w:val="15"/>
                <w:color w:val="auto"/>
              </w:rPr>
              <w:t>Total amount of monetary</w:t>
            </w: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losses due to legal</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proceedings related to</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fraud, use of privileged</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Pr>
          <w:p>
            <w:pPr>
              <w:ind w:left="60"/>
              <w:spacing w:after="0"/>
              <w:rPr>
                <w:sz w:val="20"/>
                <w:szCs w:val="20"/>
                <w:color w:val="auto"/>
              </w:rPr>
            </w:pPr>
            <w:r>
              <w:rPr>
                <w:rFonts w:ascii="Arial" w:cs="Arial" w:eastAsia="Arial" w:hAnsi="Arial"/>
                <w:sz w:val="15"/>
                <w:szCs w:val="15"/>
                <w:color w:val="auto"/>
              </w:rPr>
              <w:t>information, anti-</w:t>
            </w:r>
          </w:p>
        </w:tc>
        <w:tc>
          <w:tcPr>
            <w:tcW w:w="4060" w:type="dxa"/>
            <w:vAlign w:val="bottom"/>
          </w:tcPr>
          <w:p>
            <w:pPr>
              <w:jc w:val="center"/>
              <w:ind w:left="563"/>
              <w:spacing w:after="0"/>
              <w:rPr>
                <w:sz w:val="20"/>
                <w:szCs w:val="20"/>
                <w:color w:val="auto"/>
              </w:rPr>
            </w:pPr>
            <w:r>
              <w:rPr>
                <w:rFonts w:ascii="Arial" w:cs="Arial" w:eastAsia="Arial" w:hAnsi="Arial"/>
                <w:sz w:val="15"/>
                <w:szCs w:val="15"/>
                <w:color w:val="auto"/>
              </w:rPr>
              <w:t>Annex B. Sanctions imposed by regulators /</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monopoly, disloyal</w:t>
            </w:r>
          </w:p>
        </w:tc>
        <w:tc>
          <w:tcPr>
            <w:tcW w:w="4060" w:type="dxa"/>
            <w:vAlign w:val="bottom"/>
            <w:vMerge w:val="restart"/>
          </w:tcPr>
          <w:p>
            <w:pPr>
              <w:jc w:val="center"/>
              <w:ind w:left="563"/>
              <w:spacing w:after="0"/>
              <w:rPr>
                <w:sz w:val="20"/>
                <w:szCs w:val="20"/>
                <w:color w:val="auto"/>
              </w:rPr>
            </w:pPr>
            <w:r>
              <w:rPr>
                <w:rFonts w:ascii="Arial" w:cs="Arial" w:eastAsia="Arial" w:hAnsi="Arial"/>
                <w:sz w:val="15"/>
                <w:szCs w:val="15"/>
                <w:color w:val="auto"/>
              </w:rPr>
              <w:t>Annex C. Legal Processes / Corporate</w:t>
            </w: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510a.1</w:t>
            </w:r>
          </w:p>
        </w:tc>
        <w:tc>
          <w:tcPr>
            <w:tcW w:w="2600" w:type="dxa"/>
            <w:vAlign w:val="bottom"/>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competition, market</w:t>
            </w:r>
          </w:p>
        </w:tc>
        <w:tc>
          <w:tcPr>
            <w:tcW w:w="4060" w:type="dxa"/>
            <w:vAlign w:val="bottom"/>
            <w:vMerge w:val="restart"/>
          </w:tcPr>
          <w:p>
            <w:pPr>
              <w:jc w:val="center"/>
              <w:ind w:left="563"/>
              <w:spacing w:after="0"/>
              <w:rPr>
                <w:sz w:val="20"/>
                <w:szCs w:val="20"/>
                <w:color w:val="auto"/>
              </w:rPr>
            </w:pPr>
            <w:r>
              <w:rPr>
                <w:rFonts w:ascii="Arial" w:cs="Arial" w:eastAsia="Arial" w:hAnsi="Arial"/>
                <w:sz w:val="15"/>
                <w:szCs w:val="15"/>
                <w:color w:val="auto"/>
              </w:rPr>
              <w:t>Compliance Policies</w:t>
            </w: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26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2600" w:type="dxa"/>
            <w:vAlign w:val="bottom"/>
            <w:vMerge w:val="continue"/>
          </w:tcPr>
          <w:p>
            <w:pPr>
              <w:spacing w:after="0"/>
              <w:rPr>
                <w:sz w:val="6"/>
                <w:szCs w:val="6"/>
                <w:color w:val="auto"/>
              </w:rPr>
            </w:pPr>
          </w:p>
        </w:tc>
        <w:tc>
          <w:tcPr>
            <w:tcW w:w="406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manipulation, malpractice</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or other laws or</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regulations related to the</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financial industry.</w:t>
            </w:r>
          </w:p>
        </w:tc>
        <w:tc>
          <w:tcPr>
            <w:tcW w:w="4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Pr>
          <w:p>
            <w:pPr>
              <w:ind w:left="60"/>
              <w:spacing w:after="0" w:line="164" w:lineRule="exact"/>
              <w:rPr>
                <w:sz w:val="20"/>
                <w:szCs w:val="20"/>
                <w:color w:val="auto"/>
              </w:rPr>
            </w:pPr>
            <w:r>
              <w:rPr>
                <w:rFonts w:ascii="Arial" w:cs="Arial" w:eastAsia="Arial" w:hAnsi="Arial"/>
                <w:sz w:val="15"/>
                <w:szCs w:val="15"/>
                <w:color w:val="auto"/>
              </w:rPr>
              <w:t>Description of the policies</w:t>
            </w:r>
          </w:p>
        </w:tc>
        <w:tc>
          <w:tcPr>
            <w:tcW w:w="4060" w:type="dxa"/>
            <w:vAlign w:val="bottom"/>
            <w:vMerge w:val="restart"/>
          </w:tcPr>
          <w:p>
            <w:pPr>
              <w:jc w:val="center"/>
              <w:ind w:left="563"/>
              <w:spacing w:after="0"/>
              <w:rPr>
                <w:sz w:val="20"/>
                <w:szCs w:val="20"/>
                <w:color w:val="auto"/>
              </w:rPr>
            </w:pPr>
            <w:r>
              <w:rPr>
                <w:rFonts w:ascii="Arial" w:cs="Arial" w:eastAsia="Arial" w:hAnsi="Arial"/>
                <w:sz w:val="15"/>
                <w:szCs w:val="15"/>
                <w:color w:val="auto"/>
              </w:rPr>
              <w:t>Compliance and ethics / 5. Corporate</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and procedures to</w:t>
            </w:r>
          </w:p>
        </w:tc>
        <w:tc>
          <w:tcPr>
            <w:tcW w:w="406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510a.2</w:t>
            </w:r>
          </w:p>
        </w:tc>
        <w:tc>
          <w:tcPr>
            <w:tcW w:w="2600" w:type="dxa"/>
            <w:vAlign w:val="bottom"/>
            <w:vMerge w:val="continue"/>
          </w:tcPr>
          <w:p>
            <w:pPr>
              <w:spacing w:after="0"/>
              <w:rPr>
                <w:sz w:val="8"/>
                <w:szCs w:val="8"/>
                <w:color w:val="auto"/>
              </w:rPr>
            </w:pPr>
          </w:p>
        </w:tc>
        <w:tc>
          <w:tcPr>
            <w:tcW w:w="4060" w:type="dxa"/>
            <w:vAlign w:val="bottom"/>
            <w:vMerge w:val="restart"/>
          </w:tcPr>
          <w:p>
            <w:pPr>
              <w:jc w:val="center"/>
              <w:ind w:left="563"/>
              <w:spacing w:after="0"/>
              <w:rPr>
                <w:sz w:val="20"/>
                <w:szCs w:val="20"/>
                <w:color w:val="auto"/>
              </w:rPr>
            </w:pPr>
            <w:r>
              <w:rPr>
                <w:rFonts w:ascii="Arial" w:cs="Arial" w:eastAsia="Arial" w:hAnsi="Arial"/>
                <w:sz w:val="15"/>
                <w:szCs w:val="15"/>
                <w:color w:val="auto"/>
              </w:rPr>
              <w:t>Compliance Policies</w:t>
            </w: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denounce irregularities.</w:t>
            </w:r>
          </w:p>
        </w:tc>
        <w:tc>
          <w:tcPr>
            <w:tcW w:w="4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2600" w:type="dxa"/>
            <w:vAlign w:val="bottom"/>
            <w:vMerge w:val="continue"/>
          </w:tcPr>
          <w:p>
            <w:pPr>
              <w:spacing w:after="0"/>
              <w:rPr>
                <w:sz w:val="8"/>
                <w:szCs w:val="8"/>
                <w:color w:val="auto"/>
              </w:rPr>
            </w:pPr>
          </w:p>
        </w:tc>
        <w:tc>
          <w:tcPr>
            <w:tcW w:w="40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3460" w:type="dxa"/>
            <w:vAlign w:val="bottom"/>
            <w:gridSpan w:val="2"/>
            <w:shd w:val="clear" w:color="auto" w:fill="D9D9D9"/>
          </w:tcPr>
          <w:p>
            <w:pPr>
              <w:ind w:left="60"/>
              <w:spacing w:after="0"/>
              <w:rPr>
                <w:sz w:val="20"/>
                <w:szCs w:val="20"/>
                <w:color w:val="auto"/>
              </w:rPr>
            </w:pPr>
            <w:r>
              <w:rPr>
                <w:rFonts w:ascii="Arial" w:cs="Arial" w:eastAsia="Arial" w:hAnsi="Arial"/>
                <w:sz w:val="15"/>
                <w:szCs w:val="15"/>
                <w:b w:val="1"/>
                <w:bCs w:val="1"/>
                <w:color w:val="auto"/>
              </w:rPr>
              <w:t>Systemic Risk Management</w:t>
            </w:r>
          </w:p>
        </w:tc>
        <w:tc>
          <w:tcPr>
            <w:tcW w:w="4060" w:type="dxa"/>
            <w:vAlign w:val="bottom"/>
            <w:shd w:val="clear" w:color="auto" w:fill="D9D9D9"/>
          </w:tcPr>
          <w:p>
            <w:pPr>
              <w:spacing w:after="0"/>
              <w:rPr>
                <w:sz w:val="16"/>
                <w:szCs w:val="16"/>
                <w:color w:val="auto"/>
              </w:rPr>
            </w:pPr>
          </w:p>
        </w:tc>
        <w:tc>
          <w:tcPr>
            <w:tcW w:w="1460" w:type="dxa"/>
            <w:vAlign w:val="bottom"/>
            <w:shd w:val="clear" w:color="auto" w:fill="D9D9D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260" w:type="dxa"/>
            <w:vAlign w:val="bottom"/>
          </w:tcPr>
          <w:p>
            <w:pPr>
              <w:spacing w:after="0"/>
              <w:rPr>
                <w:sz w:val="7"/>
                <w:szCs w:val="7"/>
                <w:color w:val="auto"/>
              </w:rPr>
            </w:pPr>
          </w:p>
        </w:tc>
        <w:tc>
          <w:tcPr>
            <w:tcW w:w="860" w:type="dxa"/>
            <w:vAlign w:val="bottom"/>
            <w:tcBorders>
              <w:bottom w:val="single" w:sz="8" w:color="auto"/>
              <w:right w:val="single" w:sz="8" w:color="D9D9D9"/>
            </w:tcBorders>
            <w:shd w:val="clear" w:color="auto" w:fill="D9D9D9"/>
          </w:tcPr>
          <w:p>
            <w:pPr>
              <w:spacing w:after="0"/>
              <w:rPr>
                <w:sz w:val="7"/>
                <w:szCs w:val="7"/>
                <w:color w:val="auto"/>
              </w:rPr>
            </w:pPr>
          </w:p>
        </w:tc>
        <w:tc>
          <w:tcPr>
            <w:tcW w:w="2600" w:type="dxa"/>
            <w:vAlign w:val="bottom"/>
            <w:tcBorders>
              <w:bottom w:val="single" w:sz="8" w:color="auto"/>
            </w:tcBorders>
            <w:shd w:val="clear" w:color="auto" w:fill="D9D9D9"/>
          </w:tcPr>
          <w:p>
            <w:pPr>
              <w:spacing w:after="0"/>
              <w:rPr>
                <w:sz w:val="7"/>
                <w:szCs w:val="7"/>
                <w:color w:val="auto"/>
              </w:rPr>
            </w:pPr>
          </w:p>
        </w:tc>
        <w:tc>
          <w:tcPr>
            <w:tcW w:w="4060" w:type="dxa"/>
            <w:vAlign w:val="bottom"/>
            <w:tcBorders>
              <w:bottom w:val="single" w:sz="8" w:color="auto"/>
            </w:tcBorders>
            <w:shd w:val="clear" w:color="auto" w:fill="D9D9D9"/>
          </w:tcPr>
          <w:p>
            <w:pPr>
              <w:spacing w:after="0"/>
              <w:rPr>
                <w:sz w:val="7"/>
                <w:szCs w:val="7"/>
                <w:color w:val="auto"/>
              </w:rPr>
            </w:pPr>
          </w:p>
        </w:tc>
        <w:tc>
          <w:tcPr>
            <w:tcW w:w="1460" w:type="dxa"/>
            <w:vAlign w:val="bottom"/>
            <w:tcBorders>
              <w:bottom w:val="single" w:sz="8" w:color="auto"/>
            </w:tcBorders>
            <w:shd w:val="clear" w:color="auto" w:fill="D9D9D9"/>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600" w:type="dxa"/>
            <w:vAlign w:val="bottom"/>
          </w:tcPr>
          <w:p>
            <w:pPr>
              <w:ind w:left="60"/>
              <w:spacing w:after="0" w:line="164" w:lineRule="exact"/>
              <w:rPr>
                <w:sz w:val="20"/>
                <w:szCs w:val="20"/>
                <w:color w:val="auto"/>
              </w:rPr>
            </w:pPr>
            <w:r>
              <w:rPr>
                <w:rFonts w:ascii="Arial" w:cs="Arial" w:eastAsia="Arial" w:hAnsi="Arial"/>
                <w:sz w:val="15"/>
                <w:szCs w:val="15"/>
                <w:color w:val="auto"/>
              </w:rPr>
              <w:t>Score for the assessment</w:t>
            </w: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Pr>
          <w:p>
            <w:pPr>
              <w:ind w:left="60"/>
              <w:spacing w:after="0"/>
              <w:rPr>
                <w:sz w:val="20"/>
                <w:szCs w:val="20"/>
                <w:color w:val="auto"/>
              </w:rPr>
            </w:pPr>
            <w:r>
              <w:rPr>
                <w:rFonts w:ascii="Arial" w:cs="Arial" w:eastAsia="Arial" w:hAnsi="Arial"/>
                <w:sz w:val="15"/>
                <w:szCs w:val="15"/>
                <w:color w:val="auto"/>
              </w:rPr>
              <w:t>of bank’s global systemic</w:t>
            </w:r>
          </w:p>
        </w:tc>
        <w:tc>
          <w:tcPr>
            <w:tcW w:w="4060" w:type="dxa"/>
            <w:vAlign w:val="bottom"/>
            <w:vMerge w:val="restart"/>
          </w:tcPr>
          <w:p>
            <w:pPr>
              <w:jc w:val="center"/>
              <w:ind w:left="583"/>
              <w:spacing w:after="0"/>
              <w:rPr>
                <w:sz w:val="20"/>
                <w:szCs w:val="20"/>
                <w:color w:val="auto"/>
              </w:rPr>
            </w:pPr>
            <w:r>
              <w:rPr>
                <w:rFonts w:ascii="Arial" w:cs="Arial" w:eastAsia="Arial" w:hAnsi="Arial"/>
                <w:sz w:val="15"/>
                <w:szCs w:val="15"/>
                <w:color w:val="auto"/>
                <w:w w:val="95"/>
              </w:rPr>
              <w:t>_</w:t>
            </w: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Not a G-SIB bank</w:t>
            </w: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550a.1</w:t>
            </w: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importance (G-SIB) by</w:t>
            </w:r>
          </w:p>
        </w:tc>
        <w:tc>
          <w:tcPr>
            <w:tcW w:w="406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260" w:type="dxa"/>
            <w:vAlign w:val="bottom"/>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40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category.</w:t>
            </w:r>
          </w:p>
        </w:tc>
        <w:tc>
          <w:tcPr>
            <w:tcW w:w="4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600" w:type="dxa"/>
            <w:vAlign w:val="bottom"/>
          </w:tcPr>
          <w:p>
            <w:pPr>
              <w:ind w:left="60"/>
              <w:spacing w:after="0" w:line="164" w:lineRule="exact"/>
              <w:rPr>
                <w:sz w:val="20"/>
                <w:szCs w:val="20"/>
                <w:color w:val="auto"/>
              </w:rPr>
            </w:pPr>
            <w:r>
              <w:rPr>
                <w:rFonts w:ascii="Arial" w:cs="Arial" w:eastAsia="Arial" w:hAnsi="Arial"/>
                <w:sz w:val="15"/>
                <w:szCs w:val="15"/>
                <w:color w:val="auto"/>
              </w:rPr>
              <w:t>Description of the focus to</w:t>
            </w: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incorporate the results of</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obligatory and voluntary</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Pr>
          <w:p>
            <w:pPr>
              <w:ind w:left="60"/>
              <w:spacing w:after="0"/>
              <w:rPr>
                <w:sz w:val="20"/>
                <w:szCs w:val="20"/>
                <w:color w:val="auto"/>
              </w:rPr>
            </w:pPr>
            <w:r>
              <w:rPr>
                <w:rFonts w:ascii="Arial" w:cs="Arial" w:eastAsia="Arial" w:hAnsi="Arial"/>
                <w:sz w:val="15"/>
                <w:szCs w:val="15"/>
                <w:color w:val="auto"/>
              </w:rPr>
              <w:t>stress tests in terms of</w:t>
            </w:r>
          </w:p>
        </w:tc>
        <w:tc>
          <w:tcPr>
            <w:tcW w:w="4060" w:type="dxa"/>
            <w:vAlign w:val="bottom"/>
            <w:vMerge w:val="restart"/>
          </w:tcPr>
          <w:p>
            <w:pPr>
              <w:jc w:val="center"/>
              <w:ind w:left="583"/>
              <w:spacing w:after="0"/>
              <w:rPr>
                <w:sz w:val="20"/>
                <w:szCs w:val="20"/>
                <w:color w:val="auto"/>
              </w:rPr>
            </w:pPr>
            <w:r>
              <w:rPr>
                <w:rFonts w:ascii="Arial" w:cs="Arial" w:eastAsia="Arial" w:hAnsi="Arial"/>
                <w:sz w:val="15"/>
                <w:szCs w:val="15"/>
                <w:color w:val="auto"/>
              </w:rPr>
              <w:t>Risk Management</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550a.2</w:t>
            </w: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planning capital adequacy,</w:t>
            </w:r>
          </w:p>
        </w:tc>
        <w:tc>
          <w:tcPr>
            <w:tcW w:w="4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260" w:type="dxa"/>
            <w:vAlign w:val="bottom"/>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40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the corporation’s long-</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term strategy and other</w:t>
            </w:r>
          </w:p>
        </w:tc>
        <w:tc>
          <w:tcPr>
            <w:tcW w:w="4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business activities.</w:t>
            </w:r>
          </w:p>
        </w:tc>
        <w:tc>
          <w:tcPr>
            <w:tcW w:w="4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600" w:type="dxa"/>
            <w:vAlign w:val="bottom"/>
          </w:tcPr>
          <w:p>
            <w:pPr>
              <w:ind w:left="60"/>
              <w:spacing w:after="0" w:line="164" w:lineRule="exact"/>
              <w:rPr>
                <w:sz w:val="20"/>
                <w:szCs w:val="20"/>
                <w:color w:val="auto"/>
              </w:rPr>
            </w:pPr>
            <w:r>
              <w:rPr>
                <w:rFonts w:ascii="Arial" w:cs="Arial" w:eastAsia="Arial" w:hAnsi="Arial"/>
                <w:sz w:val="15"/>
                <w:szCs w:val="15"/>
                <w:color w:val="auto"/>
              </w:rPr>
              <w:t>(1) Number and (2) value</w:t>
            </w: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Pr>
          <w:p>
            <w:pPr>
              <w:ind w:left="60"/>
              <w:spacing w:after="0"/>
              <w:rPr>
                <w:sz w:val="20"/>
                <w:szCs w:val="20"/>
                <w:color w:val="auto"/>
              </w:rPr>
            </w:pPr>
            <w:r>
              <w:rPr>
                <w:rFonts w:ascii="Arial" w:cs="Arial" w:eastAsia="Arial" w:hAnsi="Arial"/>
                <w:sz w:val="15"/>
                <w:szCs w:val="15"/>
                <w:color w:val="auto"/>
              </w:rPr>
              <w:t>of current savings</w:t>
            </w:r>
          </w:p>
        </w:tc>
        <w:tc>
          <w:tcPr>
            <w:tcW w:w="4060" w:type="dxa"/>
            <w:vAlign w:val="bottom"/>
            <w:vMerge w:val="restart"/>
          </w:tcPr>
          <w:p>
            <w:pPr>
              <w:jc w:val="center"/>
              <w:ind w:left="563"/>
              <w:spacing w:after="0"/>
              <w:rPr>
                <w:sz w:val="20"/>
                <w:szCs w:val="20"/>
                <w:color w:val="auto"/>
              </w:rPr>
            </w:pPr>
            <w:r>
              <w:rPr>
                <w:rFonts w:ascii="Arial" w:cs="Arial" w:eastAsia="Arial" w:hAnsi="Arial"/>
                <w:sz w:val="15"/>
                <w:szCs w:val="15"/>
                <w:color w:val="auto"/>
              </w:rPr>
              <w:t>Strengthening and Deepening Financial</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accounts by segment: (a)</w:t>
            </w:r>
          </w:p>
        </w:tc>
        <w:tc>
          <w:tcPr>
            <w:tcW w:w="406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000.A</w:t>
            </w:r>
          </w:p>
        </w:tc>
        <w:tc>
          <w:tcPr>
            <w:tcW w:w="2600" w:type="dxa"/>
            <w:vAlign w:val="bottom"/>
            <w:vMerge w:val="continue"/>
          </w:tcPr>
          <w:p>
            <w:pPr>
              <w:spacing w:after="0"/>
              <w:rPr>
                <w:sz w:val="8"/>
                <w:szCs w:val="8"/>
                <w:color w:val="auto"/>
              </w:rPr>
            </w:pPr>
          </w:p>
        </w:tc>
        <w:tc>
          <w:tcPr>
            <w:tcW w:w="4060" w:type="dxa"/>
            <w:vAlign w:val="bottom"/>
            <w:vMerge w:val="restart"/>
          </w:tcPr>
          <w:p>
            <w:pPr>
              <w:jc w:val="center"/>
              <w:ind w:left="563"/>
              <w:spacing w:after="0"/>
              <w:rPr>
                <w:sz w:val="20"/>
                <w:szCs w:val="20"/>
                <w:color w:val="auto"/>
              </w:rPr>
            </w:pPr>
            <w:r>
              <w:rPr>
                <w:rFonts w:ascii="Arial" w:cs="Arial" w:eastAsia="Arial" w:hAnsi="Arial"/>
                <w:sz w:val="15"/>
                <w:szCs w:val="15"/>
                <w:color w:val="auto"/>
              </w:rPr>
              <w:t>Inclusion / SASB indicator tables</w:t>
            </w: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personal and (b) small</w:t>
            </w:r>
          </w:p>
        </w:tc>
        <w:tc>
          <w:tcPr>
            <w:tcW w:w="4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26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2600" w:type="dxa"/>
            <w:vAlign w:val="bottom"/>
            <w:vMerge w:val="continue"/>
          </w:tcPr>
          <w:p>
            <w:pPr>
              <w:spacing w:after="0"/>
              <w:rPr>
                <w:sz w:val="6"/>
                <w:szCs w:val="6"/>
                <w:color w:val="auto"/>
              </w:rPr>
            </w:pPr>
          </w:p>
        </w:tc>
        <w:tc>
          <w:tcPr>
            <w:tcW w:w="40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5"/>
                <w:szCs w:val="15"/>
                <w:b w:val="1"/>
                <w:bCs w:val="1"/>
                <w:color w:val="auto"/>
              </w:rPr>
              <w:t>PARAMETERS OF ACTIVITY</w:t>
            </w:r>
          </w:p>
        </w:tc>
        <w:tc>
          <w:tcPr>
            <w:tcW w:w="2600" w:type="dxa"/>
            <w:vAlign w:val="bottom"/>
          </w:tcPr>
          <w:p>
            <w:pPr>
              <w:ind w:left="60"/>
              <w:spacing w:after="0"/>
              <w:rPr>
                <w:sz w:val="20"/>
                <w:szCs w:val="20"/>
                <w:color w:val="auto"/>
              </w:rPr>
            </w:pPr>
            <w:r>
              <w:rPr>
                <w:rFonts w:ascii="Arial" w:cs="Arial" w:eastAsia="Arial" w:hAnsi="Arial"/>
                <w:sz w:val="15"/>
                <w:szCs w:val="15"/>
                <w:color w:val="auto"/>
              </w:rPr>
              <w:t>businesses.</w:t>
            </w:r>
          </w:p>
        </w:tc>
        <w:tc>
          <w:tcPr>
            <w:tcW w:w="4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120" w:type="dxa"/>
            <w:vAlign w:val="bottom"/>
            <w:tcBorders>
              <w:right w:val="single" w:sz="8" w:color="auto"/>
            </w:tcBorders>
            <w:gridSpan w:val="2"/>
            <w:vMerge w:val="continue"/>
          </w:tcPr>
          <w:p>
            <w:pPr>
              <w:spacing w:after="0"/>
              <w:rPr>
                <w:sz w:val="9"/>
                <w:szCs w:val="9"/>
                <w:color w:val="auto"/>
              </w:rPr>
            </w:pPr>
          </w:p>
        </w:tc>
        <w:tc>
          <w:tcPr>
            <w:tcW w:w="26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2600" w:type="dxa"/>
            <w:vAlign w:val="bottom"/>
            <w:tcBorders>
              <w:top w:val="single" w:sz="8" w:color="auto"/>
            </w:tcBorders>
          </w:tcPr>
          <w:p>
            <w:pPr>
              <w:ind w:left="60"/>
              <w:spacing w:after="0" w:line="164" w:lineRule="exact"/>
              <w:rPr>
                <w:sz w:val="20"/>
                <w:szCs w:val="20"/>
                <w:color w:val="auto"/>
              </w:rPr>
            </w:pPr>
            <w:r>
              <w:rPr>
                <w:rFonts w:ascii="Arial" w:cs="Arial" w:eastAsia="Arial" w:hAnsi="Arial"/>
                <w:sz w:val="15"/>
                <w:szCs w:val="15"/>
                <w:color w:val="auto"/>
              </w:rPr>
              <w:t>(1) Number and (2) value</w:t>
            </w:r>
          </w:p>
        </w:tc>
        <w:tc>
          <w:tcPr>
            <w:tcW w:w="40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FN-CB-</w:t>
            </w:r>
          </w:p>
        </w:tc>
        <w:tc>
          <w:tcPr>
            <w:tcW w:w="2600" w:type="dxa"/>
            <w:vAlign w:val="bottom"/>
          </w:tcPr>
          <w:p>
            <w:pPr>
              <w:ind w:left="60"/>
              <w:spacing w:after="0"/>
              <w:rPr>
                <w:sz w:val="20"/>
                <w:szCs w:val="20"/>
                <w:color w:val="auto"/>
              </w:rPr>
            </w:pPr>
            <w:r>
              <w:rPr>
                <w:rFonts w:ascii="Arial" w:cs="Arial" w:eastAsia="Arial" w:hAnsi="Arial"/>
                <w:sz w:val="15"/>
                <w:szCs w:val="15"/>
                <w:color w:val="auto"/>
              </w:rPr>
              <w:t>of loans by segment: (a)</w:t>
            </w:r>
          </w:p>
        </w:tc>
        <w:tc>
          <w:tcPr>
            <w:tcW w:w="4060" w:type="dxa"/>
            <w:vAlign w:val="bottom"/>
          </w:tcPr>
          <w:p>
            <w:pPr>
              <w:ind w:left="740"/>
              <w:spacing w:after="0"/>
              <w:rPr>
                <w:sz w:val="20"/>
                <w:szCs w:val="20"/>
                <w:color w:val="auto"/>
              </w:rPr>
            </w:pPr>
            <w:r>
              <w:rPr>
                <w:rFonts w:ascii="Arial" w:cs="Arial" w:eastAsia="Arial" w:hAnsi="Arial"/>
                <w:sz w:val="15"/>
                <w:szCs w:val="15"/>
                <w:color w:val="auto"/>
              </w:rPr>
              <w:t>Economic and Financial</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personal, (b) small</w:t>
            </w:r>
          </w:p>
        </w:tc>
        <w:tc>
          <w:tcPr>
            <w:tcW w:w="4060" w:type="dxa"/>
            <w:vAlign w:val="bottom"/>
            <w:vMerge w:val="restart"/>
          </w:tcPr>
          <w:p>
            <w:pPr>
              <w:ind w:left="740"/>
              <w:spacing w:after="0"/>
              <w:rPr>
                <w:sz w:val="20"/>
                <w:szCs w:val="20"/>
                <w:color w:val="auto"/>
              </w:rPr>
            </w:pPr>
            <w:r>
              <w:rPr>
                <w:rFonts w:ascii="Arial" w:cs="Arial" w:eastAsia="Arial" w:hAnsi="Arial"/>
                <w:sz w:val="15"/>
                <w:szCs w:val="15"/>
                <w:color w:val="auto"/>
              </w:rPr>
              <w:t>Development/Strengthening and Deepening</w:t>
            </w: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000.B</w:t>
            </w:r>
          </w:p>
        </w:tc>
        <w:tc>
          <w:tcPr>
            <w:tcW w:w="2600" w:type="dxa"/>
            <w:vAlign w:val="bottom"/>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2600" w:type="dxa"/>
            <w:vAlign w:val="bottom"/>
            <w:vMerge w:val="restart"/>
          </w:tcPr>
          <w:p>
            <w:pPr>
              <w:ind w:left="60"/>
              <w:spacing w:after="0"/>
              <w:rPr>
                <w:sz w:val="20"/>
                <w:szCs w:val="20"/>
                <w:color w:val="auto"/>
              </w:rPr>
            </w:pPr>
            <w:r>
              <w:rPr>
                <w:rFonts w:ascii="Arial" w:cs="Arial" w:eastAsia="Arial" w:hAnsi="Arial"/>
                <w:sz w:val="15"/>
                <w:szCs w:val="15"/>
                <w:color w:val="auto"/>
              </w:rPr>
              <w:t>businesses and (c)</w:t>
            </w:r>
          </w:p>
        </w:tc>
        <w:tc>
          <w:tcPr>
            <w:tcW w:w="4060" w:type="dxa"/>
            <w:vAlign w:val="bottom"/>
            <w:vMerge w:val="restart"/>
          </w:tcPr>
          <w:p>
            <w:pPr>
              <w:ind w:left="740"/>
              <w:spacing w:after="0"/>
              <w:rPr>
                <w:sz w:val="20"/>
                <w:szCs w:val="20"/>
                <w:color w:val="auto"/>
              </w:rPr>
            </w:pPr>
            <w:r>
              <w:rPr>
                <w:rFonts w:ascii="Arial" w:cs="Arial" w:eastAsia="Arial" w:hAnsi="Arial"/>
                <w:sz w:val="15"/>
                <w:szCs w:val="15"/>
                <w:color w:val="auto"/>
              </w:rPr>
              <w:t>Financial Inclusion / SASB indicator tables</w:t>
            </w: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26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2600" w:type="dxa"/>
            <w:vAlign w:val="bottom"/>
            <w:vMerge w:val="continue"/>
          </w:tcPr>
          <w:p>
            <w:pPr>
              <w:spacing w:after="0"/>
              <w:rPr>
                <w:sz w:val="6"/>
                <w:szCs w:val="6"/>
                <w:color w:val="auto"/>
              </w:rPr>
            </w:pPr>
          </w:p>
        </w:tc>
        <w:tc>
          <w:tcPr>
            <w:tcW w:w="406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5"/>
                <w:szCs w:val="15"/>
                <w:color w:val="auto"/>
              </w:rPr>
              <w:t>corporate.</w:t>
            </w:r>
          </w:p>
        </w:tc>
        <w:tc>
          <w:tcPr>
            <w:tcW w:w="4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26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522"/>
        </w:trPr>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84"/>
        </w:trPr>
        <w:tc>
          <w:tcPr>
            <w:tcW w:w="2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decimal"/>
      <w:start w:val="1"/>
    </w:lvl>
    <w:lvl w:ilvl="1">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decimal"/>
      <w:start w:val="1"/>
    </w:lvl>
  </w:abstractNum>
  <w:abstractNum w:abstractNumId="3">
    <w:nsid w:val="6590700B"/>
    <w:multiLevelType w:val="hybridMultilevel"/>
    <w:lvl w:ilvl="0">
      <w:lvlJc w:val="left"/>
      <w:lvlText w:val="1"/>
      <w:numFmt w:val="bullet"/>
      <w:start w:val="1"/>
    </w:lvl>
  </w:abstractNum>
  <w:abstractNum w:abstractNumId="4">
    <w:nsid w:val="15014ACB"/>
    <w:multiLevelType w:val="hybridMultilevel"/>
    <w:lvl w:ilvl="0">
      <w:lvlJc w:val="left"/>
      <w:lvlText w:val="2"/>
      <w:numFmt w:val="bullet"/>
      <w:start w:val="1"/>
    </w:lvl>
  </w:abstractNum>
  <w:abstractNum w:abstractNumId="5">
    <w:nsid w:val="5F5E7FD0"/>
    <w:multiLevelType w:val="hybridMultilevel"/>
    <w:lvl w:ilvl="0">
      <w:lvlJc w:val="left"/>
      <w:lvlText w:val="3"/>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1"/>
      <w:numFmt w:val="bullet"/>
      <w:start w:val="1"/>
    </w:lvl>
  </w:abstractNum>
  <w:abstractNum w:abstractNumId="10">
    <w:nsid w:val="168E121F"/>
    <w:multiLevelType w:val="hybridMultilevel"/>
    <w:lvl w:ilvl="0">
      <w:lvlJc w:val="left"/>
      <w:lvlText w:val="2"/>
      <w:numFmt w:val="bullet"/>
      <w:start w:val="1"/>
    </w:lvl>
  </w:abstractNum>
  <w:abstractNum w:abstractNumId="11">
    <w:nsid w:val="1EBA5D23"/>
    <w:multiLevelType w:val="hybridMultilevel"/>
    <w:lvl w:ilvl="0">
      <w:lvlJc w:val="left"/>
      <w:lvlText w:val="3"/>
      <w:numFmt w:val="bullet"/>
      <w:start w:val="1"/>
    </w:lvl>
  </w:abstractNum>
  <w:abstractNum w:abstractNumId="12">
    <w:nsid w:val="661E3F1E"/>
    <w:multiLevelType w:val="hybridMultilevel"/>
    <w:lvl w:ilvl="0">
      <w:lvlJc w:val="left"/>
      <w:lvlText w:val="1"/>
      <w:numFmt w:val="bullet"/>
      <w:start w:val="1"/>
    </w:lvl>
  </w:abstractNum>
  <w:abstractNum w:abstractNumId="13">
    <w:nsid w:val="5DC79EA8"/>
    <w:multiLevelType w:val="hybridMultilevel"/>
    <w:lvl w:ilvl="0">
      <w:lvlJc w:val="left"/>
      <w:lvlText w:val="2"/>
      <w:numFmt w:val="bullet"/>
      <w:start w:val="1"/>
    </w:lvl>
  </w:abstractNum>
  <w:abstractNum w:abstractNumId="14">
    <w:nsid w:val="540A471C"/>
    <w:multiLevelType w:val="hybridMultilevel"/>
    <w:lvl w:ilvl="0">
      <w:lvlJc w:val="left"/>
      <w:lvlText w:val="3"/>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1)"/>
      <w:numFmt w:val="decimal"/>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1"/>
      <w:numFmt w:val="bullet"/>
      <w:start w:val="1"/>
    </w:lvl>
  </w:abstractNum>
  <w:abstractNum w:abstractNumId="20">
    <w:nsid w:val="42963E5A"/>
    <w:multiLevelType w:val="hybridMultilevel"/>
    <w:lvl w:ilvl="0">
      <w:lvlJc w:val="left"/>
      <w:lvlText w:val="2"/>
      <w:numFmt w:val="bullet"/>
      <w:start w:val="1"/>
    </w:lvl>
  </w:abstractNum>
  <w:abstractNum w:abstractNumId="21">
    <w:nsid w:val="A0382C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1"/>
      <w:numFmt w:val="bullet"/>
      <w:start w:val="1"/>
    </w:lvl>
  </w:abstractNum>
  <w:abstractNum w:abstractNumId="26">
    <w:nsid w:val="4962813B"/>
    <w:multiLevelType w:val="hybridMultilevel"/>
    <w:lvl w:ilvl="0">
      <w:lvlJc w:val="left"/>
      <w:lvlText w:val="1"/>
      <w:numFmt w:val="bullet"/>
      <w:start w:val="1"/>
    </w:lvl>
  </w:abstractNum>
  <w:abstractNum w:abstractNumId="27">
    <w:nsid w:val="60B6DF70"/>
    <w:multiLevelType w:val="hybridMultilevel"/>
    <w:lvl w:ilvl="0">
      <w:lvlJc w:val="left"/>
      <w:lvlText w:val="%1."/>
      <w:numFmt w:val="decimal"/>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1"/>
      <w:numFmt w:val="bullet"/>
      <w:start w:val="1"/>
    </w:lvl>
  </w:abstractNum>
  <w:abstractNum w:abstractNumId="31">
    <w:nsid w:val="1A27709E"/>
    <w:multiLevelType w:val="hybridMultilevel"/>
    <w:lvl w:ilvl="0">
      <w:lvlJc w:val="left"/>
      <w:lvlText w:val="%1)"/>
      <w:numFmt w:val="upperLetter"/>
      <w:start w:val="1"/>
    </w:lvl>
  </w:abstractNum>
  <w:abstractNum w:abstractNumId="32">
    <w:nsid w:val="71EA1109"/>
    <w:multiLevelType w:val="hybridMultilevel"/>
    <w:lvl w:ilvl="0">
      <w:lvlJc w:val="left"/>
      <w:lvlText w:val="%1)"/>
      <w:numFmt w:val="upperLetter"/>
      <w:start w:val="2"/>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decimal"/>
      <w:start w:val="15"/>
    </w:lvl>
  </w:abstractNum>
  <w:abstractNum w:abstractNumId="42">
    <w:nsid w:val="14E17E33"/>
    <w:multiLevelType w:val="hybridMultilevel"/>
    <w:lvl w:ilvl="0">
      <w:lvlJc w:val="left"/>
      <w:lvlText w:val="%1"/>
      <w:numFmt w:val="decimal"/>
      <w:start w:val="16"/>
    </w:lvl>
  </w:abstractNum>
  <w:abstractNum w:abstractNumId="43">
    <w:nsid w:val="3222E7CD"/>
    <w:multiLevelType w:val="hybridMultilevel"/>
    <w:lvl w:ilvl="0">
      <w:lvlJc w:val="left"/>
      <w:lvlText w:val="%1"/>
      <w:numFmt w:val="decimal"/>
      <w:start w:val="17"/>
    </w:lvl>
  </w:abstractNum>
  <w:abstractNum w:abstractNumId="44">
    <w:nsid w:val="74DE0EE3"/>
    <w:multiLevelType w:val="hybridMultilevel"/>
    <w:lvl w:ilvl="0">
      <w:lvlJc w:val="left"/>
      <w:lvlText w:val="%1"/>
      <w:numFmt w:val="decimal"/>
      <w:start w:val="23"/>
    </w:lvl>
  </w:abstractNum>
  <w:abstractNum w:abstractNumId="45">
    <w:nsid w:val="68EBC550"/>
    <w:multiLevelType w:val="hybridMultilevel"/>
    <w:lvl w:ilvl="0">
      <w:lvlJc w:val="left"/>
      <w:lvlText w:val="%1."/>
      <w:numFmt w:val="decimal"/>
      <w:start w:val="1"/>
    </w:lvl>
  </w:abstractNum>
  <w:abstractNum w:abstractNumId="46">
    <w:nsid w:val="2DF6D648"/>
    <w:multiLevelType w:val="hybridMultilevel"/>
    <w:lvl w:ilvl="0">
      <w:lvlJc w:val="left"/>
      <w:lvlText w:val="%1"/>
      <w:numFmt w:val="decimal"/>
      <w:start w:val="24"/>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1"/>
      <w:numFmt w:val="decimal"/>
      <w:start w:val="26"/>
    </w:lvl>
  </w:abstractNum>
  <w:abstractNum w:abstractNumId="51">
    <w:nsid w:val="CC1016F"/>
    <w:multiLevelType w:val="hybridMultilevel"/>
    <w:lvl w:ilvl="0">
      <w:lvlJc w:val="left"/>
      <w:lvlText w:val="%1"/>
      <w:numFmt w:val="decimal"/>
      <w:start w:val="27"/>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1"/>
      <w:numFmt w:val="decimal"/>
      <w:start w:val="28"/>
    </w:lvl>
  </w:abstractNum>
  <w:abstractNum w:abstractNumId="54">
    <w:nsid w:val="26F324BA"/>
    <w:multiLevelType w:val="hybridMultilevel"/>
    <w:lvl w:ilvl="0">
      <w:lvlJc w:val="left"/>
      <w:lvlText w:val="%1."/>
      <w:numFmt w:val="decimal"/>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1"/>
      <w:numFmt w:val="decimal"/>
      <w:start w:val="29"/>
    </w:lvl>
  </w:abstractNum>
  <w:abstractNum w:abstractNumId="57">
    <w:nsid w:val="7055A5F5"/>
    <w:multiLevelType w:val="hybridMultilevel"/>
    <w:lvl w:ilvl="0">
      <w:lvlJc w:val="left"/>
      <w:lvlText w:val="%1"/>
      <w:numFmt w:val="decimal"/>
      <w:start w:val="30"/>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1"/>
      <w:numFmt w:val="decimal"/>
      <w:start w:val="3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1."/>
      <w:numFmt w:val="decimal"/>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1"/>
      <w:numFmt w:val="decimal"/>
      <w:start w:val="32"/>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1"/>
      <w:numFmt w:val="decimal"/>
      <w:start w:val="33"/>
    </w:lvl>
  </w:abstractNum>
  <w:abstractNum w:abstractNumId="67">
    <w:nsid w:val="5F3534A4"/>
    <w:multiLevelType w:val="hybridMultilevel"/>
    <w:lvl w:ilvl="0">
      <w:lvlJc w:val="left"/>
      <w:lvlText w:val="%1"/>
      <w:numFmt w:val="decimal"/>
      <w:start w:val="34"/>
    </w:lvl>
  </w:abstractNum>
  <w:abstractNum w:abstractNumId="68">
    <w:nsid w:val="73A1821B"/>
    <w:multiLevelType w:val="hybridMultilevel"/>
    <w:lvl w:ilvl="0">
      <w:lvlJc w:val="left"/>
      <w:lvlText w:val="%1"/>
      <w:numFmt w:val="decimal"/>
      <w:start w:val="35"/>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decimal"/>
      <w:start w:val="36"/>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1"/>
      <w:numFmt w:val="decimal"/>
      <w:start w:val="37"/>
    </w:lvl>
  </w:abstractNum>
  <w:abstractNum w:abstractNumId="78">
    <w:nsid w:val="5092CA79"/>
    <w:multiLevelType w:val="hybridMultilevel"/>
    <w:lvl w:ilvl="0">
      <w:lvlJc w:val="left"/>
      <w:lvlText w:val="%1"/>
      <w:numFmt w:val="decimal"/>
      <w:start w:val="38"/>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1"/>
      <w:numFmt w:val="decimal"/>
      <w:start w:val="39"/>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1."/>
      <w:numFmt w:val="decimal"/>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1"/>
      <w:numFmt w:val="decimal"/>
      <w:start w:val="40"/>
    </w:lvl>
  </w:abstractNum>
  <w:abstractNum w:abstractNumId="89">
    <w:nsid w:val="7C58FD05"/>
    <w:multiLevelType w:val="hybridMultilevel"/>
    <w:lvl w:ilvl="0">
      <w:lvlJc w:val="left"/>
      <w:lvlText w:val="%1:"/>
      <w:numFmt w:val="upperLetter"/>
      <w:start w:val="9"/>
    </w:lvl>
  </w:abstractNum>
  <w:abstractNum w:abstractNumId="90">
    <w:nsid w:val="23D86AAC"/>
    <w:multiLevelType w:val="hybridMultilevel"/>
    <w:lvl w:ilvl="0">
      <w:lvlJc w:val="left"/>
      <w:lvlText w:val="%1"/>
      <w:numFmt w:val="decimal"/>
      <w:start w:val="41"/>
    </w:lvl>
  </w:abstractNum>
  <w:abstractNum w:abstractNumId="91">
    <w:nsid w:val="45E6D486"/>
    <w:multiLevelType w:val="hybridMultilevel"/>
    <w:lvl w:ilvl="0">
      <w:lvlJc w:val="left"/>
      <w:lvlText w:val="%1"/>
      <w:numFmt w:val="decimal"/>
      <w:start w:val="42"/>
    </w:lvl>
  </w:abstractNum>
  <w:abstractNum w:abstractNumId="92">
    <w:nsid w:val="5C10FE21"/>
    <w:multiLevelType w:val="hybridMultilevel"/>
    <w:lvl w:ilvl="0">
      <w:lvlJc w:val="left"/>
      <w:lvlText w:val="%1"/>
      <w:numFmt w:val="decimal"/>
      <w:start w:val="44"/>
    </w:lvl>
  </w:abstractNum>
  <w:abstractNum w:abstractNumId="93">
    <w:nsid w:val="E7FFA2B"/>
    <w:multiLevelType w:val="hybridMultilevel"/>
    <w:lvl w:ilvl="0">
      <w:lvlJc w:val="left"/>
      <w:lvlText w:val="%1."/>
      <w:numFmt w:val="decimal"/>
      <w:start w:val="1"/>
    </w:lvl>
  </w:abstractNum>
  <w:abstractNum w:abstractNumId="94">
    <w:nsid w:val="3C5991AA"/>
    <w:multiLevelType w:val="hybridMultilevel"/>
    <w:lvl w:ilvl="0">
      <w:lvlJc w:val="left"/>
      <w:lvlText w:val="%1."/>
      <w:numFmt w:val="decimal"/>
      <w:start w:val="3"/>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1"/>
      <w:numFmt w:val="decimal"/>
      <w:start w:val="45"/>
    </w:lvl>
  </w:abstractNum>
  <w:abstractNum w:abstractNumId="97">
    <w:nsid w:val="39B7AAA2"/>
    <w:multiLevelType w:val="hybridMultilevel"/>
    <w:lvl w:ilvl="0">
      <w:lvlJc w:val="left"/>
      <w:lvlText w:val="%1"/>
      <w:numFmt w:val="decimal"/>
      <w:start w:val="46"/>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1"/>
      <w:numFmt w:val="decimal"/>
      <w:start w:val="50"/>
    </w:lvl>
  </w:abstractNum>
  <w:abstractNum w:abstractNumId="100">
    <w:nsid w:val="379E21B5"/>
    <w:multiLevelType w:val="hybridMultilevel"/>
    <w:lvl w:ilvl="0">
      <w:lvlJc w:val="left"/>
      <w:lvlText w:val="●"/>
      <w:numFmt w:val="bullet"/>
      <w:start w:val="1"/>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
      <w:numFmt w:val="bullet"/>
      <w:start w:val="1"/>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
      <w:numFmt w:val="bullet"/>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lvl w:ilvl="1">
      <w:lvlJc w:val="left"/>
      <w:lvlText w:val="○"/>
      <w:numFmt w:val="bullet"/>
      <w:start w:val="1"/>
    </w:lvl>
  </w:abstractNum>
  <w:abstractNum w:abstractNumId="111">
    <w:nsid w:val="175DFCF0"/>
    <w:multiLevelType w:val="hybridMultilevel"/>
    <w:lvl w:ilvl="0">
      <w:lvlJc w:val="left"/>
      <w:lvlText w:val="%1"/>
      <w:numFmt w:val="decimal"/>
      <w:start w:val="53"/>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1"/>
      <w:numFmt w:val="decimal"/>
      <w:start w:val="57"/>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1)"/>
      <w:numFmt w:val="lowerLetter"/>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decimal"/>
      <w:start w:val="59"/>
    </w:lvl>
  </w:abstractNum>
  <w:abstractNum w:abstractNumId="120">
    <w:nsid w:val="4DF72E4E"/>
    <w:multiLevelType w:val="hybridMultilevel"/>
    <w:lvl w:ilvl="0">
      <w:lvlJc w:val="left"/>
      <w:lvlText w:val="%1"/>
      <w:numFmt w:val="decimal"/>
      <w:start w:val="60"/>
    </w:lvl>
  </w:abstractNum>
  <w:abstractNum w:abstractNumId="121">
    <w:nsid w:val="5046B5A9"/>
    <w:multiLevelType w:val="hybridMultilevel"/>
    <w:lvl w:ilvl="0">
      <w:lvlJc w:val="left"/>
      <w:lvlText w:val="Q"/>
      <w:numFmt w:val="bullet"/>
      <w:start w:val="1"/>
    </w:lvl>
  </w:abstractNum>
  <w:abstractNum w:abstractNumId="122">
    <w:nsid w:val="5D888A08"/>
    <w:multiLevelType w:val="hybridMultilevel"/>
    <w:lvl w:ilvl="0">
      <w:lvlJc w:val="left"/>
      <w:lvlText w:val="%1"/>
      <w:numFmt w:val="decimal"/>
      <w:start w:val="74"/>
    </w:lvl>
  </w:abstractNum>
  <w:abstractNum w:abstractNumId="123">
    <w:nsid w:val="2A082C70"/>
    <w:multiLevelType w:val="hybridMultilevel"/>
    <w:lvl w:ilvl="0">
      <w:lvlJc w:val="left"/>
      <w:lvlText w:val="Q"/>
      <w:numFmt w:val="bullet"/>
      <w:start w:val="1"/>
    </w:lvl>
  </w:abstractNum>
  <w:abstractNum w:abstractNumId="124">
    <w:nsid w:val="5EC6AFD4"/>
    <w:multiLevelType w:val="hybridMultilevel"/>
    <w:lvl w:ilvl="0">
      <w:lvlJc w:val="left"/>
      <w:lvlText w:val="0"/>
      <w:numFmt w:val="bullet"/>
      <w:start w:val="1"/>
    </w:lvl>
  </w:abstractNum>
  <w:abstractNum w:abstractNumId="125">
    <w:nsid w:val="19E21BB2"/>
    <w:multiLevelType w:val="hybridMultilevel"/>
    <w:lvl w:ilvl="0">
      <w:lvlJc w:val="left"/>
      <w:lvlText w:val="Q"/>
      <w:numFmt w:val="bullet"/>
      <w:start w:val="1"/>
    </w:lvl>
  </w:abstractNum>
  <w:abstractNum w:abstractNumId="126">
    <w:nsid w:val="75E0858A"/>
    <w:multiLevelType w:val="hybridMultilevel"/>
    <w:lvl w:ilvl="0">
      <w:lvlJc w:val="left"/>
      <w:lvlText w:val="%1"/>
      <w:numFmt w:val="decimal"/>
      <w:start w:val="74"/>
    </w:lvl>
  </w:abstractNum>
  <w:abstractNum w:abstractNumId="127">
    <w:nsid w:val="57A61A29"/>
    <w:multiLevelType w:val="hybridMultilevel"/>
    <w:lvl w:ilvl="0">
      <w:lvlJc w:val="left"/>
      <w:lvlText w:val="Q"/>
      <w:numFmt w:val="bullet"/>
      <w:start w:val="1"/>
    </w:lvl>
  </w:abstractNum>
  <w:abstractNum w:abstractNumId="128">
    <w:nsid w:val="5399C654"/>
    <w:multiLevelType w:val="hybridMultilevel"/>
    <w:lvl w:ilvl="0">
      <w:lvlJc w:val="left"/>
      <w:lvlText w:val="0"/>
      <w:numFmt w:val="bullet"/>
      <w:start w:val="1"/>
    </w:lvl>
  </w:abstractNum>
  <w:abstractNum w:abstractNumId="129">
    <w:nsid w:val="20EE1348"/>
    <w:multiLevelType w:val="hybridMultilevel"/>
    <w:lvl w:ilvl="0">
      <w:lvlJc w:val="left"/>
      <w:lvlText w:val="%1"/>
      <w:numFmt w:val="decimal"/>
      <w:start w:val="73"/>
    </w:lvl>
  </w:abstractNum>
  <w:abstractNum w:abstractNumId="130">
    <w:nsid w:val="4427069A"/>
    <w:multiLevelType w:val="hybridMultilevel"/>
    <w:lvl w:ilvl="0">
      <w:lvlJc w:val="left"/>
      <w:lvlText w:val="%1"/>
      <w:numFmt w:val="decimal"/>
      <w:start w:val="79"/>
    </w:lvl>
  </w:abstractNum>
  <w:abstractNum w:abstractNumId="131">
    <w:nsid w:val="B37E80A"/>
    <w:multiLevelType w:val="hybridMultilevel"/>
    <w:lvl w:ilvl="0">
      <w:lvlJc w:val="left"/>
      <w:lvlText w:val="%1"/>
      <w:numFmt w:val="decimal"/>
      <w:start w:val="84"/>
    </w:lvl>
  </w:abstractNum>
  <w:abstractNum w:abstractNumId="132">
    <w:nsid w:val="2157F6BC"/>
    <w:multiLevelType w:val="hybridMultilevel"/>
    <w:lvl w:ilvl="0">
      <w:lvlJc w:val="left"/>
      <w:lvlText w:val="●"/>
      <w:numFmt w:val="bullet"/>
      <w:start w:val="1"/>
    </w:lvl>
  </w:abstractNum>
  <w:abstractNum w:abstractNumId="133">
    <w:nsid w:val="704E1DD5"/>
    <w:multiLevelType w:val="hybridMultilevel"/>
    <w:lvl w:ilvl="0">
      <w:lvlJc w:val="left"/>
      <w:lvlText w:val="%1"/>
      <w:numFmt w:val="decimal"/>
      <w:start w:val="8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2023-03-01T19:40:55Z</dcterms:created>
  <dcterms:modified xsi:type="dcterms:W3CDTF">2023-03-01T19:40:55Z</dcterms:modified>
</cp:coreProperties>
</file>