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19651_6k.htm"/>
      <w:bookmarkStart w:id="1" w:name="ksef20019651_6k"/>
      <w:bookmarkStart w:id="2" w:name="ef20019651_6k.htm"/>
      <w:bookmarkStart w:id="3" w:name="ksef20019651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January 2024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12,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both"/>
        <w:rPr>
          <w:color w:val="000000"/>
        </w:rPr>
      </w:pPr>
      <w:r>
        <w:rPr>
          <w:color w:val="000000"/>
        </w:rPr>
        <w:drawing>
          <wp:inline distT="0" distB="0" distL="0" distR="0">
            <wp:extent cx="3000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361950"/>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br/>
        <w:t>January 23,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on January 18, 2024, Fitch Ratings released an update of Credicorp Ltd.’s (Credicorp) credit rating report dated April 21, 2023. The new report only represents an update of figures as of September 2023, while Credicorp’s credit rating and rating outlook remain unchanged.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Date: January 23, 2024</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 w:name="z11f4b35d15a2434eaa89455e8f087809"/>
      <w:bookmarkStart w:id="5" w:name="z11f4b35d15a2434eaa89455e8f087809"/>
      <w:bookmarkEnd w:id="5"/>
    </w:p>
    <w:tbl>
      <w:tblPr>
        <w:tblW w:w="2636" w:type="dxa"/>
        <w:jc w:val="left"/>
        <w:tblInd w:w="0" w:type="dxa"/>
        <w:tblLayout w:type="fixed"/>
        <w:tblCellMar>
          <w:top w:w="0" w:type="dxa"/>
          <w:left w:w="0" w:type="dxa"/>
          <w:bottom w:w="0" w:type="dxa"/>
          <w:right w:w="0" w:type="dxa"/>
        </w:tblCellMar>
      </w:tblPr>
      <w:tblGrid>
        <w:gridCol w:w="23"/>
        <w:gridCol w:w="320"/>
        <w:gridCol w:w="2270"/>
        <w:gridCol w:w="23"/>
      </w:tblGrid>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CREDICORP LTD.</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Authorized Representative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Words>
  <Characters>2239</Characters>
  <CharactersWithSpaces>2619</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