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September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5903595</wp:posOffset>
            </wp:positionH>
            <wp:positionV relativeFrom="page">
              <wp:posOffset>88900</wp:posOffset>
            </wp:positionV>
            <wp:extent cx="150050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28625"/>
                    </a:xfrm>
                    <a:prstGeom prst="rect">
                      <a:avLst/>
                    </a:prstGeom>
                    <a:noFill/>
                  </pic:spPr>
                </pic:pic>
              </a:graphicData>
            </a:graphic>
          </wp:anchor>
        </w:drawing>
        <w:t>Lima, September 9,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CREDICORP LTD., in accordance with article 28 of the Capital Markets Law approved by DS N° 093-2002-EF and CONASEV Resolution for Material Events and Reserved Information and Other Communications number 107-2002-EF/94.10.0, as modified by CONASEV Resolution number 009-2003-EF/94.10, complies with notifying you of the following Material Event:</w:t>
      </w:r>
    </w:p>
    <w:p>
      <w:pPr>
        <w:spacing w:after="0" w:line="20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Banco de Crédito del Perú (“BCP”), a subsidiary of Credicorp, in accordance with the authorization granted by the Shareholders in the Annual meeting on March 28, 2010, will proceed with the issue of Corporate bonds, “Senior Unsecured Obligations” through its Panamanian branch for a total amount of US$ 800’000,000 under 144 A and Regulation S trade.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main characteristics and conditions of the issue are: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Issuer:</w:t>
            </w:r>
          </w:p>
        </w:tc>
        <w:tc>
          <w:tcPr>
            <w:tcW w:w="7980" w:type="dxa"/>
            <w:vAlign w:val="bottom"/>
          </w:tcPr>
          <w:p>
            <w:pPr>
              <w:ind w:left="1960"/>
              <w:spacing w:after="0"/>
              <w:rPr>
                <w:sz w:val="20"/>
                <w:szCs w:val="20"/>
                <w:color w:val="auto"/>
              </w:rPr>
            </w:pPr>
            <w:r>
              <w:rPr>
                <w:rFonts w:ascii="Arial" w:cs="Arial" w:eastAsia="Arial" w:hAnsi="Arial"/>
                <w:sz w:val="18"/>
                <w:szCs w:val="18"/>
                <w:color w:val="auto"/>
              </w:rPr>
              <w:t>Banco de Crédito del Perú,</w:t>
            </w:r>
          </w:p>
        </w:tc>
      </w:tr>
      <w:tr>
        <w:trPr>
          <w:trHeight w:val="230"/>
        </w:trPr>
        <w:tc>
          <w:tcPr>
            <w:tcW w:w="3440" w:type="dxa"/>
            <w:vAlign w:val="bottom"/>
          </w:tcPr>
          <w:p>
            <w:pPr>
              <w:spacing w:after="0"/>
              <w:rPr>
                <w:sz w:val="20"/>
                <w:szCs w:val="20"/>
                <w:color w:val="auto"/>
              </w:rPr>
            </w:pPr>
          </w:p>
        </w:tc>
        <w:tc>
          <w:tcPr>
            <w:tcW w:w="7980" w:type="dxa"/>
            <w:vAlign w:val="bottom"/>
          </w:tcPr>
          <w:p>
            <w:pPr>
              <w:ind w:left="1960"/>
              <w:spacing w:after="0"/>
              <w:rPr>
                <w:sz w:val="20"/>
                <w:szCs w:val="20"/>
                <w:color w:val="auto"/>
              </w:rPr>
            </w:pPr>
            <w:r>
              <w:rPr>
                <w:rFonts w:ascii="Arial" w:cs="Arial" w:eastAsia="Arial" w:hAnsi="Arial"/>
                <w:sz w:val="18"/>
                <w:szCs w:val="18"/>
                <w:color w:val="auto"/>
              </w:rPr>
              <w:t>acting through its Panamanian branch</w:t>
            </w:r>
          </w:p>
        </w:tc>
      </w:tr>
      <w:tr>
        <w:trPr>
          <w:trHeight w:val="365"/>
        </w:trPr>
        <w:tc>
          <w:tcPr>
            <w:tcW w:w="3440" w:type="dxa"/>
            <w:vAlign w:val="bottom"/>
          </w:tcPr>
          <w:p>
            <w:pPr>
              <w:spacing w:after="0"/>
              <w:rPr>
                <w:sz w:val="20"/>
                <w:szCs w:val="20"/>
                <w:color w:val="auto"/>
              </w:rPr>
            </w:pPr>
            <w:r>
              <w:rPr>
                <w:rFonts w:ascii="Arial" w:cs="Arial" w:eastAsia="Arial" w:hAnsi="Arial"/>
                <w:sz w:val="18"/>
                <w:szCs w:val="18"/>
                <w:color w:val="auto"/>
              </w:rPr>
              <w:t>Security description:</w:t>
            </w:r>
          </w:p>
        </w:tc>
        <w:tc>
          <w:tcPr>
            <w:tcW w:w="7980" w:type="dxa"/>
            <w:vAlign w:val="bottom"/>
          </w:tcPr>
          <w:p>
            <w:pPr>
              <w:ind w:left="1960"/>
              <w:spacing w:after="0"/>
              <w:rPr>
                <w:sz w:val="20"/>
                <w:szCs w:val="20"/>
                <w:color w:val="auto"/>
              </w:rPr>
            </w:pPr>
            <w:r>
              <w:rPr>
                <w:rFonts w:ascii="Arial" w:cs="Arial" w:eastAsia="Arial" w:hAnsi="Arial"/>
                <w:sz w:val="18"/>
                <w:szCs w:val="18"/>
                <w:color w:val="auto"/>
              </w:rPr>
              <w:t>5.375% Senior Notes due 2020</w:t>
            </w:r>
          </w:p>
        </w:tc>
      </w:tr>
      <w:tr>
        <w:trPr>
          <w:trHeight w:val="365"/>
        </w:trPr>
        <w:tc>
          <w:tcPr>
            <w:tcW w:w="3440" w:type="dxa"/>
            <w:vAlign w:val="bottom"/>
          </w:tcPr>
          <w:p>
            <w:pPr>
              <w:spacing w:after="0"/>
              <w:rPr>
                <w:sz w:val="20"/>
                <w:szCs w:val="20"/>
                <w:color w:val="auto"/>
              </w:rPr>
            </w:pPr>
            <w:r>
              <w:rPr>
                <w:rFonts w:ascii="Arial" w:cs="Arial" w:eastAsia="Arial" w:hAnsi="Arial"/>
                <w:sz w:val="18"/>
                <w:szCs w:val="18"/>
                <w:color w:val="auto"/>
              </w:rPr>
              <w:t>Transaction Format:</w:t>
            </w:r>
          </w:p>
        </w:tc>
        <w:tc>
          <w:tcPr>
            <w:tcW w:w="7980" w:type="dxa"/>
            <w:vAlign w:val="bottom"/>
          </w:tcPr>
          <w:p>
            <w:pPr>
              <w:ind w:left="1960"/>
              <w:spacing w:after="0"/>
              <w:rPr>
                <w:sz w:val="20"/>
                <w:szCs w:val="20"/>
                <w:color w:val="auto"/>
              </w:rPr>
            </w:pPr>
            <w:r>
              <w:rPr>
                <w:rFonts w:ascii="Arial" w:cs="Arial" w:eastAsia="Arial" w:hAnsi="Arial"/>
                <w:sz w:val="18"/>
                <w:szCs w:val="18"/>
                <w:color w:val="auto"/>
              </w:rPr>
              <w:t>Rule 144A / Regulation S</w:t>
            </w:r>
          </w:p>
        </w:tc>
      </w:tr>
      <w:tr>
        <w:trPr>
          <w:trHeight w:val="365"/>
        </w:trPr>
        <w:tc>
          <w:tcPr>
            <w:tcW w:w="3440" w:type="dxa"/>
            <w:vAlign w:val="bottom"/>
          </w:tcPr>
          <w:p>
            <w:pPr>
              <w:spacing w:after="0"/>
              <w:rPr>
                <w:sz w:val="20"/>
                <w:szCs w:val="20"/>
                <w:color w:val="auto"/>
              </w:rPr>
            </w:pPr>
            <w:r>
              <w:rPr>
                <w:rFonts w:ascii="Arial" w:cs="Arial" w:eastAsia="Arial" w:hAnsi="Arial"/>
                <w:sz w:val="18"/>
                <w:szCs w:val="18"/>
                <w:color w:val="auto"/>
              </w:rPr>
              <w:t>Face amount:</w:t>
            </w:r>
          </w:p>
        </w:tc>
        <w:tc>
          <w:tcPr>
            <w:tcW w:w="7980" w:type="dxa"/>
            <w:vAlign w:val="bottom"/>
          </w:tcPr>
          <w:p>
            <w:pPr>
              <w:ind w:left="1960"/>
              <w:spacing w:after="0"/>
              <w:rPr>
                <w:sz w:val="20"/>
                <w:szCs w:val="20"/>
                <w:color w:val="auto"/>
              </w:rPr>
            </w:pPr>
            <w:r>
              <w:rPr>
                <w:rFonts w:ascii="Arial" w:cs="Arial" w:eastAsia="Arial" w:hAnsi="Arial"/>
                <w:sz w:val="18"/>
                <w:szCs w:val="18"/>
                <w:color w:val="auto"/>
              </w:rPr>
              <w:t>US$ 800’000,000</w:t>
            </w:r>
          </w:p>
        </w:tc>
      </w:tr>
      <w:tr>
        <w:trPr>
          <w:trHeight w:val="365"/>
        </w:trPr>
        <w:tc>
          <w:tcPr>
            <w:tcW w:w="3440" w:type="dxa"/>
            <w:vAlign w:val="bottom"/>
          </w:tcPr>
          <w:p>
            <w:pPr>
              <w:spacing w:after="0"/>
              <w:rPr>
                <w:sz w:val="20"/>
                <w:szCs w:val="20"/>
                <w:color w:val="auto"/>
              </w:rPr>
            </w:pPr>
            <w:r>
              <w:rPr>
                <w:rFonts w:ascii="Arial" w:cs="Arial" w:eastAsia="Arial" w:hAnsi="Arial"/>
                <w:sz w:val="18"/>
                <w:szCs w:val="18"/>
                <w:color w:val="auto"/>
              </w:rPr>
              <w:t>Trade date:</w:t>
            </w:r>
          </w:p>
        </w:tc>
        <w:tc>
          <w:tcPr>
            <w:tcW w:w="7980" w:type="dxa"/>
            <w:vAlign w:val="bottom"/>
          </w:tcPr>
          <w:p>
            <w:pPr>
              <w:ind w:left="1960"/>
              <w:spacing w:after="0"/>
              <w:rPr>
                <w:sz w:val="20"/>
                <w:szCs w:val="20"/>
                <w:color w:val="auto"/>
              </w:rPr>
            </w:pPr>
            <w:r>
              <w:rPr>
                <w:rFonts w:ascii="Arial" w:cs="Arial" w:eastAsia="Arial" w:hAnsi="Arial"/>
                <w:sz w:val="18"/>
                <w:szCs w:val="18"/>
                <w:color w:val="auto"/>
              </w:rPr>
              <w:t>September 9, 2010</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Settlement date:</w:t>
            </w:r>
          </w:p>
        </w:tc>
        <w:tc>
          <w:tcPr>
            <w:tcW w:w="7980" w:type="dxa"/>
            <w:vAlign w:val="bottom"/>
          </w:tcPr>
          <w:p>
            <w:pPr>
              <w:ind w:left="1960"/>
              <w:spacing w:after="0"/>
              <w:rPr>
                <w:sz w:val="20"/>
                <w:szCs w:val="20"/>
                <w:color w:val="auto"/>
              </w:rPr>
            </w:pPr>
            <w:r>
              <w:rPr>
                <w:rFonts w:ascii="Arial" w:cs="Arial" w:eastAsia="Arial" w:hAnsi="Arial"/>
                <w:sz w:val="18"/>
                <w:szCs w:val="18"/>
                <w:color w:val="auto"/>
              </w:rPr>
              <w:t>September 16, 2010</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Maturity:</w:t>
            </w:r>
          </w:p>
        </w:tc>
        <w:tc>
          <w:tcPr>
            <w:tcW w:w="7980" w:type="dxa"/>
            <w:vAlign w:val="bottom"/>
          </w:tcPr>
          <w:p>
            <w:pPr>
              <w:ind w:left="1960"/>
              <w:spacing w:after="0"/>
              <w:rPr>
                <w:sz w:val="20"/>
                <w:szCs w:val="20"/>
                <w:color w:val="auto"/>
              </w:rPr>
            </w:pPr>
            <w:r>
              <w:rPr>
                <w:rFonts w:ascii="Arial" w:cs="Arial" w:eastAsia="Arial" w:hAnsi="Arial"/>
                <w:sz w:val="18"/>
                <w:szCs w:val="18"/>
                <w:color w:val="auto"/>
              </w:rPr>
              <w:t>September 16, 2020</w:t>
            </w:r>
          </w:p>
        </w:tc>
      </w:tr>
      <w:tr>
        <w:trPr>
          <w:trHeight w:val="365"/>
        </w:trPr>
        <w:tc>
          <w:tcPr>
            <w:tcW w:w="3440" w:type="dxa"/>
            <w:vAlign w:val="bottom"/>
          </w:tcPr>
          <w:p>
            <w:pPr>
              <w:spacing w:after="0"/>
              <w:rPr>
                <w:sz w:val="20"/>
                <w:szCs w:val="20"/>
                <w:color w:val="auto"/>
              </w:rPr>
            </w:pPr>
            <w:r>
              <w:rPr>
                <w:rFonts w:ascii="Arial" w:cs="Arial" w:eastAsia="Arial" w:hAnsi="Arial"/>
                <w:sz w:val="18"/>
                <w:szCs w:val="18"/>
                <w:color w:val="auto"/>
              </w:rPr>
              <w:t>Coupon:</w:t>
            </w:r>
          </w:p>
        </w:tc>
        <w:tc>
          <w:tcPr>
            <w:tcW w:w="7980" w:type="dxa"/>
            <w:vAlign w:val="bottom"/>
          </w:tcPr>
          <w:p>
            <w:pPr>
              <w:ind w:left="1960"/>
              <w:spacing w:after="0"/>
              <w:rPr>
                <w:sz w:val="20"/>
                <w:szCs w:val="20"/>
                <w:color w:val="auto"/>
              </w:rPr>
            </w:pPr>
            <w:r>
              <w:rPr>
                <w:rFonts w:ascii="Arial" w:cs="Arial" w:eastAsia="Arial" w:hAnsi="Arial"/>
                <w:sz w:val="18"/>
                <w:szCs w:val="18"/>
                <w:color w:val="auto"/>
              </w:rPr>
              <w:t>5.375%</w:t>
            </w:r>
          </w:p>
        </w:tc>
      </w:tr>
      <w:tr>
        <w:trPr>
          <w:trHeight w:val="365"/>
        </w:trPr>
        <w:tc>
          <w:tcPr>
            <w:tcW w:w="3440" w:type="dxa"/>
            <w:vAlign w:val="bottom"/>
          </w:tcPr>
          <w:p>
            <w:pPr>
              <w:spacing w:after="0"/>
              <w:rPr>
                <w:sz w:val="20"/>
                <w:szCs w:val="20"/>
                <w:color w:val="auto"/>
              </w:rPr>
            </w:pPr>
            <w:r>
              <w:rPr>
                <w:rFonts w:ascii="Arial" w:cs="Arial" w:eastAsia="Arial" w:hAnsi="Arial"/>
                <w:sz w:val="18"/>
                <w:szCs w:val="18"/>
                <w:color w:val="auto"/>
              </w:rPr>
              <w:t>Price:</w:t>
            </w:r>
          </w:p>
        </w:tc>
        <w:tc>
          <w:tcPr>
            <w:tcW w:w="7980" w:type="dxa"/>
            <w:vAlign w:val="bottom"/>
          </w:tcPr>
          <w:p>
            <w:pPr>
              <w:ind w:left="1960"/>
              <w:spacing w:after="0"/>
              <w:rPr>
                <w:sz w:val="20"/>
                <w:szCs w:val="20"/>
                <w:color w:val="auto"/>
              </w:rPr>
            </w:pPr>
            <w:r>
              <w:rPr>
                <w:rFonts w:ascii="Arial" w:cs="Arial" w:eastAsia="Arial" w:hAnsi="Arial"/>
                <w:sz w:val="18"/>
                <w:szCs w:val="18"/>
                <w:color w:val="auto"/>
              </w:rPr>
              <w:t>99.763%</w:t>
            </w:r>
          </w:p>
        </w:tc>
      </w:tr>
      <w:tr>
        <w:trPr>
          <w:trHeight w:val="659"/>
        </w:trPr>
        <w:tc>
          <w:tcPr>
            <w:tcW w:w="344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The proceeds of the issuance will be used in financing BCP’s lending activities as well as other corporate uses of the Issuer.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 Quiñe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September 10, 2010</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12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2019-12-10T13:42:25Z</dcterms:created>
  <dcterms:modified xsi:type="dcterms:W3CDTF">2019-12-10T13:42:25Z</dcterms:modified>
</cp:coreProperties>
</file>