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228600</wp:posOffset>
            </wp:positionV>
            <wp:extent cx="726376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Report of Foreign Private Issuer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13a-16 or 15d-16 of the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December 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-286385</wp:posOffset>
            </wp:positionH>
            <wp:positionV relativeFrom="paragraph">
              <wp:posOffset>240665</wp:posOffset>
            </wp:positionV>
            <wp:extent cx="72637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CREDICORP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Clarendon House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Church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Hamilton HM 11 Bermuda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20-F x Form 40-F o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Yes o No 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-288290</wp:posOffset>
            </wp:positionH>
            <wp:positionV relativeFrom="paragraph">
              <wp:posOffset>424180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600"/>
          </w:cols>
          <w:pgMar w:left="700" w:top="472" w:right="599" w:bottom="1440" w:gutter="0" w:footer="0" w:header="0"/>
        </w:sectPr>
      </w:pPr>
    </w:p>
    <w:bookmarkStart w:id="1" w:name="page2"/>
    <w:bookmarkEnd w:id="1"/>
    <w:p>
      <w:pPr>
        <w:spacing w:after="0" w:line="26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5371465</wp:posOffset>
            </wp:positionH>
            <wp:positionV relativeFrom="page">
              <wp:posOffset>337820</wp:posOffset>
            </wp:positionV>
            <wp:extent cx="2032635" cy="60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63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1, 2011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SUPERINTENDENCIA DEL MERCADO DE VALORES - SMV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Re.: MATERIAL EVENT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Sirs: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 accordance with CONASEV Resolution for Material Events, Reserved Information and Other Communications N° 107-2002-EF/94.10, as modified by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CONASEV Resolution N° 009-2003-EF/94.10, Credicorp Ltd. complies with notifying you of the following Material Event: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Credicorp’s subsidiary Banco de Crédito del Perú has reached an agreement with the shareholders of Correval S.A. Sociedad Comisionista de Bolsa to acquire a 51% stake in the company. Correval is a brokerage company that operates in Colombia.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settlement of the transaction is subject to the approval from the authorities in Colombia and Peru, among other conditions precedent.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Mario Ferrari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Stock Market Representative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569595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1440" w:right="239" w:bottom="1440" w:gutter="0" w:footer="0" w:header="0"/>
        </w:sectPr>
      </w:pPr>
    </w:p>
    <w:bookmarkStart w:id="2" w:name="page3"/>
    <w:bookmarkEnd w:id="2"/>
    <w:p>
      <w:pPr>
        <w:jc w:val="center"/>
        <w:ind w:right="-6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firstLine="48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1, 2011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CREDICORP LTD.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Mario Ferrari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Mario Ferrari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Authorized Representative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415290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780"/>
      </w:cols>
      <w:pgMar w:left="240" w:top="513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2019-12-10T14:41:46Z</dcterms:created>
  <dcterms:modified xsi:type="dcterms:W3CDTF">2019-12-10T14:41:46Z</dcterms:modified>
</cp:coreProperties>
</file>