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 the month of October 2016</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180"/>
        <w:spacing w:after="0" w:line="207" w:lineRule="exact"/>
        <w:tabs>
          <w:tab w:leader="none" w:pos="61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313690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47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448945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October 26</w:t>
      </w:r>
      <w:r>
        <w:rPr>
          <w:rFonts w:ascii="Arial" w:cs="Arial" w:eastAsia="Arial" w:hAnsi="Arial"/>
          <w:sz w:val="30"/>
          <w:szCs w:val="30"/>
          <w:color w:val="auto"/>
          <w:vertAlign w:val="superscript"/>
        </w:rPr>
        <w:t>th</w:t>
      </w:r>
      <w:r>
        <w:rPr>
          <w:rFonts w:ascii="Arial" w:cs="Arial" w:eastAsia="Arial" w:hAnsi="Arial"/>
          <w:sz w:val="18"/>
          <w:szCs w:val="18"/>
          <w:color w:val="auto"/>
        </w:rPr>
        <w:t>, 2016</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SMV Resolution for Material Events and Reserved Information and Other Communications N° 005-2014-SMV-01, Credicorp Ltd.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complies with notifying you of the following Material Event.</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of the Company, in its meeting held today, Wednesday October 26</w:t>
      </w:r>
      <w:r>
        <w:rPr>
          <w:rFonts w:ascii="Arial" w:cs="Arial" w:eastAsia="Arial" w:hAnsi="Arial"/>
          <w:sz w:val="26"/>
          <w:szCs w:val="26"/>
          <w:color w:val="auto"/>
          <w:vertAlign w:val="superscript"/>
        </w:rPr>
        <w:t>th</w:t>
      </w:r>
      <w:r>
        <w:rPr>
          <w:rFonts w:ascii="Arial" w:cs="Arial" w:eastAsia="Arial" w:hAnsi="Arial"/>
          <w:sz w:val="16"/>
          <w:szCs w:val="16"/>
          <w:color w:val="auto"/>
        </w:rPr>
        <w:t>, 2016, has approved a new Dividend Policy for Credicorp Ltd.: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POLICY</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i w:val="1"/>
          <w:iCs w:val="1"/>
          <w:color w:val="auto"/>
        </w:rPr>
        <w:t>As its Dividend Policy, the Company intends to declare and pay dividends in cash of at least 25% of the Company’s consolidated net profits based on the last audited financial accounts.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Board of Directors shall take into consideration the following at the time of decision making to distribute dividends:</w:t>
      </w:r>
    </w:p>
    <w:p>
      <w:pPr>
        <w:spacing w:after="0" w:line="225" w:lineRule="exact"/>
        <w:rPr>
          <w:sz w:val="20"/>
          <w:szCs w:val="20"/>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There being dividends declared and received from the Company’s subsidiaries.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declaration and payment of dividends should not cause the Company to breach any applicable laws or adversely impact on the equity growth requirements of the Company or its subsidiaries.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Financial performance of the Company.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General business and economic-financial conditions affecting the Company.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Any other factors which the Board may deem relevant.</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i w:val="1"/>
          <w:iCs w:val="1"/>
          <w:color w:val="auto"/>
        </w:rPr>
        <w:t>Notwithstanding the foregoing, under Bermuda law, any dividend may only be declared and paid if the Company is able to (i) pay its liabilities as they become due and (ii) the realisable value of its assets is not less than the aggregate value of its liabilities, issued share capital and share premium accounts.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The Board of Directors may in its sole discretion declare and pay a dividend below 25%, if any of the above mentioned conditions are not met.</w:t>
      </w:r>
    </w:p>
    <w:p>
      <w:pPr>
        <w:spacing w:after="0" w:line="23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Subject to the foregoing, it is expected that dividend payment shall be made once a year within ninety calendar days of the meeting held by the Board to approve the dividend declaration.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 interim dividends shall be paid.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This policy shall be in force as from the financial year 2016 until amended or rescinded by the Board of Directors.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3"/>
          </w:tcPr>
          <w:p>
            <w:pPr>
              <w:spacing w:after="0"/>
              <w:rPr>
                <w:sz w:val="20"/>
                <w:szCs w:val="20"/>
                <w:color w:val="auto"/>
              </w:rPr>
            </w:pPr>
            <w:r>
              <w:rPr>
                <w:rFonts w:ascii="Arial" w:cs="Arial" w:eastAsia="Arial" w:hAnsi="Arial"/>
                <w:sz w:val="18"/>
                <w:szCs w:val="18"/>
                <w:color w:val="auto"/>
              </w:rPr>
              <w:t>/s/ Guillermo Morales_</w:t>
            </w:r>
          </w:p>
        </w:tc>
        <w:tc>
          <w:tcPr>
            <w:tcW w:w="6840" w:type="dxa"/>
            <w:vAlign w:val="bottom"/>
            <w:gridSpan w:val="3"/>
          </w:tcPr>
          <w:p>
            <w:pPr>
              <w:ind w:left="2860"/>
              <w:spacing w:after="0"/>
              <w:rPr>
                <w:sz w:val="20"/>
                <w:szCs w:val="20"/>
                <w:color w:val="auto"/>
              </w:rPr>
            </w:pPr>
            <w:r>
              <w:rPr>
                <w:rFonts w:ascii="Arial" w:cs="Arial" w:eastAsia="Arial" w:hAnsi="Arial"/>
                <w:sz w:val="18"/>
                <w:szCs w:val="18"/>
                <w:color w:val="auto"/>
              </w:rPr>
              <w:t>/s/ Miriam Böttger</w:t>
            </w:r>
          </w:p>
        </w:tc>
      </w:tr>
      <w:tr>
        <w:trPr>
          <w:trHeight w:val="20"/>
        </w:trPr>
        <w:tc>
          <w:tcPr>
            <w:tcW w:w="2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22"/>
        </w:trPr>
        <w:tc>
          <w:tcPr>
            <w:tcW w:w="4580" w:type="dxa"/>
            <w:vAlign w:val="bottom"/>
            <w:gridSpan w:val="3"/>
          </w:tcPr>
          <w:p>
            <w:pPr>
              <w:spacing w:after="0"/>
              <w:rPr>
                <w:sz w:val="20"/>
                <w:szCs w:val="20"/>
                <w:color w:val="auto"/>
              </w:rPr>
            </w:pPr>
            <w:r>
              <w:rPr>
                <w:rFonts w:ascii="Arial" w:cs="Arial" w:eastAsia="Arial" w:hAnsi="Arial"/>
                <w:sz w:val="18"/>
                <w:szCs w:val="18"/>
                <w:color w:val="auto"/>
              </w:rPr>
              <w:t>Legal Representative</w:t>
            </w:r>
          </w:p>
        </w:tc>
        <w:tc>
          <w:tcPr>
            <w:tcW w:w="6840" w:type="dxa"/>
            <w:vAlign w:val="bottom"/>
            <w:gridSpan w:val="3"/>
          </w:tcPr>
          <w:p>
            <w:pPr>
              <w:ind w:left="2860"/>
              <w:spacing w:after="0"/>
              <w:rPr>
                <w:sz w:val="20"/>
                <w:szCs w:val="20"/>
                <w:color w:val="auto"/>
              </w:rPr>
            </w:pPr>
            <w:r>
              <w:rPr>
                <w:rFonts w:ascii="Arial" w:cs="Arial" w:eastAsia="Arial" w:hAnsi="Arial"/>
                <w:sz w:val="18"/>
                <w:szCs w:val="18"/>
                <w:color w:val="auto"/>
              </w:rPr>
              <w:t>Stock Market Representative</w:t>
            </w:r>
          </w:p>
        </w:tc>
      </w:tr>
      <w:tr>
        <w:trPr>
          <w:trHeight w:val="230"/>
        </w:trPr>
        <w:tc>
          <w:tcPr>
            <w:tcW w:w="4580" w:type="dxa"/>
            <w:vAlign w:val="bottom"/>
            <w:gridSpan w:val="3"/>
          </w:tcPr>
          <w:p>
            <w:pPr>
              <w:spacing w:after="0"/>
              <w:rPr>
                <w:sz w:val="20"/>
                <w:szCs w:val="20"/>
                <w:color w:val="auto"/>
              </w:rPr>
            </w:pPr>
            <w:r>
              <w:rPr>
                <w:rFonts w:ascii="Arial" w:cs="Arial" w:eastAsia="Arial" w:hAnsi="Arial"/>
                <w:sz w:val="18"/>
                <w:szCs w:val="18"/>
                <w:color w:val="auto"/>
              </w:rPr>
              <w:t>Credicorp Ltd.</w:t>
            </w:r>
          </w:p>
        </w:tc>
        <w:tc>
          <w:tcPr>
            <w:tcW w:w="6840" w:type="dxa"/>
            <w:vAlign w:val="bottom"/>
            <w:gridSpan w:val="3"/>
          </w:tcPr>
          <w:p>
            <w:pPr>
              <w:ind w:left="2860"/>
              <w:spacing w:after="0"/>
              <w:rPr>
                <w:sz w:val="20"/>
                <w:szCs w:val="20"/>
                <w:color w:val="auto"/>
              </w:rPr>
            </w:pPr>
            <w:r>
              <w:rPr>
                <w:rFonts w:ascii="Arial" w:cs="Arial" w:eastAsia="Arial" w:hAnsi="Arial"/>
                <w:sz w:val="18"/>
                <w:szCs w:val="18"/>
                <w:color w:val="auto"/>
              </w:rPr>
              <w:t>Credicorp Ltd.</w:t>
            </w:r>
          </w:p>
        </w:tc>
      </w:tr>
      <w:tr>
        <w:trPr>
          <w:trHeight w:val="459"/>
        </w:trPr>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00"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390"/>
        </w:trPr>
        <w:tc>
          <w:tcPr>
            <w:tcW w:w="20" w:type="dxa"/>
            <w:vAlign w:val="bottom"/>
          </w:tcPr>
          <w:p>
            <w:pPr>
              <w:spacing w:after="0"/>
              <w:rPr>
                <w:sz w:val="24"/>
                <w:szCs w:val="24"/>
                <w:color w:val="auto"/>
              </w:rPr>
            </w:pPr>
          </w:p>
        </w:tc>
        <w:tc>
          <w:tcPr>
            <w:tcW w:w="7420" w:type="dxa"/>
            <w:vAlign w:val="bottom"/>
            <w:gridSpan w:val="2"/>
          </w:tcPr>
          <w:p>
            <w:pPr>
              <w:ind w:left="520"/>
              <w:spacing w:after="0"/>
              <w:rPr>
                <w:sz w:val="20"/>
                <w:szCs w:val="20"/>
                <w:color w:val="auto"/>
              </w:rPr>
            </w:pPr>
            <w:r>
              <w:rPr>
                <w:rFonts w:ascii="Arial" w:cs="Arial" w:eastAsia="Arial" w:hAnsi="Arial"/>
                <w:sz w:val="18"/>
                <w:szCs w:val="18"/>
                <w:color w:val="auto"/>
              </w:rPr>
              <w:t>Date: October 26</w:t>
            </w:r>
            <w:r>
              <w:rPr>
                <w:rFonts w:ascii="Arial" w:cs="Arial" w:eastAsia="Arial" w:hAnsi="Arial"/>
                <w:sz w:val="30"/>
                <w:szCs w:val="30"/>
                <w:color w:val="auto"/>
                <w:vertAlign w:val="superscript"/>
              </w:rPr>
              <w:t>th</w:t>
            </w:r>
            <w:r>
              <w:rPr>
                <w:rFonts w:ascii="Arial" w:cs="Arial" w:eastAsia="Arial" w:hAnsi="Arial"/>
                <w:sz w:val="18"/>
                <w:szCs w:val="18"/>
                <w:color w:val="auto"/>
              </w:rPr>
              <w:t>, 2016</w:t>
            </w:r>
          </w:p>
        </w:tc>
        <w:tc>
          <w:tcPr>
            <w:tcW w:w="3980" w:type="dxa"/>
            <w:vAlign w:val="bottom"/>
          </w:tcPr>
          <w:p>
            <w:pPr>
              <w:spacing w:after="0"/>
              <w:rPr>
                <w:sz w:val="24"/>
                <w:szCs w:val="24"/>
                <w:color w:val="auto"/>
              </w:rPr>
            </w:pPr>
          </w:p>
        </w:tc>
      </w:tr>
      <w:tr>
        <w:trPr>
          <w:trHeight w:val="295"/>
        </w:trPr>
        <w:tc>
          <w:tcPr>
            <w:tcW w:w="20" w:type="dxa"/>
            <w:vAlign w:val="bottom"/>
          </w:tcPr>
          <w:p>
            <w:pPr>
              <w:spacing w:after="0"/>
              <w:rPr>
                <w:sz w:val="24"/>
                <w:szCs w:val="24"/>
                <w:color w:val="auto"/>
              </w:rPr>
            </w:pPr>
          </w:p>
        </w:tc>
        <w:tc>
          <w:tcPr>
            <w:tcW w:w="7420" w:type="dxa"/>
            <w:vAlign w:val="bottom"/>
            <w:gridSpan w:val="2"/>
          </w:tcPr>
          <w:p>
            <w:pPr>
              <w:ind w:left="40"/>
              <w:spacing w:after="0"/>
              <w:rPr>
                <w:sz w:val="20"/>
                <w:szCs w:val="20"/>
                <w:color w:val="auto"/>
              </w:rPr>
            </w:pPr>
            <w:r>
              <w:rPr>
                <w:rFonts w:ascii="Arial" w:cs="Arial" w:eastAsia="Arial" w:hAnsi="Arial"/>
                <w:sz w:val="18"/>
                <w:szCs w:val="18"/>
                <w:color w:val="auto"/>
              </w:rPr>
              <w:t>CREDICORP LTD.</w:t>
            </w:r>
          </w:p>
        </w:tc>
        <w:tc>
          <w:tcPr>
            <w:tcW w:w="398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7420" w:type="dxa"/>
            <w:vAlign w:val="bottom"/>
            <w:gridSpan w:val="2"/>
          </w:tcPr>
          <w:p>
            <w:pPr>
              <w:ind w:left="40"/>
              <w:spacing w:after="0"/>
              <w:rPr>
                <w:sz w:val="20"/>
                <w:szCs w:val="20"/>
                <w:color w:val="auto"/>
              </w:rPr>
            </w:pPr>
            <w:r>
              <w:rPr>
                <w:rFonts w:ascii="Arial" w:cs="Arial" w:eastAsia="Arial" w:hAnsi="Arial"/>
                <w:sz w:val="18"/>
                <w:szCs w:val="18"/>
                <w:color w:val="auto"/>
              </w:rPr>
              <w:t>(Registrant)</w:t>
            </w:r>
          </w:p>
        </w:tc>
        <w:tc>
          <w:tcPr>
            <w:tcW w:w="3980" w:type="dxa"/>
            <w:vAlign w:val="bottom"/>
          </w:tcPr>
          <w:p>
            <w:pPr>
              <w:spacing w:after="0"/>
              <w:rPr>
                <w:sz w:val="20"/>
                <w:szCs w:val="20"/>
                <w:color w:val="auto"/>
              </w:rPr>
            </w:pPr>
          </w:p>
        </w:tc>
      </w:tr>
      <w:tr>
        <w:trPr>
          <w:trHeight w:val="432"/>
        </w:trPr>
        <w:tc>
          <w:tcPr>
            <w:tcW w:w="7440" w:type="dxa"/>
            <w:vAlign w:val="bottom"/>
            <w:gridSpan w:val="3"/>
          </w:tcPr>
          <w:p>
            <w:pPr>
              <w:spacing w:after="0"/>
              <w:rPr>
                <w:sz w:val="20"/>
                <w:szCs w:val="20"/>
                <w:color w:val="auto"/>
              </w:rPr>
            </w:pPr>
            <w:r>
              <w:rPr>
                <w:rFonts w:ascii="Arial" w:cs="Arial" w:eastAsia="Arial" w:hAnsi="Arial"/>
                <w:sz w:val="18"/>
                <w:szCs w:val="18"/>
                <w:color w:val="auto"/>
              </w:rPr>
              <w:t>By: /s/ Guillermo Morales</w:t>
            </w:r>
          </w:p>
        </w:tc>
        <w:tc>
          <w:tcPr>
            <w:tcW w:w="3980" w:type="dxa"/>
            <w:vAlign w:val="bottom"/>
          </w:tcPr>
          <w:p>
            <w:pPr>
              <w:spacing w:after="0"/>
              <w:rPr>
                <w:sz w:val="20"/>
                <w:szCs w:val="20"/>
                <w:color w:val="auto"/>
              </w:rPr>
            </w:pPr>
            <w:r>
              <w:rPr>
                <w:rFonts w:ascii="Arial" w:cs="Arial" w:eastAsia="Arial" w:hAnsi="Arial"/>
                <w:sz w:val="18"/>
                <w:szCs w:val="18"/>
                <w:color w:val="auto"/>
              </w:rPr>
              <w:t>By: /s/ Miriam Böttger</w:t>
            </w:r>
          </w:p>
        </w:tc>
      </w:tr>
      <w:tr>
        <w:trPr>
          <w:trHeight w:val="191"/>
        </w:trPr>
        <w:tc>
          <w:tcPr>
            <w:tcW w:w="20" w:type="dxa"/>
            <w:vAlign w:val="bottom"/>
          </w:tcPr>
          <w:p>
            <w:pPr>
              <w:spacing w:after="0"/>
              <w:rPr>
                <w:sz w:val="16"/>
                <w:szCs w:val="16"/>
                <w:color w:val="auto"/>
              </w:rPr>
            </w:pPr>
          </w:p>
        </w:tc>
        <w:tc>
          <w:tcPr>
            <w:tcW w:w="39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Guillermo Morales</w:t>
            </w:r>
          </w:p>
        </w:tc>
        <w:tc>
          <w:tcPr>
            <w:tcW w:w="3440" w:type="dxa"/>
            <w:vAlign w:val="bottom"/>
          </w:tcPr>
          <w:p>
            <w:pPr>
              <w:spacing w:after="0"/>
              <w:rPr>
                <w:sz w:val="16"/>
                <w:szCs w:val="16"/>
                <w:color w:val="auto"/>
              </w:rPr>
            </w:pPr>
          </w:p>
        </w:tc>
        <w:tc>
          <w:tcPr>
            <w:tcW w:w="39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Miriam Böttger</w:t>
            </w:r>
          </w:p>
        </w:tc>
      </w:tr>
      <w:tr>
        <w:trPr>
          <w:trHeight w:val="234"/>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Authorized Representative</w:t>
            </w:r>
          </w:p>
        </w:tc>
        <w:tc>
          <w:tcPr>
            <w:tcW w:w="3980" w:type="dxa"/>
            <w:vAlign w:val="bottom"/>
          </w:tcPr>
          <w:p>
            <w:pPr>
              <w:spacing w:after="0"/>
              <w:rPr>
                <w:sz w:val="20"/>
                <w:szCs w:val="20"/>
                <w:color w:val="auto"/>
              </w:rPr>
            </w:pPr>
            <w:r>
              <w:rPr>
                <w:rFonts w:ascii="Arial" w:cs="Arial" w:eastAsia="Arial" w:hAnsi="Arial"/>
                <w:sz w:val="18"/>
                <w:szCs w:val="18"/>
                <w:b w:val="1"/>
                <w:bCs w:val="1"/>
                <w:color w:val="auto"/>
              </w:rPr>
              <w:t>Authorized Representative</w:t>
            </w:r>
          </w:p>
        </w:tc>
      </w:tr>
      <w:tr>
        <w:trPr>
          <w:trHeight w:val="675"/>
        </w:trPr>
        <w:tc>
          <w:tcPr>
            <w:tcW w:w="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6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2019-12-06T08:55:01Z</dcterms:created>
  <dcterms:modified xsi:type="dcterms:W3CDTF">2019-12-06T08:55:01Z</dcterms:modified>
</cp:coreProperties>
</file>