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March 2018</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16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476885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78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 complies with notifying you of the following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Credicorp’s Annual General Meeting of Shareholders, in its session held on March 28, 2018:</w:t>
      </w:r>
    </w:p>
    <w:p>
      <w:pPr>
        <w:spacing w:after="0" w:line="225" w:lineRule="exact"/>
        <w:rPr>
          <w:sz w:val="20"/>
          <w:szCs w:val="20"/>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audited consolidated financial statements of the Company and its subsidiaries, for the financial year ended December 31, 2017, including the report of the independent external auditors Gaveglio, Aparicio y Asociados Sociedad de Responsabilidad Limitada, members of PricewaterhouseCoopers in Perú.</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Appointed Gaveglio, Aparicio y Asociados Sociedad de Responsabilidad Limitada, members of PricewaterhouseCoopers in Perú, as the independent external auditors of the Company for the fiscal year 2018, and delegated the approval of such auditor’s fees to its Audit Committee.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28, 2018</w:t>
      </w:r>
    </w:p>
    <w:p>
      <w:pPr>
        <w:spacing w:after="0" w:line="22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Miriam Böttger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2019-12-06T06:43:46Z</dcterms:created>
  <dcterms:modified xsi:type="dcterms:W3CDTF">2019-12-06T06:43:46Z</dcterms:modified>
</cp:coreProperties>
</file>