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June 2021</w:t>
      </w: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380"/>
        <w:spacing w:after="0" w:line="207" w:lineRule="exact"/>
        <w:tabs>
          <w:tab w:leader="none" w:pos="58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29" w:right="1440" w:bottom="1440" w:gutter="0" w:footer="0" w:header="0"/>
        </w:sectPr>
      </w:pPr>
    </w:p>
    <w:bookmarkStart w:id="1" w:name="page2"/>
    <w:bookmarkEnd w:id="1"/>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143125" cy="282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825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23,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Credicorp Ltd. (Credicorp) hereby notifies you, as a Material Event, that its Board of Directors, in its session held on June 23, 2021, has resolved,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as of January 1, 2022</w:t>
      </w:r>
      <w:r>
        <w:rPr>
          <w:rFonts w:ascii="Arial" w:cs="Arial" w:eastAsia="Arial" w:hAnsi="Arial"/>
          <w:sz w:val="18"/>
          <w:szCs w:val="18"/>
          <w:color w:val="auto"/>
        </w:rPr>
        <w:t>:</w:t>
      </w:r>
    </w:p>
    <w:p>
      <w:pPr>
        <w:spacing w:after="0" w:line="170" w:lineRule="exact"/>
        <w:rPr>
          <w:sz w:val="20"/>
          <w:szCs w:val="20"/>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accept the resignation of its CEO, Mr. Walter Bayly, and appoint Mr. Gianfranco Ferrari as new CEO of Credicorp. Mr. Ferrari is currently a Deputy CEO of Credicorp and Head of Universal Banking, as well as CEO of Banco de Credito del Perú (BCP).</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accept the resignation of Mr. Álvaro Correa, Deputy CEO of Credicorp and Head of Insurance and Pensions.</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Mr. Diego Cavero as Head of Universal Banking, the main Line of Business at Credicorp. Mr. Cavero will succeed Mr. Ferrari as CEO of BCP.</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Mr. Alejandro Pérez-Reyes as COO of Credicorp, reporting to the CEO of Credicorp.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roles of Deputy CEO currently held by Mr. Ferrari and Mr. Correa will not be replaced.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June 23, 2021</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1979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2021-06-23T15:03:39Z</dcterms:created>
  <dcterms:modified xsi:type="dcterms:W3CDTF">2021-06-23T15:03:39Z</dcterms:modified>
</cp:coreProperties>
</file>