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8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20-F</w:t>
      </w:r>
    </w:p>
    <w:p>
      <w:pPr>
        <w:spacing w:after="0" w:line="288" w:lineRule="exact"/>
        <w:rPr>
          <w:sz w:val="24"/>
          <w:szCs w:val="24"/>
          <w:color w:val="auto"/>
        </w:rPr>
      </w:pPr>
    </w:p>
    <w:p>
      <w:pPr>
        <w:ind w:left="1500" w:hanging="344"/>
        <w:spacing w:after="0"/>
        <w:tabs>
          <w:tab w:leader="none" w:pos="1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PURSUANT TO SECTION 12(b) OR (g) OF THE SECURITIES EXCHANGE ACT OF 1934</w:t>
      </w:r>
    </w:p>
    <w:p>
      <w:pPr>
        <w:spacing w:after="0" w:line="318"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4260" w:right="1580" w:hanging="3104"/>
        <w:spacing w:after="0" w:line="579" w:lineRule="auto"/>
        <w:tabs>
          <w:tab w:leader="none" w:pos="1497"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2006</w:t>
      </w:r>
    </w:p>
    <w:p>
      <w:pPr>
        <w:ind w:left="57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79" w:lineRule="exact"/>
        <w:rPr>
          <w:sz w:val="24"/>
          <w:szCs w:val="24"/>
          <w:color w:val="auto"/>
        </w:rPr>
      </w:pPr>
    </w:p>
    <w:p>
      <w:pPr>
        <w:jc w:val="center"/>
        <w:ind w:left="5760" w:right="1280" w:hanging="4604"/>
        <w:spacing w:after="0" w:line="579" w:lineRule="auto"/>
        <w:tabs>
          <w:tab w:leader="none" w:pos="1502"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OR</w:t>
      </w:r>
    </w:p>
    <w:p>
      <w:pPr>
        <w:ind w:left="3280" w:right="840" w:hanging="2124"/>
        <w:spacing w:after="0" w:line="579" w:lineRule="auto"/>
        <w:tabs>
          <w:tab w:leader="none" w:pos="148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SHELL COMPANY REPORT PURSUANT TO SECTION 13 OR 15 (d) OF THE SECURITIES EXCHANGE ACT OF 1934 Date of event requiring this shell company report ______________</w:t>
      </w:r>
    </w:p>
    <w:p>
      <w:pPr>
        <w:ind w:left="3420"/>
        <w:spacing w:after="0"/>
        <w:rPr>
          <w:rFonts w:ascii="Arial" w:cs="Arial" w:eastAsia="Arial" w:hAnsi="Arial"/>
          <w:sz w:val="18"/>
          <w:szCs w:val="18"/>
          <w:color w:val="auto"/>
        </w:rPr>
      </w:pPr>
      <w:r>
        <w:rPr>
          <w:rFonts w:ascii="Arial" w:cs="Arial" w:eastAsia="Arial" w:hAnsi="Arial"/>
          <w:sz w:val="18"/>
          <w:szCs w:val="18"/>
          <w:color w:val="auto"/>
        </w:rPr>
        <w:t>For the transition period from ____________ to ____________</w:t>
      </w:r>
    </w:p>
    <w:p>
      <w:pPr>
        <w:spacing w:after="0" w:line="279"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color w:val="auto"/>
        </w:rPr>
        <w:t>Commission file number 1-14014</w:t>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BERMUDA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(Jurisdiction of incorporation or organization)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243840</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w w:val="91"/>
              </w:rPr>
              <w:t>Securities registered or to be registered pursuant to Section 12(b) of the Act.</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46"/>
        </w:trPr>
        <w:tc>
          <w:tcPr>
            <w:tcW w:w="1520" w:type="dxa"/>
            <w:vAlign w:val="bottom"/>
          </w:tcPr>
          <w:p>
            <w:pPr>
              <w:spacing w:after="0"/>
              <w:rPr>
                <w:sz w:val="24"/>
                <w:szCs w:val="24"/>
                <w:color w:val="auto"/>
              </w:rPr>
            </w:pPr>
          </w:p>
        </w:tc>
        <w:tc>
          <w:tcPr>
            <w:tcW w:w="4520" w:type="dxa"/>
            <w:vAlign w:val="bottom"/>
            <w:gridSpan w:val="2"/>
          </w:tcPr>
          <w:p>
            <w:pPr>
              <w:jc w:val="center"/>
              <w:ind w:right="3070"/>
              <w:spacing w:after="0"/>
              <w:rPr>
                <w:sz w:val="20"/>
                <w:szCs w:val="20"/>
                <w:color w:val="auto"/>
              </w:rPr>
            </w:pPr>
            <w:r>
              <w:rPr>
                <w:rFonts w:ascii="Arial" w:cs="Arial" w:eastAsia="Arial" w:hAnsi="Arial"/>
                <w:sz w:val="18"/>
                <w:szCs w:val="18"/>
                <w:b w:val="1"/>
                <w:bCs w:val="1"/>
                <w:color w:val="auto"/>
                <w:w w:val="87"/>
              </w:rPr>
              <w:t>Title of each class</w:t>
            </w:r>
          </w:p>
        </w:tc>
        <w:tc>
          <w:tcPr>
            <w:tcW w:w="3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6040" w:type="dxa"/>
            <w:vAlign w:val="bottom"/>
            <w:gridSpan w:val="3"/>
          </w:tcPr>
          <w:p>
            <w:pPr>
              <w:jc w:val="center"/>
              <w:ind w:right="149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20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472"/>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w w:val="91"/>
              </w:rPr>
              <w:t>Securities registered or to be registered pursuant to Section 12(g) of the Act.</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60" w:type="dxa"/>
            <w:vAlign w:val="bottom"/>
          </w:tcPr>
          <w:p>
            <w:pPr>
              <w:ind w:left="19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261" w:lineRule="exact"/>
        <w:rPr>
          <w:sz w:val="24"/>
          <w:szCs w:val="24"/>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20"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7"/>
              </w:rPr>
              <w:t>Common Shares, par value $5.00 per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94,382,317</w:t>
            </w: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Yes x No o</w:t>
      </w:r>
    </w:p>
    <w:p>
      <w:pPr>
        <w:spacing w:after="0" w:line="275"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Yes o No x</w:t>
      </w:r>
    </w:p>
    <w:p>
      <w:pPr>
        <w:sectPr>
          <w:pgSz w:w="11900" w:h="16838" w:orient="portrait"/>
          <w:cols w:equalWidth="0" w:num="1">
            <w:col w:w="11300"/>
          </w:cols>
          <w:pgMar w:left="240" w:top="585" w:right="359" w:bottom="86" w:gutter="0" w:footer="0" w:header="0"/>
        </w:sectPr>
      </w:pPr>
    </w:p>
    <w:bookmarkStart w:id="1" w:name="page2"/>
    <w:bookmarkEnd w:id="1"/>
    <w:p>
      <w:pPr>
        <w:ind w:firstLine="648"/>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Yes x No o</w:t>
      </w:r>
    </w:p>
    <w:p>
      <w:pPr>
        <w:spacing w:after="0" w:line="27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20" w:lineRule="exact"/>
        <w:rPr>
          <w:sz w:val="20"/>
          <w:szCs w:val="20"/>
          <w:color w:val="auto"/>
        </w:rPr>
      </w:pPr>
    </w:p>
    <w:p>
      <w:pPr>
        <w:ind w:left="2500"/>
        <w:spacing w:after="0"/>
        <w:tabs>
          <w:tab w:leader="none" w:pos="4260" w:val="left"/>
          <w:tab w:leader="none" w:pos="5020" w:val="left"/>
          <w:tab w:leader="none" w:pos="6400" w:val="left"/>
          <w:tab w:leader="none" w:pos="7160" w:val="left"/>
        </w:tabs>
        <w:rPr>
          <w:sz w:val="20"/>
          <w:szCs w:val="20"/>
          <w:color w:val="auto"/>
        </w:rPr>
      </w:pPr>
      <w:r>
        <w:rPr>
          <w:rFonts w:ascii="Arial" w:cs="Arial" w:eastAsia="Arial" w:hAnsi="Arial"/>
          <w:sz w:val="18"/>
          <w:szCs w:val="18"/>
          <w:color w:val="auto"/>
        </w:rPr>
        <w:t>Large accelerated filer</w:t>
        <w:tab/>
        <w:t>x</w:t>
      </w:r>
      <w:r>
        <w:rPr>
          <w:sz w:val="20"/>
          <w:szCs w:val="20"/>
          <w:color w:val="auto"/>
        </w:rPr>
        <w:tab/>
      </w:r>
      <w:r>
        <w:rPr>
          <w:rFonts w:ascii="Arial" w:cs="Arial" w:eastAsia="Arial" w:hAnsi="Arial"/>
          <w:sz w:val="18"/>
          <w:szCs w:val="18"/>
          <w:color w:val="auto"/>
        </w:rPr>
        <w:t>Accelerated filer</w:t>
        <w:tab/>
        <w:t>o</w:t>
      </w:r>
      <w:r>
        <w:rPr>
          <w:sz w:val="20"/>
          <w:szCs w:val="20"/>
          <w:color w:val="auto"/>
        </w:rPr>
        <w:tab/>
      </w:r>
      <w:r>
        <w:rPr>
          <w:rFonts w:ascii="Arial" w:cs="Arial" w:eastAsia="Arial" w:hAnsi="Arial"/>
          <w:sz w:val="17"/>
          <w:szCs w:val="17"/>
          <w:color w:val="auto"/>
        </w:rPr>
        <w:t>Non-accelerated filer  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Item 17 o Item 18 x</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this is an annual report, indicate by check mark whether the registrant is a shell company (as defined in Rule 12b-2 of the Exchange Act).</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TABLE OF CONTENTS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6.</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8.</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10.</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12.</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14.</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20" w:type="dxa"/>
            <w:vAlign w:val="bottom"/>
            <w:gridSpan w:val="2"/>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CREDICORP CONSOLIDATED 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F-1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160" w:type="dxa"/>
            <w:vAlign w:val="bottom"/>
          </w:tcPr>
          <w:p>
            <w:pPr>
              <w:ind w:left="4400"/>
              <w:spacing w:after="0"/>
              <w:rPr>
                <w:sz w:val="20"/>
                <w:szCs w:val="20"/>
                <w:color w:val="auto"/>
              </w:rPr>
            </w:pPr>
            <w:r>
              <w:rPr>
                <w:rFonts w:ascii="Arial" w:cs="Arial" w:eastAsia="Arial" w:hAnsi="Arial"/>
                <w:sz w:val="18"/>
                <w:szCs w:val="18"/>
                <w:color w:val="auto"/>
              </w:rPr>
              <w:t>i</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9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ind w:left="398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(the “Annual Report”) to “$,” “US$,” “Dollars” and “U.S. Dollars” are to United States dollars, references to “S/.,” “Nuevo Sol” or “Nuevos Soles” are to Peruvian Nuevos Soles and references to “foreign currency” are to U.S. Dollars. Each Nuevo Sol is divided into 100 céntimos (cents).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29, as restated, to Credicorp’s consolidated financial statements for the years ended December 31, 2004, 2005 and 2006 (the “Credicorp Consolidated Financial Statements”) included elsewhere herein.</w:t>
      </w:r>
    </w:p>
    <w:p>
      <w:pPr>
        <w:spacing w:after="0" w:line="2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Grupo Crédito S.A (together with its consolidated subsidiaries, “Grupo Crédito”). BCP’s activities include commercial banking, investment banking and retail banking. As of and for the year ended December 31, 2006, BCP, accounted for 69.7% of Credicorp’s total revenues, 82.2% of total assets, 88.3% of net income and 71.6% of shareholders’ equity. Unless otherwise specified, the individual financial information for BCP, ASHC, PPS and Grupo Crédito included herein has been derived from the audited consolidated financial statements of each such entity. See “Item 3. Key Information—(A) Selected Financial Data” and “Item 4. Information on the Company—(A) History and Development of the Company.”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Credicorp’s performance. Such information was obtained mainly from Credicorp’s consolidated financial statements as of December 31, 2002, 2003, 2004, 2005 and 2006.</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3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Certain of Credicorp’s subsidiaries maintain their operations and balances in Nuevo Soles. As a result, this Annual Report contains certain Nuevo Sol amounts translated into U.S. Dollars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such U.S. Dollar amounts have been translated from Nuevos Soles at an exchange rate of S/.3.196= US$1.00, the December 31, 2006 exchange rate set by the Peruvian Superintendencia de Banca, Seguros y AFP (the Superintendency of Banks, Insurance and Pension Funds, or “SBS”). The average of the bid and offered free market exchange rates published by SBS for June 8, 2006 was S/.3.175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See also “Item 3. Key Information—</w:t>
      </w:r>
    </w:p>
    <w:p>
      <w:pPr>
        <w:spacing w:after="0" w:line="7" w:lineRule="exact"/>
        <w:rPr>
          <w:sz w:val="20"/>
          <w:szCs w:val="20"/>
          <w:color w:val="auto"/>
        </w:rPr>
      </w:pPr>
    </w:p>
    <w:p>
      <w:pPr>
        <w:ind w:right="20" w:firstLine="8"/>
        <w:spacing w:after="0" w:line="261"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2400"/>
        <w:spacing w:after="0"/>
        <w:rPr>
          <w:sz w:val="20"/>
          <w:szCs w:val="20"/>
          <w:color w:val="auto"/>
        </w:rPr>
      </w:pPr>
      <w:r>
        <w:rPr>
          <w:rFonts w:ascii="Arial" w:cs="Arial" w:eastAsia="Arial" w:hAnsi="Arial"/>
          <w:sz w:val="18"/>
          <w:szCs w:val="18"/>
          <w:b w:val="1"/>
          <w:bCs w:val="1"/>
          <w:color w:val="auto"/>
        </w:rPr>
        <w:t>CAUTIONARY STATEMENT WITH RESPECT TO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4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3. Key Information—(D) Risk Factors,” and “Item 5. Operating and Financial Review and Prospects.”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summary consolidated financial data as of, and for the years ended, December 31, 2002 are derived from the Credicorp Consolidated Financial Statements audited by Dongo-Soria Gaveglio y Asociados, a member firm of PricewaterhouseCoopers, independent auditors. The summary consolidated financial data as of, and for the years ended, December 31, 2003, 2004, 2005 and 2006 are derived from the Credicorp Consolidated Financial Statements audited by Medina, Zaldívar, Paredes &amp; Asociados, member of Ernst &amp; Young Global, independent registered public accountants.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on the Credicorp Consolidated Financial Statements as of December 31, 2005 and 2006 and for the years ended December 31, 2004, 2005 and 2006 appears elsewhere in this Annual Report.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summary consolidated financial information presented below and the Credicorp Consolidated Financial Statements are prepared and presented in accordance with IFRS, which differ in certain respects from U.S. GAAP. See Note 29, as restated,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540" w:type="dxa"/>
            <w:vAlign w:val="bottom"/>
            <w:gridSpan w:val="5"/>
          </w:tcPr>
          <w:p>
            <w:pPr>
              <w:ind w:left="4440"/>
              <w:spacing w:after="0"/>
              <w:rPr>
                <w:sz w:val="20"/>
                <w:szCs w:val="20"/>
                <w:color w:val="auto"/>
              </w:rPr>
            </w:pPr>
            <w:r>
              <w:rPr>
                <w:rFonts w:ascii="Arial" w:cs="Arial" w:eastAsia="Arial" w:hAnsi="Arial"/>
                <w:sz w:val="18"/>
                <w:szCs w:val="18"/>
                <w:b w:val="1"/>
                <w:bCs w:val="1"/>
                <w:color w:val="auto"/>
              </w:rPr>
              <w:t>SELECTED FINANCIAL DATA</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9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2002</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INCOME STATEMENT DATA:</w:t>
            </w:r>
          </w:p>
        </w:tc>
        <w:tc>
          <w:tcPr>
            <w:tcW w:w="6480" w:type="dxa"/>
            <w:vAlign w:val="bottom"/>
            <w:gridSpan w:val="10"/>
          </w:tcPr>
          <w:p>
            <w:pPr>
              <w:jc w:val="center"/>
              <w:spacing w:after="0"/>
              <w:rPr>
                <w:sz w:val="20"/>
                <w:szCs w:val="20"/>
                <w:color w:val="auto"/>
              </w:rPr>
            </w:pPr>
            <w:r>
              <w:rPr>
                <w:rFonts w:ascii="Arial" w:cs="Arial" w:eastAsia="Arial" w:hAnsi="Arial"/>
                <w:sz w:val="18"/>
                <w:szCs w:val="18"/>
                <w:i w:val="1"/>
                <w:iCs w:val="1"/>
                <w:color w:val="auto"/>
                <w:w w:val="89"/>
              </w:rPr>
              <w:t>(U.S. Dollars in thousands, except percentages, ratios, and per common share data)</w:t>
            </w:r>
          </w:p>
        </w:tc>
        <w:tc>
          <w:tcPr>
            <w:tcW w:w="0" w:type="dxa"/>
            <w:vAlign w:val="bottom"/>
          </w:tcPr>
          <w:p>
            <w:pPr>
              <w:spacing w:after="0"/>
              <w:rPr>
                <w:sz w:val="1"/>
                <w:szCs w:val="1"/>
                <w:color w:val="auto"/>
              </w:rPr>
            </w:pPr>
          </w:p>
        </w:tc>
      </w:tr>
      <w:tr>
        <w:trPr>
          <w:trHeight w:val="198"/>
        </w:trPr>
        <w:tc>
          <w:tcPr>
            <w:tcW w:w="494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US$531,874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US$548,285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US$542,842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US$612,432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US$782,002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(178,070)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(163,580)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(160,298)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(173,159)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(283,478)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353,804</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384,705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382,544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439,273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498,524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Provision for loan losses (1)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(99,596)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(66,421)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254,208</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318,284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366,413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445,629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502,767</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177,305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189,472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201,474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206,163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243,778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gains (losses) from sales of securities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3,235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10,135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22,582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23,681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29,286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41,638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125,218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125,115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192,672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218,955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251,261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11,651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23,227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8,105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21,571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Claims on insurance activities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(97,901)</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(99,774)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(154,325)</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(175,500)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(186,522)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(404,186)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(430,373)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(459,928)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(477,073)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(18,587)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Income before translation result and income tax</w:t>
            </w:r>
          </w:p>
        </w:tc>
        <w:tc>
          <w:tcPr>
            <w:tcW w:w="1140" w:type="dxa"/>
            <w:vAlign w:val="bottom"/>
          </w:tcPr>
          <w:p>
            <w:pPr>
              <w:jc w:val="right"/>
              <w:spacing w:after="0"/>
              <w:rPr>
                <w:sz w:val="20"/>
                <w:szCs w:val="20"/>
                <w:color w:val="auto"/>
              </w:rPr>
            </w:pPr>
            <w:r>
              <w:rPr>
                <w:rFonts w:ascii="Arial" w:cs="Arial" w:eastAsia="Arial" w:hAnsi="Arial"/>
                <w:sz w:val="18"/>
                <w:szCs w:val="18"/>
                <w:color w:val="auto"/>
              </w:rPr>
              <w:t>87,780</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134,280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184,969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277,996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315,636</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(2,482)</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(3,675)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Income tax</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(32,628)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(39,695)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(45,497)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(73,546)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(83,587)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52,670</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90,910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141,512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194,853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income attributable to Credicorp’s equity holders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42,383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80,607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130,747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181,885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230,013</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10,287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10,303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17,252</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5"/>
              </w:rPr>
              <w:t>Net income per Common Share attributable to Credicorp’s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holders (2)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declared per Common Share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0.40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income (3)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44,238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85,710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122,454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230,123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175,024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income per Common Share (2),(3)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IFRS:</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8,629,631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8,321,783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9,087,560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11,036,075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12,881,529</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Total loans (4)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4,817,663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4,481,496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4,559,018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4,972,975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5,877,361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Reserves for loan losses (1)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(424,031)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(326,677)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(271,873)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(218,636)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(210,586)</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6,381,200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5,976,506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6,270,972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7,067,754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8,799,134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Equity attributable to Credicorp's equity holders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823,800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910,730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1,065,197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1,190,440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1,396,822</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64,742</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72,841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85,253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101,515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136,946</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888,542</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983,571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1,150,450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1,291,955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1,533,768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 GAAP:</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826,833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917,986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1,077,306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1,202,549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1,403,944</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SELECTED RATIOS:</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IFRS:</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interest margin (5)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total assets (6)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0.52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Return on average equity attributable to Credicorp's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holders (7)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Operating expenses as a percentage of net interest and non-</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income (8)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50.66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46.25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Operating expenses as a percentage of average assets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Equity attributable to Credicorp’s equity holders as a percentage</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of period end total assets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w w:val="99"/>
              </w:rPr>
              <w:t>Regulatory capital as a percentage of risk-weighted assets (9)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14.38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15.28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w w:val="97"/>
              </w:rPr>
              <w:t>Total past due loan amounts as a percentage of total loans (10)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Reserves for loan losses as a percentage of total loans and other</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contingent credits (11)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6"/>
              </w:rPr>
              <w:t>Reserves for loan losses as a percentage of total past due loans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104.41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127.50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170.93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206.22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Reserves for loan losses as a percentage of substandard loans</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51.81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50.26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 off recoveries.</w:t>
      </w:r>
    </w:p>
    <w:p>
      <w:pPr>
        <w:sectPr>
          <w:pgSz w:w="11900" w:h="16838" w:orient="portrait"/>
          <w:cols w:equalWidth="0" w:num="1">
            <w:col w:w="11420"/>
          </w:cols>
          <w:pgMar w:left="240" w:top="364"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660" w:hanging="652"/>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Credicorp has 100 million authorized common shares (“Common Shares”). As of December 31, 2006, Credicorp had issued 94.4 million Common Shares, of which 14.6 million are held by ASHC. Per Common Share data presented considers net outstanding shares (Common Shares net of shares held by BCP, ASHC and PPS) of 79.7 million in 2002 to 2006. See Notes 17 and 24 to the Credicorp Consolidated Financial Statements.</w:t>
      </w:r>
    </w:p>
    <w:p>
      <w:pPr>
        <w:spacing w:after="0" w:line="200"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explained in Note 29 paragraph (c) to Credicorp Consolidated Financial Statements included elsewhere herein, net income and net income per common share have been restated from the year 2002 to 2005 due to the application of EITF 96-15. As a result, the previous reported amounts have been restated in increasing (decreasing) the net income reported by (in thousands) US$(1,178), US$(880), US$(13,146) and US$48,238 for 2002, 2003, 2004 and 2005, respectively.</w:t>
      </w:r>
    </w:p>
    <w:p>
      <w:pPr>
        <w:spacing w:after="0" w:line="24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Credicorp had contingent loans of US$956.9 million, US$782.9 million, US$889.1 million, US$1,220.9 million and US$1,455.4 million, as of December 31, 2002, 2003, 2004, 2005 and 2006, respectively. See Note 20 to the Credicorp Consolidated Financial Statements.</w:t>
      </w:r>
    </w:p>
    <w:p>
      <w:pPr>
        <w:spacing w:after="0" w:line="23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7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Credicorp´s equity holders, computed as the average of period-beginning and period-ending balances. Calculated on a monthly basis.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22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(the “BIS I Accord”) as adopted by the SBS. See “Item 5. Operating and Financial Review and Prospects—(B) Liquidity and Capital Resources—Regulatory Capital and Capital Adequacy Ratios.”</w:t>
      </w:r>
    </w:p>
    <w:p>
      <w:pPr>
        <w:spacing w:after="0" w:line="235"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See “Item 4. Information on the Company—(B) Business Overview—(12) Selected Statistical Information—(iii) Loan Portfolio—Classification of the Loan Portfolio Based on the Borrower’s Payment Performance.”</w:t>
      </w:r>
    </w:p>
    <w:p>
      <w:pPr>
        <w:spacing w:after="0" w:line="22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contingent credits primarily consist of guarantees, stand-by letters and letters of credit. See Note 20 to the Credicorp Consolidated Financial Statements.</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 due loans, with no reduction for collateral securing such loans. Reserves for loan and contingent credit losses includes reserves with respect to total loans and other credits.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22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Exchange Rates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Average(2)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Period-end(3)</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280"/>
              <w:spacing w:after="0"/>
              <w:rPr>
                <w:sz w:val="20"/>
                <w:szCs w:val="20"/>
                <w:color w:val="auto"/>
              </w:rPr>
            </w:pPr>
            <w:r>
              <w:rPr>
                <w:rFonts w:ascii="Arial" w:cs="Arial" w:eastAsia="Arial" w:hAnsi="Arial"/>
                <w:sz w:val="18"/>
                <w:szCs w:val="18"/>
                <w:i w:val="1"/>
                <w:iCs w:val="1"/>
                <w:color w:val="auto"/>
                <w:w w:val="91"/>
              </w:rPr>
              <w:t>(Nominal Nuevos Soles per U.S. Dollar)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2001</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3.623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3.435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3.446</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2002</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3.644</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3.435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3.520</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3.496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2004</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3.500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3.283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3.440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3.295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2006</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3.455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3.195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7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27"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Low(1)</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80" w:type="dxa"/>
            <w:vAlign w:val="bottom"/>
            <w:gridSpan w:val="4"/>
          </w:tcPr>
          <w:p>
            <w:pPr>
              <w:jc w:val="right"/>
              <w:ind w:right="120"/>
              <w:spacing w:after="0"/>
              <w:rPr>
                <w:sz w:val="20"/>
                <w:szCs w:val="20"/>
                <w:color w:val="auto"/>
              </w:rPr>
            </w:pPr>
            <w:r>
              <w:rPr>
                <w:rFonts w:ascii="Arial" w:cs="Arial" w:eastAsia="Arial" w:hAnsi="Arial"/>
                <w:sz w:val="18"/>
                <w:szCs w:val="18"/>
                <w:i w:val="1"/>
                <w:iCs w:val="1"/>
                <w:color w:val="auto"/>
                <w:w w:val="92"/>
              </w:rPr>
              <w:t>(Nominal Nuevos Soles per U.S. Dollar)</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December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3.195</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January</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February</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3.196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3.187</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March</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3.188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April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May</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3.175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June (through June 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7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average of the bid and offered free market exchange rates published by the SBS for June 8, 2007 was S/.3.175 per US$1.00.</w:t>
      </w:r>
    </w:p>
    <w:p>
      <w:pPr>
        <w:spacing w:after="0" w:line="275" w:lineRule="exact"/>
        <w:rPr>
          <w:sz w:val="20"/>
          <w:szCs w:val="20"/>
          <w:color w:val="auto"/>
        </w:rPr>
      </w:pPr>
    </w:p>
    <w:p>
      <w:pPr>
        <w:ind w:left="660" w:right="8280" w:hanging="652"/>
        <w:spacing w:after="0" w:line="56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7520" w:hanging="652"/>
        <w:spacing w:after="0" w:line="56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Group’s geographic location exposes it to risk related to the Peruvian political and economic conditions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Substantially all of BCP’s and PPS’s operations and customers are located in Peru. In addition, although ASHC is based outside of Peru, substantially all of its customers are located in Peru. Accordingly, the results of operations and the financial condition of Credicorp will be dependent on the level of economic activity in Peru.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Peru, including government-induced effects on inflation, devaluation and economic growth.</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past several decades, Peru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In July 1990, Alberto Fujimori was elected president, and his administration implemented a broad-based reform of Peru’s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Mr. Paniagua took office in November 2000 and in July 2001 handed over the presidency to Alejandro Toledo, the winner of the elections decided in the second round held on June 3, 2001, ending two years of political turmoil. President Toledo retained, for the most part, the economic policies of the previous government, focusing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at times faced public unrest spurred by the high rates of unemployment, underemployment and poverty.</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President Toledo transferred the presidency to Alan García Pérez on July 28, 2006 following Mr. Garcia’s victory in the run-off of the presidential elections held on June 4, 2006.</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President García had previously served as president of Peru from 1985 to 1990, which period was marked by a severe economic crisis. President García is following conservative economic policies and has indicated a desire to avoid the mistakes of his past government. García named the conservative banker Luis Carranza as Minister of Economy and Finance. Carranza has held a senior position at Banco Bilbao Vizcaya Argentaria (“BBVA”) in Spain and was a key adviser to Pedro Pablo Kuczynski, the Prime Minister (and former Minister of Economy and Finance) of former president Alejandro Toledo. García has indicated that his administration would generally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Credicorp’s financial condition and results of operations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though Credicorp’s financial statements functional currency is U.S. Dollars, and its dividends are paid in U.S. Dollars, BCP and PPS, for local statutory purposes, prepare their financial statements and pay dividends in Nuevos Soles. As declared in the Peruvian Constitution, the Peruvian government currently imposes no restrictions on a company’s ability to transfer U.S. Dollars from Peru to other countries, to convert Peruvian currency into U.S. Dollars or to remit dividends abroad, Peru has had restrictive exchange controls in the past and there can be no assurance that the Peruvian government will continue to permit such transfers, remittances or conversion without any restriction. See “Item 10. Additional Information—(D) Exchange Controls.” In addition, a devaluation would decrease the U.S. Dollar value of any dividends BCP and PPS pay to Credicorp, which would have a negative impact on Credicorp’s ability to pay dividends to shareholders.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Although the current level of Peru’s foreign reserves compares favorably with those of other Latin American countries, there can be no assurance that Peru will be able to maintain adequate foreign reserves to meet its foreign currency-denominated obligations, or that Peru will not impose exchange controls should its foreign reserves decline. A decline in Peruvian foreign reserves to inadequate levels, among other economic circumstances, could lead to a currency devaluation. While Credicorp seeks to manage the gap between its foreign currency-denominated assets and liabilities, for instance by matching the volumes and maturities of its Nuevo Sol-denominated loans against its Nuevo Sol-denominated deposits, a sudden and significant devaluation could have a material adverse effect on Credicorp’s financial condition and results of operations. See “Item 11. Quantitative and Qualitative Disclosures about Market Risk —Exchange Rate Sensitivity.” Also, a significant group of BCP’s borrowers and PPS’s insureds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It may be difficult to serve process on or enforce judgments against Credicorp or Credicorp’s principals residing outside of the United States</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significant majority of Credicorp’s directors and officers reside outside the United States (principally in Peru).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Credicorp or its directors or officers under the securities laws of those jurisdictions or entertain actions in Bermuda against Credicorp or its directors or officers under the securities laws of other jurisdictions.</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 a holding company, Credicorp’s ability to pay dividends to its shareholders and to pay corporate expenses may be adversely affected by restrictions on its subsidiaries to pay dividends to Credicorp</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Grupo Crédito.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PPS or Grupo Crédito to remit dividends abroad. In addition, the right of Credicorp to participate in any distribution of assets of any subsidiary, including BCP, PPS, ASHC and Grupo Crédito,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Peru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We are subject to banking regulation and supervision in Peru. Changes in the regulatory framework in Peru could adversely affect our business</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Credicorp is subject to extensive supervision and regulation through the SBS’s consolidated supervision regulations, which oversee all of Credicorp’s subsidiaries and offices including those located outside Peru. BCP’s operations are supervised and regulated by the SBS and the </w:t>
      </w:r>
      <w:r>
        <w:rPr>
          <w:rFonts w:ascii="Arial" w:cs="Arial" w:eastAsia="Arial" w:hAnsi="Arial"/>
          <w:sz w:val="17"/>
          <w:szCs w:val="17"/>
          <w:i w:val="1"/>
          <w:iCs w:val="1"/>
          <w:color w:val="auto"/>
        </w:rPr>
        <w:t>Banco Central de Reserva</w:t>
      </w:r>
      <w:r>
        <w:rPr>
          <w:rFonts w:ascii="Arial" w:cs="Arial" w:eastAsia="Arial" w:hAnsi="Arial"/>
          <w:sz w:val="17"/>
          <w:szCs w:val="17"/>
          <w:color w:val="auto"/>
        </w:rPr>
        <w:t xml:space="preserve"> (“Central Bank”).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We are subject to insurance regulation in Peru. Changes in insurance regulations may impact the ability of our insurance subsidiary to underwrite and price risk effectively and may adversely affect Credicorp’s operating performance and financial condition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insurance business, carried out by its subsidiary PPS, is subject to regulation by the SBS. Insurance regulation in Peru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jc w:val="both"/>
        <w:ind w:firstLine="648"/>
        <w:spacing w:after="0" w:line="270" w:lineRule="auto"/>
        <w:rPr>
          <w:sz w:val="20"/>
          <w:szCs w:val="20"/>
          <w:color w:val="auto"/>
        </w:rPr>
      </w:pPr>
      <w:r>
        <w:rPr>
          <w:rFonts w:ascii="Arial" w:cs="Arial" w:eastAsia="Arial" w:hAnsi="Arial"/>
          <w:sz w:val="17"/>
          <w:szCs w:val="17"/>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have affected BCP’s loan growth as well as reduced the average interest rates that BCP can charge its customers.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Ltd. is a limited liability company incorporated in Bermuda in October 20,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Peru and Bolivia and with limited investments in other countries of the region. It conducts its financial services business exclusively through its subsidiaries. Credicorp’s registered address is Clarendon House 2 Church Street, Bermuda. Its management and administrative offices are located at Calle Centenario 156, La Molina, Lima 12, Perú, and its phone number is 51-1-313-2000.</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Credicorp is the largest financial services holding company in Peru and is closely identified with its principal subsidiary, BCP, the country’s largest bank and the leading supplier of integrated financial services in Peru.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trust, custody and securitization services, asset management and proprietary trading and investment). As of December 31, 2006, Credicorp’s total assets were US$12.9 billion and shareholders’ equity was US$1.5 billion. Its net income attributable to Credicorp’s equity holders in 2005 and 2006 was US$181.9 million and US$230.0 million, respectively. See “Item 3. Key Information—(A) Selected Financial Data” and “Item 5. Operating and Financial Review and Prospects.” The following table presents certain financial information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Credicorp by principal business units as of and for the year ended December 31, 2006 (see Note 25 to the Credicorp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As of and for the Year ended December 31, 2006</w:t>
            </w:r>
          </w:p>
        </w:tc>
      </w:tr>
      <w:tr>
        <w:trPr>
          <w:trHeight w:val="191"/>
        </w:trPr>
        <w:tc>
          <w:tcPr>
            <w:tcW w:w="3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2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4"/>
              </w:rPr>
              <w:t>Operating</w:t>
            </w:r>
          </w:p>
        </w:tc>
        <w:tc>
          <w:tcPr>
            <w:tcW w:w="136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r>
      <w:tr>
        <w:trPr>
          <w:trHeight w:val="257"/>
        </w:trPr>
        <w:tc>
          <w:tcPr>
            <w:tcW w:w="39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20" w:type="dxa"/>
            <w:vAlign w:val="bottom"/>
            <w:gridSpan w:val="4"/>
          </w:tcPr>
          <w:p>
            <w:pPr>
              <w:ind w:left="1260"/>
              <w:spacing w:after="0"/>
              <w:rPr>
                <w:sz w:val="20"/>
                <w:szCs w:val="20"/>
                <w:color w:val="auto"/>
              </w:rPr>
            </w:pPr>
            <w:r>
              <w:rPr>
                <w:rFonts w:ascii="Arial" w:cs="Arial" w:eastAsia="Arial" w:hAnsi="Arial"/>
                <w:sz w:val="18"/>
                <w:szCs w:val="18"/>
                <w:i w:val="1"/>
                <w:iCs w:val="1"/>
                <w:color w:val="auto"/>
              </w:rPr>
              <w:t>(U.S. Dollars in millions)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Commercial Banking</w:t>
            </w:r>
          </w:p>
        </w:tc>
        <w:tc>
          <w:tcPr>
            <w:tcW w:w="280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975</w:t>
            </w:r>
          </w:p>
        </w:tc>
        <w:tc>
          <w:tcPr>
            <w:tcW w:w="160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11,090</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Insurance</w:t>
            </w:r>
          </w:p>
        </w:tc>
        <w:tc>
          <w:tcPr>
            <w:tcW w:w="4420" w:type="dxa"/>
            <w:vAlign w:val="bottom"/>
            <w:gridSpan w:val="3"/>
          </w:tcPr>
          <w:p>
            <w:pPr>
              <w:jc w:val="right"/>
              <w:ind w:right="240"/>
              <w:spacing w:after="0"/>
              <w:rPr>
                <w:sz w:val="20"/>
                <w:szCs w:val="20"/>
                <w:color w:val="auto"/>
              </w:rPr>
            </w:pPr>
            <w:r>
              <w:rPr>
                <w:rFonts w:ascii="Arial" w:cs="Arial" w:eastAsia="Arial" w:hAnsi="Arial"/>
                <w:sz w:val="18"/>
                <w:szCs w:val="18"/>
                <w:color w:val="auto"/>
              </w:rPr>
              <w:t>316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r>
      <w:tr>
        <w:trPr>
          <w:trHeight w:val="243"/>
        </w:trPr>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Pension Fund Administration</w:t>
            </w:r>
          </w:p>
        </w:tc>
        <w:tc>
          <w:tcPr>
            <w:tcW w:w="4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Investment Banking and others</w:t>
            </w:r>
          </w:p>
        </w:tc>
        <w:tc>
          <w:tcPr>
            <w:tcW w:w="28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r>
      <w:tr>
        <w:trPr>
          <w:trHeight w:val="264"/>
        </w:trPr>
        <w:tc>
          <w:tcPr>
            <w:tcW w:w="39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Credicorp</w:t>
            </w:r>
          </w:p>
        </w:tc>
        <w:tc>
          <w:tcPr>
            <w:tcW w:w="280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1,372</w:t>
            </w:r>
          </w:p>
        </w:tc>
        <w:tc>
          <w:tcPr>
            <w:tcW w:w="160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563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12,882</w:t>
            </w:r>
          </w:p>
        </w:tc>
      </w:tr>
      <w:tr>
        <w:trPr>
          <w:trHeight w:val="486"/>
        </w:trPr>
        <w:tc>
          <w:tcPr>
            <w:tcW w:w="3940" w:type="dxa"/>
            <w:vAlign w:val="bottom"/>
          </w:tcPr>
          <w:p>
            <w:pPr>
              <w:spacing w:after="0"/>
              <w:rPr>
                <w:sz w:val="24"/>
                <w:szCs w:val="24"/>
                <w:color w:val="auto"/>
              </w:rPr>
            </w:pPr>
          </w:p>
        </w:tc>
        <w:tc>
          <w:tcPr>
            <w:tcW w:w="2800" w:type="dxa"/>
            <w:vAlign w:val="bottom"/>
          </w:tcPr>
          <w:p>
            <w:pPr>
              <w:jc w:val="right"/>
              <w:ind w:right="850"/>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94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jc w:val="both"/>
        <w:ind w:firstLine="648"/>
        <w:spacing w:after="0" w:line="276" w:lineRule="auto"/>
        <w:rPr>
          <w:sz w:val="20"/>
          <w:szCs w:val="20"/>
          <w:color w:val="auto"/>
        </w:rPr>
      </w:pPr>
      <w:r>
        <w:rPr>
          <w:rFonts w:ascii="Arial" w:cs="Arial" w:eastAsia="Arial" w:hAnsi="Arial"/>
          <w:sz w:val="17"/>
          <w:szCs w:val="17"/>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ASHC, a diversified financial services company and the pension fund business through Prima AFP. Credicorp’s insurance activities are conducted through PPS, the second largest Peruvian insurance company in terms of premiums, fees and net income.</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Credicorp purchased 99.99% of Inversiones Crédito, a non-financial entity with assets of US$50.4 million as of December 2004, with principal investments currently in shares of Peruvian electric utilities.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In November 2001, BCP bought back a 53.1% stake in BCB from Credicorp for US$30.0 million. As of December 31, 2005, BCB operated 47 branches located throughout Bolivia, together with 124 ATMs. BCB’s results have been consolidated in the BCP financial statements since the date of its acquisition in November 1993.</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 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2003, BCP converted Banco de Crédito Overseas Limited (“BCOL”), its offshore bank in the Bahamas, into a vehicle to conduct investments and sold it to ASHC. ASHC subsequently consolidated BCOL into its operations during 2004. Certain long-term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7.-(A) Major Shareholders and Related Party Transactions”).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ind w:right="20" w:firstLine="648"/>
        <w:spacing w:after="0" w:line="308" w:lineRule="auto"/>
        <w:rPr>
          <w:sz w:val="20"/>
          <w:szCs w:val="20"/>
          <w:color w:val="auto"/>
        </w:rPr>
      </w:pPr>
      <w:r>
        <w:rPr>
          <w:rFonts w:ascii="Arial" w:cs="Arial" w:eastAsia="Arial" w:hAnsi="Arial"/>
          <w:sz w:val="17"/>
          <w:szCs w:val="17"/>
          <w:color w:val="auto"/>
        </w:rPr>
        <w:t>In March 2004, PPS acquired Novasalud Perú S.A. - Entidad Prestadora de Salud (“Novasalud EPS”), one of three private health insurance providers in Peru, and merged Novasalud EPS with Pacífico S.A. Entidad Prestadora de Salud (“Pacífico Salud”), a subsidiary of PPS, in August 2004.</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Banco Tequendama, a Colombian banking concern acquired by Credicorp in January 1997, was sold in March 2005 to a Colombian bank. This followed the sale by Credicorp in December 2002 of Banco Tequendama’s Venezuelan branches. While the sale of Banco Tequendama was publicly announced in October 2004 and its effective date was January 1, 2005, the sale was not completed until March 2005 when all approvals required from Colombian authorities were obtained. Credicorp did not record any significant gain as a result of the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2005, BCP and Bank of America, both principal shareholders of Fleet Boston N.A., agreed to engage in a buy-sale transaction of the loan portfolio of the Peruvian branch of Bank Boston N.A. and the loan portfolio of Peruvian nationals with Fleet Boston N.A. The transaction, which took place on January 24, 2005, was recorded at acquisition cost. BCP paid approximately US$353.8 million in cash for the loan portfolio, which included commercial loans, mortgage and leasing operations.</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2005, Credicorp was authorized by Peruvian regulatory authorities to establish Prima AFP, in which Grupo Crédito is the main shareholder. Prima AFP started operations in August 2005 and had losses of US$7.6 million for the year ended December 31, 2005. As of December 31, 2005, Prima AFP invested funds of US$255.2 million, representing a 2.5% market share, and had 51,838 members according to the SBS.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August 2006, Prima AFP acquired Unión Vida AFP, a pension fund operating in the Peruvian market, in a strategic move towards consolidation, as part of its efforts to gain a leading position in the pension fund market. The acquisition of Unión Vida AFP, which was formerly held by Banco Santander, enabled Prima AFP to position itself as the second ranking company in market share terms, and as a leader in the industry, given its second highest returns and lowest commissions for affiliates. The merger between Prima AFP and Unión Vida AFP was consummated in December 2006.</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 AFP incurred in important merger relative to its size, reaching the end of 2006 with losses of US$20.7 million. Prima AFP reached the year-end as the system’s second pension manager with 997,963 affiliates, with funds under management amounting to US$4,163 million and more than 17,000 pensioners. It also extended its geographical coverage to 11 service points and 19 points of sales, placing itself strategically as the most aggressive and solid managing company.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PPS sold to Credicorp its remaining 1.02% of BCP shares that it maintained to that date, generating a goodwill in respect of the minority interest acquired by Credicorp (0.25%) of approximately US$7.2 million.</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tables show the organization of Credicorp and its principal subsidiaries as of December 31, 2006 and their relative percentage contribution to Credicorp’s total assets, total revenues, net income and shareholders’ equity at the same date (see “—(C) Organizational Structure”):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1289685</wp:posOffset>
            </wp:positionH>
            <wp:positionV relativeFrom="page">
              <wp:posOffset>260350</wp:posOffset>
            </wp:positionV>
            <wp:extent cx="4991100" cy="1543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99110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26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As of and for the Year ended December 31, 2006</w:t>
            </w:r>
            <w:r>
              <w:rPr>
                <w:rFonts w:ascii="Arial" w:cs="Arial" w:eastAsia="Arial" w:hAnsi="Arial"/>
                <w:sz w:val="18"/>
                <w:szCs w:val="18"/>
                <w:color w:val="auto"/>
              </w:rPr>
              <w:t>(2)</w:t>
            </w:r>
          </w:p>
        </w:tc>
      </w:tr>
      <w:tr>
        <w:trPr>
          <w:trHeight w:val="191"/>
        </w:trPr>
        <w:tc>
          <w:tcPr>
            <w:tcW w:w="51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3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Shareholders’</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Total Revenue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82.2%</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Grupo Crédito (1)</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0.5%</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Percentages determined based on the Credicorp Consolidated Financial Statements.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Credicorp Securities Inc. and others.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186690</wp:posOffset>
            </wp:positionV>
            <wp:extent cx="5419725" cy="136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972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26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As of and for the Year ended December 31, 2006(2)</w:t>
            </w:r>
          </w:p>
        </w:tc>
      </w:tr>
      <w:tr>
        <w:trPr>
          <w:trHeight w:val="191"/>
        </w:trPr>
        <w:tc>
          <w:tcPr>
            <w:tcW w:w="51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3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Shareholders’</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Total Revenue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Crédito Leasing S.A.</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Financiera de Crédito Solucion</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Credifondo S.A.</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Credibolsa Sociedad Agente de Bolsa S.A.</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Others(3)</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Credicorp holds an additional 4.08% stake.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3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(1) Introduction - Review of 2006</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results for 2006 maintained their positive trend from the four previous years and showed significant improvement due to a growing Peruvian economy and a favorable international environment. Consolidated net income increased substantially, and the quality of the loan portfolio and of investments in other risk assets continued to improve.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attributable to Credicorp reached US$230.0 million (compared to US$181.9 million in 2005), representing an increase of 26.4% over the previous year and resulting in a return on equity for Credicorp’s equity holders of 18.4% in 2006 (compared to 16.4% in 2005) and earnings per share of US$2.88 in 2006 (compared to US$2.28 in 2005). This result was reached despite significant non-recurring expenses in 2006, such as the start-up expenses of AFP Prima’s operations and expenses relating to the merger with AFP Unión Vida.</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rise in profits is mainly a result of an increase in net interest income, an improvement of the loan portfolio, which eliminated the requirement for a provision charge for the credit portfolio, and the sustained growth in non-financial income. In addition, in 2006, PPS, Credicorp’s insurance subsidiary, tripled its earnings measured in the previous year (2005 was a year in which PPS experienced high claims resulting in substantial losses), making a significant contribution to the results of Credicorp.</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2006 was successful, not only in light of the profits obtained, but also because Credicorp reached significant achievements in the growth and quality of its managed assets, in improving its efficiency, and in attaining specific objectives in respect of each of its business lines.</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improvement in Credicorp’s results in 2006 was mainly driven by Credicorp’s expansion strategy for its banking business. Since 2005, Credicorp has focused on expanding its retail banking businesses that offered potential for higher growth and better margins as well as on expanding its transactional businesses. As a result, Credicorp’s banking business experienced a substantial improvement in financial margins, despite a very competitive environment, had lower provisions for loans, and achieved sustained growth in revenues from banking services and lower provisions for loans.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Credicorp’s total assets and asset quality improved substantially in 2006. Total assets reached US$12.9 billion as of December 31, 2006, a 16.7% increase from US$11.0 billion as of December 31, 2005. While total loans grew by 18.2% in 2006 (9.2% in 2005), increased liquidity led to an increase in investments of 21.7% in the same period. Provision for loan losses net of recoveries resulted in earnings of US$4.2 million (US$6.4 million in 2005), compared to losses of US$16.1 million in 2004. This is attributable to the better quality of the loan portfolio in the past two years. For the fifth consecutive year, past due loans have been decreasing and reached 1.3% in 2006 (1.9% at year-end 2005; 3.5% at year-end 2004), while past due loan coverage by provisions increased significantly to 247.9% from 206.3% at year-end 2005 and from 170.9% at year-end 2004.</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BCP’s consolidated net income attributable to Credicorp in 2006 reached US$238.9 million, (US$176.5 million in 2005), part of a distinct upward trend during the last few years, which primarily resulted from: (i) the growth of the loan portfolio, which in turn generated greater net interest income; (ii) the substantial improvement in the quality of the loan portfolio, which allowed for lower provisions and greater recoveries of the distressed portfolio of prior years; and (iii) the implementation of a strategy focused on more profitable sectors not yet served by the financial system and on the transactional activity that encouraged the growth of non-financial income. As a consequence of this favorable evolution of results, BCP marked a major growth in profitability as a percentage of its average net equity, reaching an all-time high of 28.6%.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7"/>
          <w:szCs w:val="17"/>
          <w:color w:val="auto"/>
        </w:rPr>
        <w:t>2006 was a year of substantial loan growth. In addition to the 29% growth in BCP’s Retail Banking Group as a result of the dynamic expansion of the retail segment of the Peruvian economy, wholesale banking also grew significantly with the loan portfolio growing 17%. This loan growth is a consequence of two parallel dynamics: pre-electoral uncertainty led companies to take loans to secure future liquidity, while election results, which generated trust in the continuity of the economic policies, enabled the financing of major long- and medium-term projects.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2006, BCP’s assets totaled US$10,672 million, a 15% increase from December 31, 2005. BCP’s loan book of US$5,678 million represents 53% of BCP’s total assets, compared to 50% in 2005. This loan growth, measured in average daily balances for the year, reached 17.2%. As previously mentioned, retail was the main contributor to BCP’s results, posting the best performance among all Groups, growing 29%. Within this Group, mortgage credits continued to be the most important product with 47% of portfolio share, followed by PYME (small and mid-sized companies) credits that represented 30%. However, the product which has proven to be the most dynamic in terms of growth was the credit card, showing a significant increase of 39% during 2006, and reaching a total of US$198.9 million, followed by PYME credits (which grew by 38%) and consumer credits (which reached a 36% growth). Given the better margins available in this business, retail banking has become the driving force of growth and recovery of BCP profitability.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past due reached a historical low of 1.31%, and coverage of provisions on non-performing portfolio reached 249.5%. These ratios reflect a combination of very low provisions requirements and the continuation of portfolio write-off recoveries, benefiting results.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important to highlight the strong growth of transactional operations in 2006, made possible by the expansion of the different distribution channels. In 2006, 19 new branches were inaugurated, reaching a total of 237, and 104 ATM machines were added, for a total of 655. The massive launch of an efficient and innovative channel, the Agent BCP, had great significance during 2006. The Agent BCP is a modified and significantly less expensive version of an automated teller. 490 such new points were opened, totaling 551, supporting an expansion of about 75% in the bank distribution network. Together with this initiative, in 2006, new savings products - e.g., the “zero account” and the “free account” where there is no minimum balance requirement for opening the account and no fees are charged for maintenance, ATM transactions, phone banking, or Internet banking transactions - were successfully introduced. All of these reflect BCP’s efforts to serve a greater number of people, increase banking penetration and BCP’s inclusion in the banking system by encouraging the use of banking services among people who previously did not use them.</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level of the efficiency ratio was in line with expectations: at 50.5% in 2006, it was lower than the 51.9% in 2005, resulting from the strong growth in operating income and controlled operating expenses, which grew by 11.6%. A component of operating expenses is personnel expenses, which rose by 14% as a consequence of the decision to improve customer service through longer service hours and the hiring of service promoters. 1,118 jobs were added in 2006, to a total headcount of 8,860 (7,740 in 2005). Additionally, general expenses grew by 11.7% due to aggressive marketing campaigns and customer loyalty-building programs, as well as system expenses, including maintenance of computer hardware, software and infrastructure, licenses and other projects. System’s expenses in 2006 were over US$41 million.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In the Bolivian market, Banco de Crédito de Bolivia (BCB) consolidated its position in 2006, reaching levels that exceeded management’s expectations, given the political circumstances, and producing US$14.1 million in income, 38.2% higher than in 2005. BCB’s conservative credit risk management strategy was maintained in 2006, with non-performing loans totaling 3.6%, while coverage stood at 163.6%, compared to ratios of 8.7% and 90.7%, respectively, in the rest of the Bolivian banking system, making BCB the best performing bank in the Bolivian market. BCB’s return over average equity reached 21.7% in 2006, which is the highest in the bank’s history.</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for BCB’s market share, the gross portfolio stood at 14.0% in 2006, while deposits totaled 14.8%, making BCB, when measured in those terms, the third ranking bank in the market.</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2006, BCB focused on high-margin sectors, including retail, commercial banking and the recently created “Banca Consolidada”, a sector consisting of businesses with annual sales below US$1 million. The PYME sector was also strengthened and enjoyed significant progress.</w:t>
      </w:r>
    </w:p>
    <w:p>
      <w:pPr>
        <w:spacing w:after="0" w:line="20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Atlantic Security Holding Corporation’s net income reached US$31.5 million, 25% higher than the US$25.2 million reached in 2005. The main factors driving this growth included higher income from Credicorp dividends and ASHC’s strategy of focusing on the asset management business. The results were a growth of 24% in fee income and increased investment gains. Dividend income increased by 40.6% from that of 2005, as a result of Credicorp’s higher income. However, this income was eliminated in the consolidation, so that ASHC’s contribution to Credicorp’s results reached US$15.4 million, 14.1% more than the US$13.5 million reached in 2005, reflecting ASHC’s excellent core business growth. Total managed funds, deposits and assets under management were US$2.5 billion, 25% higher than the US$2.0 billion reached in 2005, with approximately 54% of such funds, deposits and assets under management, consisting of third-party funds that are managed with a lower risk to ASHC.</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Insurance Business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Pacifico Peruano Suiza (PPS), with the support of its strategic partner American International Group (“AIG”), has reorganized the company around two key areas of management: distribution channels and specialized risk management by area.</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First, with respect to distribution channels, PPS has placed special emphasis on relationships with brokers. Brokers were assigned specialized employees to assist them in the issuance of policies and in the process of claim settlement. In addition, brokers are receiving operational support to maximize the use of technological platforms and online services.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Second, a specialized team has been formed for the purpose of analyzing risk by area, </w:t>
      </w:r>
      <w:r>
        <w:rPr>
          <w:rFonts w:ascii="Arial" w:cs="Arial" w:eastAsia="Arial" w:hAnsi="Arial"/>
          <w:sz w:val="18"/>
          <w:szCs w:val="18"/>
          <w:i w:val="1"/>
          <w:iCs w:val="1"/>
          <w:color w:val="auto"/>
        </w:rPr>
        <w:t>e.g.</w:t>
      </w:r>
      <w:r>
        <w:rPr>
          <w:rFonts w:ascii="Arial" w:cs="Arial" w:eastAsia="Arial" w:hAnsi="Arial"/>
          <w:sz w:val="18"/>
          <w:szCs w:val="18"/>
          <w:color w:val="auto"/>
        </w:rPr>
        <w:t>, fire, automobiles, health and fraud. This team is responsible for improving the technical results through a study of the risk portfolio by area, applying best practices in selection, operations and marketing, and for creating new products aligned with Peruvian’s economic and social reality.</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same time, PPS has prepared for the changes that will occur as a result of the adoption of the Basel II and Solvency II recommendations. This was done by reinforcing and adding new investment practices for maximizing profitability, respecting an appropriate match of currency and terms for its assets and liabilities and, above all, supporting technical obligations. The reorganization of the investment portfolio improved asset and liability management, not only in terms but in currencies as well.</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2006, service excellence was defined as a competitive strategy, and to lead the market in such environment, the company’s production process was redesigned to offer customers, brokers and insured parties a simple, easy and tangible experience in the purchase of insurance policies.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both"/>
        <w:ind w:firstLine="648"/>
        <w:spacing w:after="0" w:line="273" w:lineRule="auto"/>
        <w:rPr>
          <w:sz w:val="20"/>
          <w:szCs w:val="20"/>
          <w:color w:val="auto"/>
        </w:rPr>
      </w:pPr>
      <w:r>
        <w:rPr>
          <w:rFonts w:ascii="Arial" w:cs="Arial" w:eastAsia="Arial" w:hAnsi="Arial"/>
          <w:sz w:val="17"/>
          <w:szCs w:val="17"/>
          <w:color w:val="auto"/>
        </w:rPr>
        <w:t>As for financial results for 2006, under IFRS, PPS, which encompasses Pacífico Seguros, Pacífico Vida and Pacífico Salud EPS, recorded a total premium of US$372.6 million, a 3.8% increase from 2005. However, in 2006 Pacífico Seguros reported very significant and extraordinary financial gains, which increased net income to US$53.3 million, well above the US$7.0 million obtained in 2005. Such extraordinary financial gains reached approximately US$40 million and resulted from the sale of BCP and Alicorp shares (approximately US$34 million in gains on the sale of BCP shares). However, these gains were largely eliminated in the consolidation process, because the BCP shares were sold within the Credicorp Group. Thus, the recovery in PPS’s contribution to Credicorp increased from US$5.6 million in 2005 to US$14.5 million in 2006.</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the strategy change are already noticeable in the growth of consolidated net premiums earned by the group, which increased at the rate of 6.2% in 2006, and even more so in the evolution of the technical results of the group, which have recovered significantly, reaching a growth of 78% over 2005 results. This has led to an improvement in the ratio of underwriting results as a percentage of total premiums with a 9.3% in 2006, compared to a 5.5% in 2005.</w:t>
      </w:r>
    </w:p>
    <w:p>
      <w:pPr>
        <w:spacing w:after="0" w:line="24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2006, Prima AFP (and after December 2006, together with Unión Vida AFP) incurred a loss of US$20.7 million, higher than initially expected and 172% higher than the US$7.6 million loss registered in 2005. The losses resulted from the significant start-up and merger costs incurred in both years.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as a result of acquiring Unión Vida, Prima AFP absorbed merger expenses, including the full depreciation of Unión Vida: IT systems, the use of which was discontinued in December 2006, the write-off of the brand “Unión Vida” and the cost associated with discharging staff as of December, 2006.</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its own growth and the growth provided by the Unión Vida acquisition, Prima AFP reached December 31, 2006 as the industry’s second largest pensions administrator, with 997,963 affiliates, total funds under management of US$4,206 million and more than 17,000 pensioners. It also extended its geographical coverage to 11 service points and 19 points of sale.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contribution to the consolidated net income attributable to Credicorp’s equity holders by each of its principal subsidiaries: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Variation</w:t>
            </w:r>
          </w:p>
        </w:tc>
      </w:tr>
      <w:tr>
        <w:trPr>
          <w:trHeight w:val="234"/>
        </w:trPr>
        <w:tc>
          <w:tcPr>
            <w:tcW w:w="5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2006/2005</w:t>
            </w:r>
          </w:p>
        </w:tc>
        <w:tc>
          <w:tcPr>
            <w:tcW w:w="16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gridSpan w:val="6"/>
          </w:tcPr>
          <w:p>
            <w:pPr>
              <w:ind w:left="20"/>
              <w:spacing w:after="0"/>
              <w:rPr>
                <w:sz w:val="20"/>
                <w:szCs w:val="20"/>
                <w:color w:val="auto"/>
              </w:rPr>
            </w:pPr>
            <w:r>
              <w:rPr>
                <w:rFonts w:ascii="Arial" w:cs="Arial" w:eastAsia="Arial" w:hAnsi="Arial"/>
                <w:sz w:val="18"/>
                <w:szCs w:val="18"/>
                <w:i w:val="1"/>
                <w:iCs w:val="1"/>
                <w:color w:val="auto"/>
                <w:w w:val="92"/>
              </w:rPr>
              <w:t>(U.S. Dollars in millions, except percentages)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BCP(1)</w:t>
            </w:r>
          </w:p>
        </w:tc>
        <w:tc>
          <w:tcPr>
            <w:tcW w:w="6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w w:val="97"/>
              </w:rPr>
              <w:t>111.4</w:t>
            </w:r>
          </w:p>
        </w:tc>
        <w:tc>
          <w:tcPr>
            <w:tcW w:w="9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176.5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238.9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35.4%</w:t>
            </w:r>
          </w:p>
        </w:tc>
      </w:tr>
      <w:tr>
        <w:trPr>
          <w:trHeight w:val="243"/>
        </w:trPr>
        <w:tc>
          <w:tcPr>
            <w:tcW w:w="6080" w:type="dxa"/>
            <w:vAlign w:val="bottom"/>
            <w:gridSpan w:val="2"/>
          </w:tcPr>
          <w:p>
            <w:pPr>
              <w:spacing w:after="0"/>
              <w:rPr>
                <w:sz w:val="20"/>
                <w:szCs w:val="20"/>
                <w:color w:val="auto"/>
              </w:rPr>
            </w:pPr>
            <w:r>
              <w:rPr>
                <w:rFonts w:ascii="Arial" w:cs="Arial" w:eastAsia="Arial" w:hAnsi="Arial"/>
                <w:sz w:val="18"/>
                <w:szCs w:val="18"/>
                <w:color w:val="auto"/>
              </w:rPr>
              <w:t>ASCH</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13.3</w:t>
            </w: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4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PPS</w:t>
            </w:r>
          </w:p>
        </w:tc>
        <w:tc>
          <w:tcPr>
            <w:tcW w:w="6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9.6</w:t>
            </w:r>
          </w:p>
        </w:tc>
        <w:tc>
          <w:tcPr>
            <w:tcW w:w="9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Grupo Crédito(2)</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r>
      <w:tr>
        <w:trPr>
          <w:trHeight w:val="20"/>
        </w:trPr>
        <w:tc>
          <w:tcPr>
            <w:tcW w:w="5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FFCC"/>
          </w:tcPr>
          <w:p>
            <w:pPr>
              <w:spacing w:after="0"/>
              <w:rPr>
                <w:sz w:val="20"/>
                <w:szCs w:val="20"/>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130.7</w:t>
            </w: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181.9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US$14.1 million in 2006, US$10.2 million in 2005 and US$4.8 million in 2004.</w:t>
      </w:r>
    </w:p>
    <w:p>
      <w:pPr>
        <w:spacing w:after="0" w:line="279"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Prima AFP (which recorded losses of US$20.7 million in 2006 and US$7.6 million in 2005), Credicorp Securities, Credicorp Ltd. holding company, which mainly includes tax withheld in connection with the distribution of dividends to Credicorp by its Peruvian subsidiaries (BCP and PPS), and others.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p>
      <w:pPr>
        <w:ind w:left="1540" w:hanging="722"/>
        <w:spacing w:after="0"/>
        <w:tabs>
          <w:tab w:leader="none" w:pos="1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underlying principle of Credicorp’s strategy is to focus on growth opportunities within the market, on identifying synergies that will enable high levels of efficiency in its business and on defining individual “roadmaps” to enhance profitability and improve returns of each of Credicorp’s investments. To this end, Credicorp tries to combine knowledge, resources, experience, technology and capabilities for the benefit of the group as a whole.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line with this strategy, in 2006 Credicorp focused on:</w:t>
      </w:r>
    </w:p>
    <w:p>
      <w:pPr>
        <w:spacing w:after="0" w:line="27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the banking business (BCP, BCB) through strong retail and transactional business expansion;</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the insurance business (PPS);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positioning of Prima AFP, the pension fund management business; and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the management of the assets held by Credicorp’s companies.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objective of improving and sustaining the profitability of the group as a whole can only be attained through disciplined implementation of a well-grounded, long-term strategy. Credicorp’s strategy has proven successful and was confirmed by the results achieved in 2006. Therefore, Credicorp intends to continue following the path taken in 2006. Hence, many of the measures planned for 2007 are focused not only on specific business areas, but also on better use of the group’s resources.</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Apart from the group’s internal strategy, the advancement in the economic and financial environment in Peru in general, and the development of the retail banking market, in particular, also set the trend for the group’s banking and other businesses and shape overall Credicorp strategy.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specific strategies employed by the various businesses in the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Banking Business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Banco de Crédito del Perú - BCP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banking business’s growth strategy is based on four pillars:</w:t>
      </w:r>
    </w:p>
    <w:p>
      <w:pPr>
        <w:spacing w:after="0" w:line="279"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Focusing on all retail sector products offered;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banking penetration (investing in the development of innovative channels and specifically tailored products);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Focusing on income from transactional services; and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Investing in simplifying processes and strengthening the security of support systems.</w:t>
      </w:r>
    </w:p>
    <w:p>
      <w:pPr>
        <w:spacing w:after="0" w:line="3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has employed the same strategy with respect to BCB and, capitalizing on BCP’s experience, succeeded in positioning BCB as the leading bank in Bolivia.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Insurance Business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Pacífico Peruano Suiza - PPS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insurance business has been equally focused on strategies for improving the profitability of and growing the various branches of the business, especially in the retail sector, by focusing on:</w:t>
      </w:r>
    </w:p>
    <w:p>
      <w:pPr>
        <w:spacing w:after="0" w:line="224"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control, to increase profitability by area;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3" w:name="page24"/>
    <w:bookmarkEnd w:id="23"/>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new products for the retail sector extracting better margins;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Focusing on differentiation through excellence in service; and</w:t>
      </w:r>
    </w:p>
    <w:p>
      <w:pPr>
        <w:spacing w:after="0" w:line="33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Pursuing know-how synergies between the insurance business (with its AIG partner), the distribution business (with BCP), and the management of investments and information (with the Credicorp group’s asset management database).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Asset Management Business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development of a global asset management strategy is the first main effort to realize the benefits of synergies within the Credicorp group as a whole. The idea was that all Credicorp companies will share in and benefit from the market intelligence, experience and information available at the subsidiary level to define policies, norms, guidelines and investment parameters for each entity according to its needs and applicable regulations.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strategy of the pension fund business of Prima AFP is focused on reducing the cost of pension sales as well as on creating new affiliations made possible in light of the growing, economically active employment sector.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Outlook for 2007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Prioritizing Retail banking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goal is to become the bank with which most Peruvian citizens do their banking transactions. BCP shall continue to treat transactions with individuals and small companies as a priority. Credicorp views this sector of the banking market as the most dynamic and as one that is likely to become a substantial contributor to overall profitability. In 2006, retail banking accounted for more than half of BCP’s profits, and management expects it to attain the same contribution in 2007.</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Retail banking activity generates significant income not only from interest on loans, but also from bank services offered to a large number of customers that generate more than 24 million transactions monthly. BCP has been creating new services for medium and large companies, as well as updating existing services.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order to support the growth of the retail sector and to continue to modernize BCP’s operations, Credicorp management plans an injection of US$80 million into BCP 2007, for investment in IT physical infrastructure. Management plans to broaden the bank’s network significantly during 2007 by opening 26 branches, installing 75 ATMs, and setting up 170 new BCP Agents (reaching a total of 720 agents by the end of 2007).</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expansion in infrastructure and operations also means an increase in BCP’s labor force, which, Credicorp management believes, is not only indispensable to the maintenance and improvement of the quality and efficiency of the services BCP renders, but is also necessary, given BCP’s position in the Peruvian market. In 2006, 1,118 employees joined BCP, and it is expected that in 2007, 500 more will be hired.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7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management of third party funds is another area of business Credicorp intends to prioritize in 2007. After entering the pension fund management business in Peru, asset management has become fundamental for [Credicorp]. As of December 31, 2006, total third-party funds under Credicorp management totaled US$6,900 million. This important source of Credicorp’s income helps diversify and complement financial revenues.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management is adjusting and improving internal processes to offer quality service that includes providing adequate and timely information to its asset management customers.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insurance business, the reorganization process that started in 2006 is expected to be completed in 2007. The change addresses key aspects of PPS’s operations: distribution channels and risk management by sector. The first aspect demands working very closely with PPS’s insurance brokers to improve customer service, whether in issuing policies or when settling claims. In the risk management area, PPS has set up a qualified professional team that is charged with analyzing the risk portfolio and creating new products applying best practices in the selection, operations and marketing. PPS has also initiated a process to change its risk portfolio profile, by decreasing its share of the most volatile investments, and increasing the share of more predictable investments, such as investments in the automobile industry. New mass insurance products have also been added and are presently being launched in the market.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Management</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Caution is one of the basic pillars of Credicorp management, and it is supported by conservative risk management to limit losses that may result from unexpected changes in market conditions. In this regard, Credicorp will continue with its policy of matching assets and liabilities based on terms and currencies, in order to reduce the risks related to liquidity, interest rates and exchange rates. Credicorp will continue applying caution in credit granting and will also continue with its conservative approach in building reserves to support its liabilities in the insurance business and covering any possible deterioration of its loan portfolio and other assets. In the last few years, Credicorp has worked extensively on analyzing and adapting its processes to mitigate operational risk, a task that has brought Credicorp to the forefront of financial activities in Peru. Credicorp’s top management is convinced that applying and maintaining a cautious policy in managing risk is the key to creating long-term growth while protecting the net worth of its customers and shareholders.</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(3) Credicorp Operating Groups</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conducts its business operations through four different principal subsidiaries: BCP and subsidiaries (which include BCB), Atlantic Security Holding Corporation, Pacífico Peruano Suiza and Grupo Crédito (which includes Prima AFP).</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Credicorp’s commercial banking business is carried out through BCP, Credicorp’s largest subsidiary and the oldest bank in Peru. A portion of Credicorp’s commercial banking business is also carried out by ASHC, which principally serves Peruvian private banking customers through offices in Panama. Credicorp conducts commercial banking activities in Bolivia through BCB, a full service commercial bank with US$528.5 million in deposits, US$653.6 million in assets and US$367.9 million in loans, as of December 31, 2006. As of such time, BCB was the third largest Bolivian bank in terms of loans and deposits, with a 14.8% market share.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color w:val="auto"/>
        </w:rPr>
        <w:t>Credicorp’s commercial banking business is organized into wholesale banking activities, which are carried out by BCP’s Wholesale Banking Group (which includes the Corporate Banking operations of ASHC), and retail banking activities, which are carried out by BCP’s Retail Banking Group. Credicorp performs its leasing operations either directly through BCP or through Crédito Leasing S.A. (“Credileasing”), a subsidiary of BCP.</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“¾(11) Supervision and Regulation—(ii) BCP”), and the guidelines set forth by Credicorp’s Board of Directors.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Credicorp’s deposit-taking operations are principally managed by BCP’s Retail Banking Group and ASHC’s Private Banking Group. See “¾(12) Selected Statistical Information—(iv) Deposits.”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Credicorp’s trading and brokerage activities are conducted through BCP and ASHC and, since January 2003, through Credicorp Securities Inc. (“Credicorp Securities”), a wholly owned subsidiary of Credicorp. Credicorp Securities is a U.S. registered broker-dealer with its offices in Miami. Credicorp’s asset management business is carried out by BCP in Peru, through its subsidiary Credifondo, and by Prima AFP, the pension fund administrator.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Peru. In addition, Credicorp also distributes such products through ASHC.</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last few years, Credicorp has consolidated an important line of business, namely, investment management for its customers. The growth of this business may be attributed to several major factors, the most outstanding of which is Credicorp’s incursion into the business of managing Peruvian private pension funds in August 2005, through Prima AFP, and the subsequent acquisition of AFP Unión in August 2006. Another contributing factor was the growing penetration of mutual funds in Peru in general in recent years. BCP’s mutual funds subsidiary, Credifondo, leads the market, with a share of 47.8% of the total assets currently under management. Finally, another relevant factor was the high and sustained growth of the international mutual funds and financial advisory services offered by BCP’s affiliate, Atlantic Security Bank, to its private banking customers. In December 31, 2006, the sum of the market value of the assets under management serviced by the Investment Management, International Mutual Funds, and Financial Advisory Services Groups totaled US$6,976 million.</w:t>
      </w:r>
    </w:p>
    <w:p>
      <w:pPr>
        <w:spacing w:after="0" w:line="24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Because of the size of these businesses, the importance of the commissions they generate and, above all, the fiduciary responsibility they entail, Credicorp has been developing a corporate supervision project entitled Asset Management, the main objectives of which are to establish homogeneous risk control and investment policies and evaluate the management and results of the portfolios under management based on best international practices.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Asset Management is composed of four main components:</w:t>
      </w:r>
    </w:p>
    <w:p>
      <w:pPr>
        <w:spacing w:after="0" w:line="279"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Portfolio Management: Credicorp seeks to consolidate the good performance of its portfolios and funds through strict risk control and an</w:t>
      </w:r>
    </w:p>
    <w:p>
      <w:pPr>
        <w:spacing w:after="0" w:line="46"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appropriate level of diversification. To achieve this, it focuses on improving three key aspects: investment policies, investment processes and management metrics.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jc w:val="both"/>
        <w:ind w:left="1300" w:hanging="320"/>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Management: Credicorp focuses on providing quality financial advisory services, building customer loyalty, and encouraging customers to invest in a diverse combination of securities according to their risk profile. Credicorp’s objective is to improve the standards of the advisory services that the commercial bank offers and to distinguish between the levels of advisory services provided to different sectors.</w:t>
      </w:r>
    </w:p>
    <w:p>
      <w:pPr>
        <w:spacing w:after="0" w:line="2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Brokerage: Credicorp attempts to provide a timely and high quality service, offering competitive execution costs, channeling a greater proportion of the assets traded by the group’s companies to profitable investments and identifying opportunities for joint action (resulting in better prices), in addition to improving controls aimed at avoiding possible conflicts of interest.</w:t>
      </w:r>
    </w:p>
    <w:p>
      <w:pPr>
        <w:spacing w:after="0" w:line="23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Analysis: Credicorp seeks to identify, quantify, regulate and, ultimately, minimize the risks associated with operations, credit, market, liquidity, legal contingencies, conflict of interests and other risks. Another objective of risk analysis is setting corporate investment limits, creating a portfolio investments risk manual, and ensuring strict compliance with risk control rules.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Credicorp conducts its insurance operations exclusively through PPS and its subsidiaries, which provides a broad range of insurance products. PPS focuses on three business areas, </w:t>
      </w:r>
      <w:r>
        <w:rPr>
          <w:rFonts w:ascii="Arial" w:cs="Arial" w:eastAsia="Arial" w:hAnsi="Arial"/>
          <w:sz w:val="17"/>
          <w:szCs w:val="17"/>
          <w:i w:val="1"/>
          <w:iCs w:val="1"/>
          <w:color w:val="auto"/>
        </w:rPr>
        <w:t>i.e.</w:t>
      </w:r>
      <w:r>
        <w:rPr>
          <w:rFonts w:ascii="Arial" w:cs="Arial" w:eastAsia="Arial" w:hAnsi="Arial"/>
          <w:sz w:val="17"/>
          <w:szCs w:val="17"/>
          <w:color w:val="auto"/>
        </w:rPr>
        <w:t>,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72" w:lineRule="exact"/>
        <w:rPr>
          <w:sz w:val="20"/>
          <w:szCs w:val="20"/>
          <w:color w:val="auto"/>
        </w:rPr>
      </w:pPr>
    </w:p>
    <w:p>
      <w:pPr>
        <w:ind w:left="920" w:hanging="588"/>
        <w:spacing w:after="0"/>
        <w:tabs>
          <w:tab w:leader="none" w:pos="9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(i)General</w:t>
      </w:r>
    </w:p>
    <w:p>
      <w:pPr>
        <w:spacing w:after="0" w:line="2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activities include commercial banking, investment banking and retail banking. As of December 31, 2006, the consolidated operations of BCP ranked first among Peruvian banks in terms of total assets of S/.33.7 billion (US$10.5 billion), total loans of S/.18.7 billion (US$5.6 billion), deposits of S/.26.7 billion (US$8.4 billion) and shareholders’ equity of S/.2.9 billion (US$0.9 billion). As of December 31, 2006, BCP’s loans, on an unconsolidated basis, represented approximately 30.5% and the deposits represented approximately 36.2% of the total Peruvian banking system, respectively.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2006, BCP had the largest branch network of any commercial bank in Peru with 237 offices, including 147 in Lima and the adjoining city of Callao. BCP operates an agency in Miami and a branch in Panama.</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2006, BCP accounted for 69.7% of Credicorp’s total revenues, 82.2% of total assets, 88.3% of net income and 71.6% of shareholders’ equity. BCP’s operations are supervised and regulated by the SBS and the Central Bank.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Beginning in February 2007, BCP implemented a new way to grouping its loan portfolio for business and management purposes. The new grouping criteria changed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b w:val="1"/>
                <w:bCs w:val="1"/>
                <w:color w:val="auto"/>
              </w:rPr>
              <w:t>Before</w:t>
            </w:r>
          </w:p>
        </w:tc>
        <w:tc>
          <w:tcPr>
            <w:tcW w:w="204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After</w:t>
            </w:r>
          </w:p>
        </w:tc>
      </w:tr>
      <w:tr>
        <w:trPr>
          <w:trHeight w:val="223"/>
        </w:trPr>
        <w:tc>
          <w:tcPr>
            <w:tcW w:w="25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1"/>
              </w:rPr>
              <w:t>Group</w:t>
            </w:r>
          </w:p>
        </w:tc>
        <w:tc>
          <w:tcPr>
            <w:tcW w:w="840" w:type="dxa"/>
            <w:vAlign w:val="bottom"/>
          </w:tcPr>
          <w:p>
            <w:pPr>
              <w:spacing w:after="0"/>
              <w:rPr>
                <w:sz w:val="19"/>
                <w:szCs w:val="19"/>
                <w:color w:val="auto"/>
              </w:rPr>
            </w:pPr>
          </w:p>
        </w:tc>
        <w:tc>
          <w:tcPr>
            <w:tcW w:w="21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r>
      <w:tr>
        <w:trPr>
          <w:trHeight w:val="237"/>
        </w:trPr>
        <w:tc>
          <w:tcPr>
            <w:tcW w:w="3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Up to 0.3</w:t>
            </w:r>
          </w:p>
        </w:tc>
        <w:tc>
          <w:tcPr>
            <w:tcW w:w="204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0"/>
              </w:rPr>
              <w:t>Micro-business</w:t>
            </w:r>
          </w:p>
        </w:tc>
        <w:tc>
          <w:tcPr>
            <w:tcW w:w="296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Until 0.3</w:t>
            </w:r>
          </w:p>
        </w:tc>
        <w:tc>
          <w:tcPr>
            <w:tcW w:w="3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Micro-business</w:t>
            </w:r>
          </w:p>
        </w:tc>
      </w:tr>
      <w:tr>
        <w:trPr>
          <w:trHeight w:val="243"/>
        </w:trPr>
        <w:tc>
          <w:tcPr>
            <w:tcW w:w="3240" w:type="dxa"/>
            <w:vAlign w:val="bottom"/>
            <w:gridSpan w:val="3"/>
          </w:tcPr>
          <w:p>
            <w:pPr>
              <w:spacing w:after="0"/>
              <w:rPr>
                <w:sz w:val="20"/>
                <w:szCs w:val="20"/>
                <w:color w:val="auto"/>
              </w:rPr>
            </w:pPr>
            <w:r>
              <w:rPr>
                <w:rFonts w:ascii="Arial" w:cs="Arial" w:eastAsia="Arial" w:hAnsi="Arial"/>
                <w:sz w:val="18"/>
                <w:szCs w:val="18"/>
                <w:color w:val="auto"/>
              </w:rPr>
              <w:t>From 0.3 to 1</w:t>
            </w:r>
          </w:p>
        </w:tc>
        <w:tc>
          <w:tcPr>
            <w:tcW w:w="2040" w:type="dxa"/>
            <w:vAlign w:val="bottom"/>
          </w:tcPr>
          <w:p>
            <w:pPr>
              <w:jc w:val="center"/>
              <w:ind w:right="330"/>
              <w:spacing w:after="0"/>
              <w:rPr>
                <w:sz w:val="20"/>
                <w:szCs w:val="20"/>
                <w:color w:val="auto"/>
              </w:rPr>
            </w:pPr>
            <w:r>
              <w:rPr>
                <w:rFonts w:ascii="Arial" w:cs="Arial" w:eastAsia="Arial" w:hAnsi="Arial"/>
                <w:sz w:val="18"/>
                <w:szCs w:val="18"/>
                <w:color w:val="auto"/>
                <w:w w:val="89"/>
              </w:rPr>
              <w:t>Small Business</w:t>
            </w:r>
          </w:p>
        </w:tc>
        <w:tc>
          <w:tcPr>
            <w:tcW w:w="2960" w:type="dxa"/>
            <w:vAlign w:val="bottom"/>
            <w:gridSpan w:val="2"/>
          </w:tcPr>
          <w:p>
            <w:pPr>
              <w:ind w:left="840"/>
              <w:spacing w:after="0"/>
              <w:rPr>
                <w:sz w:val="20"/>
                <w:szCs w:val="20"/>
                <w:color w:val="auto"/>
              </w:rPr>
            </w:pPr>
            <w:r>
              <w:rPr>
                <w:rFonts w:ascii="Arial" w:cs="Arial" w:eastAsia="Arial" w:hAnsi="Arial"/>
                <w:sz w:val="18"/>
                <w:szCs w:val="18"/>
                <w:color w:val="auto"/>
              </w:rPr>
              <w:t>From 0.3 to 1.5</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Small Business</w:t>
            </w:r>
          </w:p>
        </w:tc>
      </w:tr>
      <w:tr>
        <w:trPr>
          <w:trHeight w:val="243"/>
        </w:trPr>
        <w:tc>
          <w:tcPr>
            <w:tcW w:w="3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From 1 to 15</w:t>
            </w:r>
          </w:p>
        </w:tc>
        <w:tc>
          <w:tcPr>
            <w:tcW w:w="204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3"/>
              </w:rPr>
              <w:t>Middle market</w:t>
            </w:r>
          </w:p>
        </w:tc>
        <w:tc>
          <w:tcPr>
            <w:tcW w:w="296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From 1.5 to 30</w:t>
            </w:r>
          </w:p>
        </w:tc>
        <w:tc>
          <w:tcPr>
            <w:tcW w:w="3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2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Middle market</w:t>
            </w:r>
          </w:p>
        </w:tc>
      </w:tr>
      <w:tr>
        <w:trPr>
          <w:trHeight w:val="243"/>
        </w:trPr>
        <w:tc>
          <w:tcPr>
            <w:tcW w:w="3240" w:type="dxa"/>
            <w:vAlign w:val="bottom"/>
            <w:gridSpan w:val="3"/>
          </w:tcPr>
          <w:p>
            <w:pPr>
              <w:spacing w:after="0"/>
              <w:rPr>
                <w:sz w:val="20"/>
                <w:szCs w:val="20"/>
                <w:color w:val="auto"/>
              </w:rPr>
            </w:pPr>
            <w:r>
              <w:rPr>
                <w:rFonts w:ascii="Arial" w:cs="Arial" w:eastAsia="Arial" w:hAnsi="Arial"/>
                <w:sz w:val="18"/>
                <w:szCs w:val="18"/>
                <w:color w:val="auto"/>
              </w:rPr>
              <w:t>Higher than 15</w:t>
            </w:r>
          </w:p>
        </w:tc>
        <w:tc>
          <w:tcPr>
            <w:tcW w:w="2040" w:type="dxa"/>
            <w:vAlign w:val="bottom"/>
          </w:tcPr>
          <w:p>
            <w:pPr>
              <w:jc w:val="center"/>
              <w:ind w:right="350"/>
              <w:spacing w:after="0"/>
              <w:rPr>
                <w:sz w:val="20"/>
                <w:szCs w:val="20"/>
                <w:color w:val="auto"/>
              </w:rPr>
            </w:pPr>
            <w:r>
              <w:rPr>
                <w:rFonts w:ascii="Arial" w:cs="Arial" w:eastAsia="Arial" w:hAnsi="Arial"/>
                <w:sz w:val="18"/>
                <w:szCs w:val="18"/>
                <w:color w:val="auto"/>
                <w:w w:val="89"/>
              </w:rPr>
              <w:t>Corporate</w:t>
            </w:r>
          </w:p>
        </w:tc>
        <w:tc>
          <w:tcPr>
            <w:tcW w:w="2960" w:type="dxa"/>
            <w:vAlign w:val="bottom"/>
            <w:gridSpan w:val="2"/>
          </w:tcPr>
          <w:p>
            <w:pPr>
              <w:ind w:left="840"/>
              <w:spacing w:after="0"/>
              <w:rPr>
                <w:sz w:val="20"/>
                <w:szCs w:val="20"/>
                <w:color w:val="auto"/>
              </w:rPr>
            </w:pPr>
            <w:r>
              <w:rPr>
                <w:rFonts w:ascii="Arial" w:cs="Arial" w:eastAsia="Arial" w:hAnsi="Arial"/>
                <w:sz w:val="18"/>
                <w:szCs w:val="18"/>
                <w:color w:val="auto"/>
              </w:rPr>
              <w:t>Higher than 30</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Corporate</w:t>
            </w: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grouping was a result of an analysis, which addressed factors beyond the simple size and volume of activity for each client, and looked also at clients’ affiliation with other companies or groups, the degree of follow-up required, their credit ratings, etc. As a result of this process, US$75 million of the loan portfolio of the SME group (Retail) was transferred to the Middle Market group (Wholesale).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one subsidiary in Bolivia and an affiliate bank, Atlantic Security Bank, in the Cayman Islands.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2006 are as follows:</w:t>
      </w:r>
    </w:p>
    <w:p>
      <w:pPr>
        <w:spacing w:after="0" w:line="279" w:lineRule="exact"/>
        <w:rPr>
          <w:sz w:val="20"/>
          <w:szCs w:val="20"/>
          <w:color w:val="auto"/>
        </w:rPr>
      </w:pPr>
    </w:p>
    <w:p>
      <w:pPr>
        <w:jc w:val="both"/>
        <w:ind w:left="1300" w:hanging="320"/>
        <w:spacing w:after="0" w:line="25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Banco de Crédito de Bolivia is BCP’s commercial bank in Bolivia. BCP owns 96% of BCB and Credicorp holds the remaining interest. BCB initiated operations under the BCP umbrella in February 1994. In July 1998, BCB absorbed Banco de la Paz’s operations for US$140 million, making BCB the fourth largest bank in Bolivia. In May 1999, BCB acquired the portfolio of Banco Boliviano Americano for US$116 million and became Bolivia’s second largest bank. Currently, BCB is the fourth largest bank in Bolivia in terms of market share and has a network of 57 offices located throughout Bolivia. BCB owns one of Bolivia’s largest brokerage houses, Credibolsa S.A. Agente de Bolsa. BCP targets middle- and small-sized clients and offers a broad range of corporate, personal banking and leasing products. Credicorp’s total direct and indirect investment in Bolivia is currently delimited to be US$70 million. BCB’s results are consolidated in BCP’s financial statements.</w:t>
      </w:r>
    </w:p>
    <w:p>
      <w:pPr>
        <w:spacing w:after="0" w:line="24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Credibolsa Sociedad Agente de Bolsa (“Credibolsa”) was established in June 1991 and is fully owned by BCP. It is engaged in portfolio advisory and brokerage activities in the Lima Stock Exchange.</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Credileasing offers a large variety of financial leasing products. Credileasing was established in July 1996 and is 100% owned by BCP.</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8" w:name="page29"/>
    <w:bookmarkEnd w:id="28"/>
    <w:p>
      <w:pPr>
        <w:ind w:left="1300" w:hanging="320"/>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Credifondo Sociedad Administradora de Fondos Mutuos (“Credifondo”) is a mutual fund management company, established in 1994.</w:t>
      </w:r>
    </w:p>
    <w:p>
      <w:pPr>
        <w:spacing w:after="0" w:line="344" w:lineRule="exact"/>
        <w:rPr>
          <w:rFonts w:ascii="Arial" w:cs="Arial" w:eastAsia="Arial" w:hAnsi="Arial"/>
          <w:sz w:val="17"/>
          <w:szCs w:val="17"/>
          <w:color w:val="auto"/>
        </w:rPr>
      </w:pPr>
    </w:p>
    <w:p>
      <w:pPr>
        <w:ind w:left="1300" w:hanging="320"/>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Creditítulos (“Creditítulos”) was established in 1997 and is fully owned by BCP. The company serves as an asset securitization entity.</w:t>
      </w:r>
    </w:p>
    <w:p>
      <w:pPr>
        <w:spacing w:after="0" w:line="344"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This subsidiary was created to manage and promote the sale of real estate that had been foreclosed or received in payment by BCP.</w:t>
      </w:r>
    </w:p>
    <w:p>
      <w:pPr>
        <w:spacing w:after="0" w:line="260" w:lineRule="exact"/>
        <w:rPr>
          <w:rFonts w:ascii="Arial" w:cs="Arial" w:eastAsia="Arial" w:hAnsi="Arial"/>
          <w:sz w:val="18"/>
          <w:szCs w:val="18"/>
          <w:color w:val="auto"/>
        </w:rPr>
      </w:pPr>
    </w:p>
    <w:p>
      <w:pPr>
        <w:ind w:left="1420" w:hanging="764"/>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has traditionally represented the majority of BCP’s loans.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Wholesale Banking Group competes with local and foreign banks. BCP’s traditional relationships provide the Wholesale Banking Group with a competitive advantage.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2006, the Wholesale Banking Group kept the positive trend in loan placements which started in prior years, posting average portfolio levels of US$2,976 million in 2006, 17% higher than in 2005. This result was achieved despite BCP’s already large market share, the aggressive competition, and the financial disintermediation caused by the rapid development of the local capital markets. BCP has the largest capital base among Peruvian banks, which provides it with more resources to meet the financing needs of its corporate clients. Since Peruvian companies were not able to access international sources of credit until the mid-1990s,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is divided into the following areas:</w:t>
      </w:r>
    </w:p>
    <w:p>
      <w:pPr>
        <w:spacing w:after="0" w:line="279" w:lineRule="exact"/>
        <w:rPr>
          <w:sz w:val="20"/>
          <w:szCs w:val="20"/>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US$15 million (US$30 million beginning February 2007);</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Trade Finance, which manages BCP’s relationship with financial institutions abroad;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33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non-profit organizations, state-owned companies and other major institutions; and</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income from the wholesale banking sector reached US$119 million, a growth which resulted from the increase in business volume and compensated for the reduction in lending rates. Income from financial services accounted for 43% of the total income generated by the wholesale banking sector. At the same time, the retail group, undergoing reorganization, still accounts for the bulk of loan placements, with 69% of the wholesale banking sector in this area.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Although state-controlled corporations are served by BCP’s Wholesale Banking Group, mostly in connection with international trade finance, BCP does not regularly extend loans directly to the Peruvian government or to regional or municipal governments.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According to BCP’s internal reports, loans provided by the Corporate Banking Area represent 37% of BCP’s total loans granted in 2006. Despite the relatively small growth of this group (due to the growing array of financing alternatives offered by the capital markets), corporate banking loans grew for the third consecutive year and reached an average portfolio balance of US$1,805 million, which represents a 14% increase compared to 2005. The composition of these loans was approximately 66% foreign currency-denominated (primarily U.S. Dollar-denominated) and 34% Nuevo Sol-denominated. As in the middle market banking sector, the corporate banking group has faced a very aggressive competitive environment in terms of rates, which translated into a reduction in the lending spreads. On the deposit side, corporate deposits kept growing, accounting for approximately 28% of BCP’s total deposits.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Client Profile: The Corporate Banking Area is focused on serving large-sized companies with annual turnover of over US$15 million (over US$30 million beginning February 2007) with audited financial statements and with dominant market positions given their particular products or brands. BCP may classify other firms under this category even if they do not meet the above criteria if they belong to very large economic groups from industries that are important to the country’s economy.</w:t>
      </w:r>
    </w:p>
    <w:p>
      <w:pPr>
        <w:spacing w:after="0" w:line="24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Products: The Corporate Banking Area offers a broad range of products and tailors its product offerings to meet the unique requirements of each client. In general, this Area is oriented to offering high-value-added products and services, particularly cash management services, at competitive prices.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financings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Guarantees received by this Area consist of receivables in the case of sales financing, warrants or pledges on inventory, in the case of inventory financing, and real guarantees, in the case of financing for fixed asset acquisitions and improvements to their infrastructure.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 in loans.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Middle Market Banking Area generally serves the same industries and offers the same products as the Corporate Banking Area. Its focus, however, is on providing its customers with working capital loans, primarily secured by accounts receivables. This is accomplished by arranging financing for medium- and long-term investment programs, including leasing services offered through Credileasing. BCP has a middle market client portfolio of approximately 4,200 companies.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annual average loan portfolio of the Middle Market Banking Area of BCP reached US$1.2 billion in 2006, 22% higher than the average US$963 million in 2005 (US$859 million in 2004), despite the enforcement of stringent credit quality requirements. BCP expects that this sector will grow and increase its relative importance as the Peruvian economy grows.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 expects significant opportunities in lending to middle market businesses, particularly in Peru’s agriculture, fishing and construction industries, where special emphasis has been placed and specific task Areas have been created to attend to the needs of these economic groups.</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State of Peru) and such international financial institutions as Corporación Andina de Fomento (Andean Development Corporation or “CAF”), the International Finance Corporation (“IFC”) and the Inter-American Development Bank, in several medium-term credit lines for project financings in certain sectors.</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margins in the Middle Market Banking Area continue to be attractive. Because of their size, middle market companies in Peru generally do not have access to the local or international capital markets or to credit from foreign banks. In addition, BCP believes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Middle Market Banking Area focuses on organizations with annual revenue levels between US$1 million to US$15 million (between US$1.5 million and US$30 million, starting February 2007), through seven regional managers nationwide.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products offered to middle market clients resemble those offered to corporate banking clients. The three major types of products are:</w:t>
      </w:r>
    </w:p>
    <w:p>
      <w:pPr>
        <w:spacing w:after="0" w:line="291"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33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Banking Area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Institutional Banking Area was moved from the Retail Banking Group to the Wholesale Banking Group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Specialized teams in both the Wholesale Banking and Retail Banking Groups serve these clients.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Institutional Banking Area is strategically important due to the business potential of its clients, which demand diverse products and services, and the opportunities its clients present for generating income from fees and cross-selling opportunities. The Institutional Banking Area’s clients are principally users of transactional products and require consultancy for investment management. BCP’s strategy in this Area is focused on building customer loyalty by offering customized services at relatively competitive rates and provides outstanding service quality. The institutional banking clients mainly require remote office banking, collections and automated payroll payment services.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Trade Finance</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International Trade Finance Area is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the International Trade Finance Area earns fees by providing customers with letters of credit and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maintains business relations with over 1,000 correspondent banks, development organizations, multilateral financial organizations, and Export Credit Agencies in countries around the world. At present, BCP manages credit lines for foreign trade transactions, working capital and medium- and long-term investment projects. Although these credit lines are largely underutilized given BCP’s strong liquidity position, they remain available should U.S. Dollar liquidity undergo a correction or demand for U.S. Dollar-denominated loans increase.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Against a backdrop of high liquidity, BCP had to enter other regional markets to increase returns, in particular Ecuador, where approximately US$30.0 million was placed in 2005 and 2006. These loans were granted to companies enjoying the soundest creditworthiness ratings, and in strict compliance with country risk guidelines. In addition, some inroads were made in the Chilean market despite thin margins.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the Peruvian Central Bank, in 2006 Peruvian exports increased 37.6% to US$23.8 billion from US$17.3 billion in 2005, principally due to increased exports of mining products and of manufactured goods. During the same year and based on BCP’s internal report, BCP’s exports volume increased 56.17% to US$8.9 billion from US$5.7 billion in 2005, amounting to 37.4% of total Peruvian exports. Total Peruvian imports were US$14.9 billion in 2006, increasing 23.1% from US$12.1 billion in 2005, principally due to higher demand for capital goods and raw materials. BCP’s import letters of credit, collections and transfers amounted to US$2.9 billion in 2006, increasing from US$2.8 billion in 2005.</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and has access to a wide network of foreign correspondent banks to offer several internationally competitive products to its customers.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During 2004, BCP’s significant surplus of liquidity allowed it to maintain a very low use of foreign lines of credit.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2006, BCP introduced to the market a new product that supports exporters whose sales to other countries are conducted with no bills of credit or document collection. By introducing Factoring Internacional, BCP created an affiliation with Factor Chain International (FCI), the world’s largest chain in these types of products. BCP can presently acquire export invoices and relieve the exporters’ working capital needs.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Lastly, to benefit from synergies in the correspondent banks business, the International Trade Finance Area now manages business with government financial organizations that were formerly comprised in the Institutional Banking client portfolio and the local Financial Institutions industry.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Group in the first quarter of 1996 in order to enhance its effectiveness as the demands of Peru’s larger corporations move away from loan-based operations toward capital markets-based operations. This Area focuses on the capital markets, primarily debt and equity issues, project financing, corporate financing, financial restructurings and mergers and acquisitions.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upon BCP’s internal records, BCP’s share of the market for structuring fixed-income instruments increased to 38.3% in 2006 from 32.3% in the previous year. Private debt placements, after increasing 79% in 2003 to US$1.5 billion, declined 16.6% in 2004 to US$1.2 billion, increased 24.8% in 2005 to US$1.5 billion, and slightly increased again by 1.6% to US$1.6 billion in 2006. Among its main operations in 2006, of particular importance was the structuring of the private bond offering of Concesionaria Trasvase Olmos for US$100 million. Additionally, in December, BCP successfully completed a consulting project to Odebrecht for financing IIRSA Sur. BCP also structured the financing of Compañía Eléctrica El Platanal for US$120 million. Lastly, BCP placed Pluspetrol bonds for US$150 million by means of a public bond offering.</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operations related to project financing and structured loans according to its internal reports, BCP’s Corporate Finance Area structured transactions of medium term during 2006 worth a total of US$269 million from a total of US$749 million structured transactions in the market. Funding for important Peruvian companies spanned different sectors such as electricity generation, mining, oil and gas. Important transactions included the financing of Yanacocha Mining Company for US$47 million, Red de Energía del Perú for US$34 million, and Energía del Sur S.A. - Enersur for US$40 million.</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Additionally, the Corporate Finance Area structures short-term instruments, mostly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Leasing</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Leasing offers and manages financial leasing operations. It also carries out medium-term operations, principally for small and medium-sized companies. BCP is the leader with a market share of 35.5% of total leasing.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estimates that BCP’s lease finance business is currently the largest in Peru, with a market share of approximately 35.5% as of December 31, 2006. The principal means of financing for Credileasing is through the issuance of specific leasing bonds and mid-term loans. The total amount of outstanding leasing bonds reached S/.441.4 million (US$138.1 million) as of December 31, 2006. According to SBS, Credileasing’s market share among specialized leasing companies was 63.2% as of December 31, 2006.</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leasing business continued its recovery during 2006. BCP’s leasing loan balances showed a 23.9% growth in 2006, as a consequence of tax rule stabilization applicable to leasing operations and the growth of the Peruvian economy, which is evolving favorably.</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Growth during 2006 was driven by business loans in sectors requiring investment in mining, transportation services to mining companies, energy generation, fishing and manufacturing companies. Loan demand also increased in the telecommunications sector.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as well as reducing costs using electronic channels and increasing fee income.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2006, transactional services continued to contribute to BCP’s earnings. The monthly average number of current accounts increased by 10.8% and fee revenues increased by 7.7% compared to those of 2005. This improvement is mainly the result of the dynamism experienced in SME (small business) sector. Collection services, such as bills and companies’ collections, generated commissions that increased 6.5% and 17.2%, respectively, over the 2005 collections. BCP’s strategic decision to offer value to its clients through the implementation of more efficient mechanism of information related to these services, explained part of this improvement. On the other hand, the higher demand by clients for the remote banking service, “Telecredito,” generated 15.7% more transactions than were in 2005. Other commissions generated by remittances abroad and tax collections grew 20.8% and 17.8%, respectively, from those generated in 2005. Likewise, the transaction volume generated by Electronic Factoring increased 32% in 2006. Finally, the electronic service for invoice financing, recently introduced in the market, grew by 154% in volume with respect to that of 2005.</w:t>
      </w:r>
    </w:p>
    <w:p>
      <w:pPr>
        <w:spacing w:after="0" w:line="270"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 to BCP’s internal reports, retail banking-related loans accounted for approximately 37% of BCP’s total loans in 2006 compared to 36% in 2005, 33% in 2004, 28% in 2003 and 22% in 2002.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After several years of declining loan volumes of BCP’s retail Groups, volumes grew in 2002, particularly in loans to small businesses and home mortgages, but decreased again in 2003, and had a modest 4.4% increase in 2004, according to BCP’s internal records. Nevertheless, within retail lending, home mortgages and micro-business loans continued to show strong growth in 2005 and 2006. In 2006, home mortgages grew approximately 14.5% to US$859 million, while micro-business loans grew approximately 48% to US$355 million.</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segmentation of its retail client base, BCP is able to focus on the cross-selling of products and on improving per-client profitability. BCP’s management expects the retail banking businesses to be one of the principal growth Area for BCP’s lending activities.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retail banking targets and serves individuals and small-sized companies with annual income levels of up to US$1 million. BCP’s objective is to establish profitable long-term relationships with this broad client base, using classification strategies that satisfy the specific needs of each client type. BCP’s retail banking operations are carried out by two Groups: Service Banking and Retail Banking. See “¾(iii) Service Banking.” The Retail Banking Group is subdivided further into four Areas in order to serve each client group appropriately. These four Areas include Exclusive Banking, Small Business Banking, Micro Business Banking and Consumer Banking. The Retail Banking Group manages BCP’s mortgages and credit card products.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Exclusive Banking is BCP’s private banking area, which manages a select number of individual customers who are key to BCP because of the high volume of loan and deposit business they generate, and their attractive profitability.</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Exclusive Banking Area principally serves a select number of high-income customers with the most profitable personal accounts and specializes in offering personalized service. BCP’s Exclusive Banking Area serves a client base of high net worth individuals with an outstanding credit history. It serves households with at least US$10,000 in loans and/or US$20,000 in deposits. Exclusive Banking is a profitable Area and generates a high volume of business.</w:t>
      </w: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 Exclusive Banking, BCP provides a preferential and distinguished service, offering both traditional and innovative products to its clients. BCP considers the Exclusive Banking client base to be of strategic importance to BCP. Clients within this sector receive personal service from an executive of the Exclusive Banking Area. Belonging to this sector gives customers the advantage of preferential interest rates for loans and deposits and personalized service through an assigned official. Beginning in 2004, Exclusive Banking customers were advised of savings alternatives using capital markets products, including investments in mutual funds, given the continuing low levels of interest rates paid on banking deposits.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management believes that in 2006 the Exclusive Banking Area continued to increase its ties with existing customers, as well as to add new customers, for which sophisticated commercial plans were developed. The Exclusive Banking Area has approximately 86,521 customers, with total deposits of US$1.8 billion (including mutual funds) and US$779.4 million in loans.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Small Business Banking and Micro Business Banking (SME)</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BCP’s Small Business Banking Area serves approximately 9,000 clients who have annual sales between US$300,000 and US$1 million. In 2004, following the merger with Solución, this Area experienced some adjustment, </w:t>
      </w:r>
      <w:r>
        <w:rPr>
          <w:rFonts w:ascii="Arial" w:cs="Arial" w:eastAsia="Arial" w:hAnsi="Arial"/>
          <w:sz w:val="17"/>
          <w:szCs w:val="17"/>
          <w:i w:val="1"/>
          <w:iCs w:val="1"/>
          <w:color w:val="auto"/>
        </w:rPr>
        <w:t>i.e.</w:t>
      </w:r>
      <w:r>
        <w:rPr>
          <w:rFonts w:ascii="Arial" w:cs="Arial" w:eastAsia="Arial" w:hAnsi="Arial"/>
          <w:sz w:val="17"/>
          <w:szCs w:val="17"/>
          <w:color w:val="auto"/>
        </w:rPr>
        <w:t>, a division of the portfolio between large clients, which were kept in Small Business Banking, and the smaller clients, which were incorporated into the incoming Solución portfolio and are currently part of Micro Business Banking. These businesses benefit from products specifically designed for their needs, such as the Cash Credit for Businesses, a revolving credit line repaid in installments, as well as the usual credit products: discounted notes, letters of credit, guarantees and stand-by credits.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jc w:val="both"/>
        <w:ind w:right="20" w:firstLine="648"/>
        <w:spacing w:after="0" w:line="308" w:lineRule="auto"/>
        <w:rPr>
          <w:sz w:val="20"/>
          <w:szCs w:val="20"/>
          <w:color w:val="auto"/>
        </w:rPr>
      </w:pPr>
      <w:r>
        <w:rPr>
          <w:rFonts w:ascii="Arial" w:cs="Arial" w:eastAsia="Arial" w:hAnsi="Arial"/>
          <w:sz w:val="17"/>
          <w:szCs w:val="17"/>
          <w:color w:val="auto"/>
        </w:rPr>
        <w:t>According to BCP’s internal reports, the Small Business Banking loan portfolio grew from US$211.4 million in 2005 to US$269.5 million in 2006 (without considering contingent facilities). In terms of deposits, this sector increased deposits from US$349.8 million to US$414.5 million.</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Micro-Business Banking Area concentrates its efforts on small loans to individuals who primarily derive their income from small, family-run businesses. This Area deals with business resulting from the Solución merger, together with the smallest clients from the Small Business Banking Area. In spite of its high informality and high creditworthiness risk, this sector shows one of the most attractive growth and bank penetration potentials, which has driven BCP to work towards its development in two fronts: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loans to micro-businesses as of December 31, 2006 amounted to US$355 million, representing a 48% increase from 2005.</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Banking is in charge of servicing BCP’s traditional retail client base and is also in charge of mortgage lending and credit cards. BCP’s Consumer Banking Area targets and serves medium- to low-income individuals. BCP estimates that its Consumer Banking client base consists of approximately 2,110,300 households.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Consumer Banking Area offers standard service platforms including bank tellers and ATMs and services, which fit the characteristics and financial habits of this client base. Consumer lending products offered include cash consumer loans, payroll loans and loans for specific purposes such us automobile purchases, travel and education.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2006, BCP was the largest mortgage lender in Peru with a market share of 37.5% of total mortgage loans in the Peruvian banking system. This was, to a large extent, the result of extensive marketing campaigns and improvements in the quality of procedures for extending credit and establishing guarantees.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expects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economic growth in Peru. BCP believes that it has become the largest issuer of MiVivienda credits, increasing its market share of outstanding loans from 6% in 2002 to 28% in 2005, according to Asociación de Bancos del Perú (“ASBANC”).</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had US$859 million of outstanding mortgage loans as of December 31, 2006 compared to US$750 million for year-end 2005. Additionally, BCB’s mortgage loans reached US$111 million as of December 31, 2006.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on the value of the house to be purchased of up to US$35,000. BCP will finance up to 90% of the appraised value of a property where monthly mortgage payments do not exceed 30% of the client’s stable net income. The maximum maturity of the mortgage loans BCP offers is 25 years in U.S. Dollars and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MiVivienda program was terminated. However, local banks, with government’s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Cards</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market for credit cards in Peru has grown significantly as improving economic conditions have led to increased consumer spending. BCP expects strong demand for credit cards to continue. In addition to interest income, BCP derives fee income from customer application and maintenance, retailer transactions, merchant processing and finance and penalty charges on credit cards.</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BCP’s internal records, the number of active credit cards issued by BCP increased from 296,000 in 2005 to 378,677 in 2006. Total purchases went up from US$498.0 million to US$592 million. BCB has issued approximately 13,522 active credit cards.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cards are primarily, and have been historically, issued through Visa, but in May 2000 BCP began offering American Express cards. BCP estimates that its credit cards account for 18% of the credit cards issued by the banking system in Peru as of December 31, 2006. The estimated total number of credit cards issued in Peru as of December 31, 2006 was approximately 5 million, of which approximately 44% were issued by non-banking entities or department stores.</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1997, VISANET was established in Peru to process transactions involving credit and debit card transactions and to widen their acceptance, with the participation of major local banks and Visa International. BCP is the largest shareholder of VISANET, holding approximately 36% of its total shares. Based upon BCP’s internal data, the number of electronic payment terminals was approximately 18,000 in 2005 compared to 15,741 in 2004.</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SBS, the credit balance as of December 31, 2006 was US$432.7 million, representing 8.1% of total loans. Based on internal reports, in 2006 BCP’s market share over the total volume of credit cards issued by banks and finance companies was 17.7%, compared to 16.3% in 2005. These numbers reflect BCP’s strategy of seeking more widespread use of the cards at the lower end of the consumer market. In order to maintain a portfolio with robust management procedures, BCP works continuously to monitor and optimize models of scoring, including, among others, behavior, payments and income forecasting.</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group of clients who do not regularly have access to credit cards, campaigns were launched to increase the use of the Credimás debit card as a form of payment. This resulted in a year-to-year increase of 30.6% from US$232.5 million to US$303.6 million, achieving a market share of 58.3% in this market.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7" w:name="page38"/>
    <w:bookmarkEnd w:id="37"/>
    <w:p>
      <w:pPr>
        <w:ind w:left="1460" w:hanging="804"/>
        <w:spacing w:after="0"/>
        <w:tabs>
          <w:tab w:leader="none" w:pos="1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Service Banking Group</w:t>
      </w:r>
    </w:p>
    <w:p>
      <w:pPr>
        <w:spacing w:after="0" w:line="2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Service Banking Group is in charge of managing distribution channels and procedures aimed at satisfying requirements of retail banking and also includes Areas specifically responsible for processes and information regarding technological and organizational matters as well as for the operation of BCP’s branch network. BCP evaluates its branch network on a continuous basis to monitor branch profitability in order to improve operating efficiency.</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Service Banking Group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the clients. For this reason, BCP started in 2005, the implementation of new attention channels known as Agentes ViaBCP. The Agentes ViaBCP are attention points located in small business stores and attended to by the business’s owner, which allow operations for limited amounts to be carried out, thus expanding the attention network to Area which register a low number of operations. Sixty-one Agentes BCP were installed in 2005, while in 2006 490 were added. BCP expects to have installed approximately 1,000 Agentes BCP by the end of 2007.</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reduce costs and improve service quality, BCP has encouraged use of electronic channels in which transactions costs are lower than at bank windows and service is faster and more efficient. Thus, despite a larger total number of transactions, the share of window and telephone transactions over total transactions continued to fall from 40% to 36%, between 2005 and 2006, while the number of transactions at automatic tellers, automatic balance machines and Internet banking rose from 42% to 44%.</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Service Banking Group is oriented towards satisfying client needs. Service Banking serves all of BCP’s existing clients as well as potential clients and aims to improve BCP’s profitability levels and increase resource retention levels through the efficient use of assigned resources. Furthermore, the Service Banking Group supervises the execution of operations and processes of BCP’s network channels and Areas to ensure superior quality service levels with the lowest operating and commercial costs. This Group is also in charge of supervising compliance within the branch network.</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2006, BCP’s branch network consisted of 153 branches in Greater Lima and 84 branches in the provinces of Peru, the largest number of branches with the most extensive country coverage of any privately held bank in Peru. Credicorp believes that BCP’s branch network has been largely responsible for BCP’s success in attracting stable, relatively low-cost deposits. BCP has installed the most extensive network of ATMs in Peru, currently consisting of 655 ATMs, up from 551 at year-end 2005, in addition to other electronic channels, including the Internet and Agentes ViaBCP, that provide clients with a wider array of services and reduce congestion in the branches. During 2002, BCP began operations of an agency in Miami and a branch in Panama, and closed its branches in Nassau and New York. During 2003, BCP converted BCOL, its offshore bank in the Bahamas, into an investment vehicle and sold it to ASHC. ASHC subsequently consolidated BCOL into its operations during 2004.</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BCB has 57 branches located throughout Bolivia, as well as 142 ATMs, making it the largest ATM network in Bolivia.</w:t>
      </w:r>
    </w:p>
    <w:p>
      <w:pPr>
        <w:spacing w:after="0" w:line="316" w:lineRule="exact"/>
        <w:rPr>
          <w:sz w:val="20"/>
          <w:szCs w:val="20"/>
          <w:color w:val="auto"/>
        </w:rPr>
      </w:pPr>
    </w:p>
    <w:p>
      <w:pPr>
        <w:ind w:left="1400" w:hanging="744"/>
        <w:spacing w:after="0"/>
        <w:tabs>
          <w:tab w:leader="none" w:pos="1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treasury, custody and trust, investment advisory services, and general research activities.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The products offered are distributed through BCP’s subsidiaries and branches. A close relationship and coordination with subsidiaries has established BCP as the market leader in the capital markets business.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Credibolsa is BCP’s brokerage subsidiary through which BCP offers a wide variety of variable and fixed income products and services. Activities include the structuring and placement of primary market issues and the execution and trading of secondary market transactions.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include short/long term, US dollar and local currency, fixed/variable income and real estate funds.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subsidiary, Credibolsa, is the leading brokerage house on the Lima Stock Exchange. According to data from the Lima Stock Exchange, during 2006, Credibolsa had a total trading volume of US$2.96 billion, increasing from US$1.8 billion in 2005. Credibolsa had 18.93% of the total trading volume in variable equity instruments on the Lima Stock Exchange and 67.39% of the volume in trading of fixed income instruments on the Exchange in 2006, compared to 15.98% and 54.1% in 2005, respectively. Credibolsa’s trading volume was generated by domestic customers, both retail and institutional, and by foreign institutional clients as well as by Credicorp’s proprietary trading.</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BCP’s management believes that, despite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has been one of the principal agents in the equity offerings of privatized companies in Peru.</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Peru’s Central Bank and in financings through certificates of deposit, inter-bank transactions and guaranteed negotiable notes, among other instruments. According to BCP’s internal reports, its foreign exchange transaction volume was US$13.2 billion in the forward market and US$34.3 billion in the spot market in 2006, achieving a market share in the foreign exchange trading services of approximately 35% in the forward market and 31% in the spot market.</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1994, BCP created Credifondo S.A., Sociedad Administradora de Fondos Mutuos de Inversión en Valores (Credifondo) to establish, provide advice to and operate mutual funds in Peru. In 2006, it continued to be the largest mutual fund manager in Peru with 49.2% of the market at year-end, as compared to 50.9% in 2004, based upon data from the Comisión Nacional Supervisora de Empresas y Valores (“CONASEV”), the Peruvian securities market authority. As of December 31, 2006, total Peruvian funds in the mutual funds system amounted to US$2.58 billion, increasing 30% from US$2.0 billion in 2005.</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CONASEV, as of December 31, 2006, Credifondo managed five separate funds, with a total of 81,774 participants (48.8% of total participants) compared to 64,886 (56.2% of total participants) in 2005. Among the securities in which the different funds specialize are: equities, U.S. Dollar-denominated bonds, Nuevo Sol-denominated bonds, U.S. Dollar-denominated short-term securities and U.S. Dollar-denominated real estate securities. As of December 31, 2006, the total amount of funds managed by Credifondo was US$1,234 million, increasing from US$1,015 million as of December 31, 2005. Such funds are subject to certain volatility, and there can be no assurance as to their future performance. Credicorp does not guarantee any return on these investments.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2006, the Bolivian fund administrator managed a total of US$57.6 million of third-party funds (US$55.3 million in 2005).</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Trust, Custody and Securitization Services</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US$15.6 billion in securities for over 61,297 domestic and foreign clients. Custody services provided by BCP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2000, Inversiones Crédito del Perú (now Grupo Crédito), a subsidiary of Credicorp, jointly with two other Peruvian banks, formed La Fiduciaria S.A. (“Fiduciaria”), an associated entity and the first specialized trust services company in Peru, in which Credicorp holds a 45% interest. In its seventh year of existence, Fiduciaria has managed trusts for a majority of the institutions in the national financial system, putting itself at the forefront of fiduciary services in the country. Operations encompassed sectors including energy, communications, mining, tourism, fishing, education and construction. Fiduciaria ended 2006 with 116 outstanding operations (102 in 2005).</w:t>
      </w:r>
    </w:p>
    <w:p>
      <w:pPr>
        <w:spacing w:after="0" w:line="279" w:lineRule="exact"/>
        <w:rPr>
          <w:sz w:val="20"/>
          <w:szCs w:val="20"/>
          <w:color w:val="auto"/>
        </w:rPr>
      </w:pPr>
    </w:p>
    <w:p>
      <w:pPr>
        <w:ind w:left="1460" w:hanging="804"/>
        <w:spacing w:after="0"/>
        <w:tabs>
          <w:tab w:leader="none" w:pos="1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Uniform credit policies and approval and review procedures are based upon conservative criteria adopted by BCP and are uniformly applied to all of its subsidiaries. These policies are set within the guidelines established by Peruvian financial sector laws and SBS regulations. (See “—(11) Supervision and Regulation— (ii) BCP,” and the guidelines set forth by Credicorp’s Board of Directors.)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jc w:val="both"/>
        <w:ind w:firstLine="648"/>
        <w:spacing w:after="0" w:line="264" w:lineRule="auto"/>
        <w:rPr>
          <w:sz w:val="20"/>
          <w:szCs w:val="20"/>
          <w:color w:val="auto"/>
        </w:rPr>
      </w:pPr>
      <w:r>
        <w:rPr>
          <w:rFonts w:ascii="Arial" w:cs="Arial" w:eastAsia="Arial" w:hAnsi="Arial"/>
          <w:sz w:val="18"/>
          <w:szCs w:val="18"/>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sector.</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Normal, Potential Problem, Deficient, Doubtful and Loss.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area,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the Board of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Risk without collateral or</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with only personal</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Risk with preferred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US$ thousands</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collateral or guarantee</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guarantees (1)</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Board of Directors</w:t>
            </w:r>
          </w:p>
        </w:tc>
        <w:tc>
          <w:tcPr>
            <w:tcW w:w="22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No credit limit</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No credit limit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No credit limit</w:t>
            </w:r>
          </w:p>
        </w:tc>
      </w:tr>
      <w:tr>
        <w:trPr>
          <w:trHeight w:val="25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Executive Committee</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60,000</w:t>
            </w: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60,000</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General Manager</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15,000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Credit Group Manager</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FFCC"/>
          </w:tcPr>
          <w:p>
            <w:pPr>
              <w:spacing w:after="0"/>
              <w:rPr>
                <w:sz w:val="22"/>
                <w:szCs w:val="22"/>
                <w:color w:val="auto"/>
              </w:rPr>
            </w:pP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15,000</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Credit Risk Manager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22"/>
                <w:szCs w:val="22"/>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Credit Risk Chiefs</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FFCC"/>
          </w:tcPr>
          <w:p>
            <w:pPr>
              <w:spacing w:after="0"/>
              <w:rPr>
                <w:sz w:val="21"/>
                <w:szCs w:val="21"/>
                <w:color w:val="auto"/>
              </w:rPr>
            </w:pP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500" w:right="4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mortagages, non-real estate property guarantees and assets generated by leasing operations.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 hired officers are generally required to have held previous positions as loan officers.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1" w:name="page42"/>
    <w:bookmarkEnd w:id="41"/>
    <w:p>
      <w:pPr>
        <w:jc w:val="both"/>
        <w:ind w:firstLine="648"/>
        <w:spacing w:after="0" w:line="293" w:lineRule="auto"/>
        <w:rPr>
          <w:sz w:val="20"/>
          <w:szCs w:val="20"/>
          <w:color w:val="auto"/>
        </w:rPr>
      </w:pPr>
      <w:r>
        <w:rPr>
          <w:rFonts w:ascii="Arial" w:cs="Arial" w:eastAsia="Arial" w:hAnsi="Arial"/>
          <w:sz w:val="16"/>
          <w:szCs w:val="16"/>
          <w:color w:val="auto"/>
        </w:rPr>
        <w:t>In general, BCP is a secured lender. As of December 31, 2006, approximately US$2.796 billion of the loan portfolio and contingent credits were secured by collateral which represents 53.1% of the total loan portfolio based upon BCP’s unconsolidated figures (51.3% as of December 31, 2005 and 50.2% as of December 31, 2004).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25%. In cases where a borrower encounters difficulties, BCP seeks to obtain additional collateral.</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the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261" w:lineRule="exact"/>
        <w:rPr>
          <w:sz w:val="20"/>
          <w:szCs w:val="20"/>
          <w:color w:val="auto"/>
        </w:rPr>
      </w:pPr>
    </w:p>
    <w:p>
      <w:pPr>
        <w:ind w:left="1500" w:hanging="844"/>
        <w:spacing w:after="0"/>
        <w:tabs>
          <w:tab w:leader="none" w:pos="1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Deposits are principally managed by BCP’s Retail Banking Group. The main objective of BCP’s retail banking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amounting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these core deposits represented 96.7% of BCP’s total deposits on an unconsolidated basis. BCP’s extensive branch network facilitates access to this type of stable and low-cost source of funding. BCP’s corporate clients are also an important source of funding for BCP. As of December 31, 2006, BCP’s Wholesale Banking Group accounted for approximately 41% of total deposits, of which 46% were demand deposits, 49% time deposits, and 4% savings. Of all deposits from BCP’s Wholesale Banking Group, most (54.5%) were foreign currency-denominated (almost entirely U.S. Dollars) and the balance (45.5%) was Nuevo Sol-denominated.</w:t>
      </w:r>
    </w:p>
    <w:p>
      <w:pPr>
        <w:spacing w:after="0" w:line="279" w:lineRule="exact"/>
        <w:rPr>
          <w:sz w:val="20"/>
          <w:szCs w:val="20"/>
          <w:color w:val="auto"/>
        </w:rPr>
      </w:pPr>
    </w:p>
    <w:p>
      <w:pPr>
        <w:ind w:left="1560" w:hanging="904"/>
        <w:spacing w:after="0"/>
        <w:tabs>
          <w:tab w:leader="none" w:pos="15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Commercial banking operations are supported by BCP’s Market Risk Area, which evaluates and helps administer credit relationships, establishes credit policies and monitors credit risk. See “—(4) BCP and Subsidiaries— (vi) Lending Policies and Procedures.”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2" w:name="page43"/>
    <w:bookmarkEnd w:id="42"/>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is a technology leader in the Peruvian banking sector. BCP developed its technology platform largely using internal resources and was the second to introduce ATMs in 1986 in the Peruvian market, the first to introduce electronic banking for corporations in 1988, telephone banking in 1996, and Internet banking for the retail sector in 1999.</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believes that BCP offers a wider range of banking services through its ATM network and electronic banking facilities than any of its competitors. In 1974, BCP, in an effort to improve the data transmission among its offices connected all its offices through the Teleproceso - TP Bancario, becoming the first bank in Latin America able to approve account balances online, allowing, among others, money transfers from an account in one province of Peru to another province, immediately.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BCP’s retail banking services and a substantial portion of BCP’s corporate banking services are fully computerized. All of BCP’s points of service, including branches, ATMs and POS terminals, are linked to BCP’s Data Processing Center, permitting BCP to monitor and analyze service while allowing most transactions to be executed on a real-time, online basis.</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technology operations and initiatives are managed by BCP’s electronic data processing and software development departments. These departments employ a total of 550 full-time employees, including employees who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 is in the process of designing a disaster recovery system which duplicates all of operational and functional systems by mirroring each of BCP’s computer systems. BCP’s disaster recovery center is located 10 miles from BCP’s main center. However, BCP has just started the first stage of a project, aiming to move this center out of the city of Lima. In the event of a disaster, natural or otherwise, whereby BCP cannot operate its technology infrastructure, the system is designed to act as a surrogate technology backbone, providing all of BCP’s services to the branches and electronic banking systems. The system is designed to allow BCP to operate under as close to normal conditions as possible during such a disaster, although this system has never been required to date.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Linux/Unix/Windows server systems are deployed or upgraded to host collaborative applications, call center and virtual POS systems. JAVA-based application servers have been chosen as the strategic growth platform for core business applications. Over the next three years, the replacement of BCP’s branch automation software has been designed to use the latest proven technology available, which will improve its successful system that among other things can prioritize queues for eligible customers via a ticketing system in the branches.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3" w:name="page44"/>
    <w:bookmarkEnd w:id="43"/>
    <w:p>
      <w:pPr>
        <w:jc w:val="both"/>
        <w:ind w:firstLine="648"/>
        <w:spacing w:after="0" w:line="289" w:lineRule="auto"/>
        <w:rPr>
          <w:sz w:val="20"/>
          <w:szCs w:val="20"/>
          <w:color w:val="auto"/>
        </w:rPr>
      </w:pPr>
      <w:r>
        <w:rPr>
          <w:rFonts w:ascii="Arial" w:cs="Arial" w:eastAsia="Arial" w:hAnsi="Arial"/>
          <w:sz w:val="16"/>
          <w:szCs w:val="16"/>
          <w:color w:val="auto"/>
        </w:rPr>
        <w:t>During 2006, the System and Organization Group continued playing its main role by designing and improving processes, managing strategic projects, and providing coaching in the technology and organization area. A total US$62.2 million was spent by the Group, of which US$48.5 million related to recurrent expenses and US$13.7 million to the development of several projects targeted at meeting the Bank’s strategic goals. One of the most important objectives is the growth of the Agente BCP channel, which is able to perform new tasks such as service payments and, issuing and collection of payment orders and foreign remittances. Another important project was the modernization of the Contact Center which improved the availability and stability of the Phone Banking services. In 2006, BCP has also taken a few major steps towards the technological upgrading of the Bank’s branches, putting more emphasis on sales and modern processes and systems that provide easier and faster services for the customer. Those steps included: the implementation of the new “Servimatic” (a balance inquiry service), with new and more modern ticketing devices; the Customer’s File, which shows the customer’s information and facilitates the commercial work on the platform; and the new and technologically robust Balance and Activity Consultation equipment.</w:t>
      </w:r>
    </w:p>
    <w:p>
      <w:pPr>
        <w:spacing w:after="0" w:line="2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One of the projects aiming at increasing the loan placements in the Retail Banking area - the new MIC system - was launched before the end of 2006. The first phase of the project complements the processing of credit card sales; with the new system, BCP can interact with the customers online, and provide them with instant approval and credit line determination. In 2007, the new MIC system will be expanded to other products such as personal credits.</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Lastly, between September and December 2006, a joint team of Prima AFP, Unión Vida and BCP successfully integrated Prima AFP systems with those of Unión Vida, as part of the implementation of the merger process.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ECO Program</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ECO Program (Excellence in Operational Continuity) will guarantee our customers quality and seamless service. As part of the Program, BCP upgraded and replicated its data processing center in La Molina to a new data center in Chorrillos and an out of region recovery center in Trujillo City, Lima. All of these centers will be using the most modern and efficient technologies available in the market, to guarantee a redundant, reliable electrical system. With these renewed processing centers, BCP hopes to be able to support any local incident without interrupting the service.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ECO Program, which in addition to an efficient processing network also includes improvement of data retrieval processes, is expected to be completed and operating by the second half of 2008.</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CMMI</w:t>
      </w:r>
    </w:p>
    <w:p>
      <w:pPr>
        <w:spacing w:after="0" w:line="27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September 2006, the System and Organization Group obtained the CMMI (Capability Maturity Model Integration) Maturity Level 3 certification, developed by the Software Engineering Institute, an international software engineering organization sponsored by the United States Department of Defense and operated by Carnegie Mellon University, becoming the first Latin American bank and the first Peruvian company to receive such recognition.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Model describes the capabilities a software development organization should have to obtain continued excellence levels, based on the principle that the quality of a system or product is highly dependent on the quality of the processes used to develop and maintain it. CMMI, which is based on the TQM (Total Quality Management) discipline and is compliant with the International Organization for Standardization (ISO) requirements, has turned into a global standard used by the world’s largest companies.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i w:val="1"/>
          <w:iCs w:val="1"/>
          <w:color w:val="auto"/>
        </w:rPr>
        <w:t>Centenario Technological Center</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the Bank’s evolution, its business keeps growing and diversifying, resulting in demand for new and improved applications and products. As a consequence of these developments, 100 new hires were approved as well. This additional workforce and the needs identified by the ECO Program led to the use of the Centenario Technological Center.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new Centenario Technological Center, the Information Technology Area will be able to increase its service capability.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 In 2006, BCP’s strategy was developed mainly on two fronts: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Generating Value</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terms of generating value, the Bank continues to develop strategies to approach different customer groups. The increasing usage of CRM (Customer Relation Management) tools across all sectors enables the Bank to reach customers and provide them with personalized offers and terms in a timely manner. In an effort to build long-term relationships, the Bank has boosted its development and training activities, including training programs with small-business owners supported by Universidad del Pacífico, the fair organization ExpoNegocios, Bodegas y Mercados, and intensive seminars conducted in 10 cities across the country. Another key element for creating value is innovation, and BCP has launched several innovative products, including new products in the services provided to very wealthy customers; new benefits to customers whose wages are paid at their BCP accounts; and the development of the Línea Múltiple de Negocios [Multiple Business Line] that allows our business banking service customers to meet their financial needs with a comprehensive, easy-to-use product.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Quality in Service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Quality in service is a permanent goal for BCP. In this field, progress has been made as part of implementing a new regulation promulgated under the Consumer Protection Law, including significant investments geared at improving service and keeping customers informed about the products and services we offer. We have also implemented longer working hours in branches.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Improved processes and supporting tools have enabled us to follow up and leverage growing businesses. The new commercial loan disbursement process (promissory notes, loans, advances and issuing bank guarantees nationwide) was successfully implemented by using CAPS as a tool. This allowed us to improve our customer service timing and to reduce our business consultants’ and assistants’ workload. In 2006, we received fewer general complaints, which dropped by 22% from 2005.</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efforts to improve our service quality have been communicated in successful advertising campaigns on TV which have won us awards such as the Gran Effie 2006, the highest award granted in Peru for advertising effectiveness and the Communication Award in Financial Marketing granted by the Latin American Banking Federation.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ind w:left="1460" w:hanging="804"/>
        <w:spacing w:after="0"/>
        <w:tabs>
          <w:tab w:leader="none" w:pos="1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Anti Money Laundering Policies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1995, BCP has implemented programs and adopted policies designed to comply with the “know your customer” regulations in the countries in which it operates. As an additional precaution, ASHC will open accounts only for individuals or entities that are recommended by senior officers of ASHC or BCP.</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Peru has long-standing laws criminalizing money-laundering activities, and such laws were further strengthened in 1996 with the adoption of the Peruvian Banking Law, which incorporated the guidelines of the Organization of American States directly into Peruvian law, and Law 28306, which revised functions assigned to the Financial Intelligence Area, a public entity in charge of directing anti-money-laundering actions and monitoring information that public and private companies are required to provide. The Financial Intelligence Area has the authority to request detailed reports with respect to the movement of funds and the identity of depositors. According to recently enacted regulations, mainly Law 28306 and SBS Resolution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w:t>
      </w:r>
    </w:p>
    <w:p>
      <w:pPr>
        <w:spacing w:after="0" w:line="268" w:lineRule="exact"/>
        <w:rPr>
          <w:sz w:val="20"/>
          <w:szCs w:val="20"/>
          <w:color w:val="auto"/>
        </w:rPr>
      </w:pPr>
    </w:p>
    <w:p>
      <w:pPr>
        <w:ind w:left="1400" w:hanging="744"/>
        <w:spacing w:after="0"/>
        <w:tabs>
          <w:tab w:leader="none" w:pos="1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2006, BCP had 8,859 full-time employees, compared to 7,479 employees as of December 31, 2005 and 7,694 employees as of December 31, 2004. All employees of banks in Peru are given the option of belonging to an employee union, and such employee unions are collectively represented by the Federación de Empleados Bancarios or Federation of Banking Employees (“FEB”). In order to negotiate a collective agreement on behalf of its members, FEB must have as members over 50% of all Peruvian banking employees. Because the representation of banking employees members in FEB has declined to below 50%, primarily because of the substantial reduction in the size of the state-owned banking business during the 1990s, the most recent collective bargaining agreement, which expired on June 30, 1995, was not renewed. As of December 31, 2006, BCP had no unionized employees. The last strike by union employees occurred in 1991 and did not interfere with BCP’s operations.</w:t>
      </w:r>
    </w:p>
    <w:p>
      <w:pPr>
        <w:spacing w:after="0" w:line="268" w:lineRule="exact"/>
        <w:rPr>
          <w:sz w:val="20"/>
          <w:szCs w:val="20"/>
          <w:color w:val="auto"/>
        </w:rPr>
      </w:pPr>
    </w:p>
    <w:p>
      <w:pPr>
        <w:ind w:left="920" w:hanging="588"/>
        <w:spacing w:after="0"/>
        <w:tabs>
          <w:tab w:leader="none" w:pos="9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 engages in trade finance, private banking, asset management and proprietary investment and trading activities. ASCH was incorporated in December 1981 in the Cayman Islands and principally serves Peruvian-based customers through banking offices in Panama and representative offices in Lima.</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Credicorp’s commercial banking business is also carried out by ASHC, which principally serves Peruvian private banking customers through offices in Panama. As of December 31, 2006, ASHC had total assets of US$1,379.1 million and shareholders’ equity of US$178.9 million (compared with US$1,114.6 million and US$164.8 million, respectively, as of December 31, 2005). ASHC’s net income was US$31.5 million in 2006 and US$25.2 million in 2005, which included income from dividends paid by Credicorp. Larger revenues from dividends are a consequence of strong Credicorp dividend payments in 2006, resulting from improved earnings in the prior year. Though not reflected in the consolidated results, ASHC’s net income attributable to Credicorp increased compared to the US$13.5 million registered during the 2005, reaching a total of US$15.4 million.</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loans outstanding in ASHC’s portfolio were US$160.4 million and US$133.8 million at December 31, 2005, and 2006, respectively, representing a decrease of 16.6%. Deposits increased 25.2% to US$1,166.1 at December 31, 2006 from US$931.7 million at December 31, 2005. Third-party assets under management increased 37.3% from US$1,017.0 million in 2005 to US$1,396.2 million in 2006, principally due to the increase in value of customers stock portfolios. ASHC’s past due loans as a percentage of total loans was 0.0% from 1996 through 2002, but reached 2.3% as of December 2003, and declined back to 0.0% at December 31, 2004, 2005 and 2006.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6" w:name="page47"/>
    <w:bookmarkEnd w:id="46"/>
    <w:p>
      <w:pPr>
        <w:jc w:val="both"/>
        <w:ind w:firstLine="648"/>
        <w:spacing w:after="0" w:line="279" w:lineRule="auto"/>
        <w:rPr>
          <w:sz w:val="20"/>
          <w:szCs w:val="20"/>
          <w:color w:val="auto"/>
        </w:rPr>
      </w:pPr>
      <w:r>
        <w:rPr>
          <w:rFonts w:ascii="Arial" w:cs="Arial" w:eastAsia="Arial" w:hAnsi="Arial"/>
          <w:sz w:val="17"/>
          <w:szCs w:val="17"/>
          <w:color w:val="auto"/>
        </w:rPr>
        <w:t>ASHC’s Corporate Banking Group makes working capital and bridge loans. As of December 31, 2006, approximately 50.9% of ASHC’s loans were to Peruvian companies, 3.8% were to companies in Bolivia, 6.9% were to companies in Colombia, 3.9% were to companies in El Salvador, and the remainder were to borrowers in other Latin American countries. ASHC’s trade finance activities are conducted by its Corporate Banking Group. ASHC has concentrated its extensions of credit on short-term trade transactions with Latin American countries other than Peru.</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ASHC’s policy is to provide funding to customers on the basis of approved lines of credit. ASHC’s Credit Committee meets weekly to discuss the entire credit risk inherent in the risk portfolio, composed of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ASHC’s Private Banking Group’s clients have traditionally provided a stable funding source for ASHC, as many are long-time clients who maintain their deposits with ASHC. As of December 31, 2006, ASHC had approximately 3,200 customers. Currently, about 95% of ASHC’s private banking clients are Peruvian.</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ASHC trades on its own account primarily by making medium-term investments in fixed income securities, equity securities and sovereign debt.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2006, ASHC had approximately US$737.8 million, at fair values, invested in these types of securities (US$520.5 million in 2005). ASHC generally utilizes its own funds for these activities rather than borrowings. ASHC also holds an equity investment in Credicorp with a fair value of approximately US$598.6 million at December 31, 2006 (US$333.2 million at December 31, 2005). ASHC’s investment portfolio, as well as future purchases, sales, overall investment strategy and the general profile of the trading portfolio are reviewed on a monthly basis by an investment committee composed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ASHC’s Asset Management group, created in 1989, conducts ASHC’s management of third-party funds which, including the aggregate of third-party assets, had total assets under management of US$1,396.2 million as of December 31, 2006, compared to US$1,017.0 million as of December 31, 2005. This increase was principally due to the increase in value of customers’ stock portfolios. Investment decisions for funds, except for outsourced funds, are made by senior officers within ASHC, in accordance with guidelines of the Investment Committee.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7" w:name="page48"/>
    <w:bookmarkEnd w:id="47"/>
    <w:p>
      <w:pPr>
        <w:ind w:left="920" w:hanging="588"/>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conducts its insurance operations exclusively through PPS and through its subsidiaries El Pacífico Vida and Pacífico Salud, which together comprise Pacifico Grupo Asegurador, which provides a broad range of insurance products in the property and casualty, life and health groups. In 2006, the six most significant lines together constituted 79.6% of total premiums written by PPS. These are commercial property damage (including fire, earthquake and related coverage but not personal injury, tort or other liability risk), automobile, health, life and pension fund underwriting and life annuities. PPS is the second leading Peruvian insurance company, including private health companies, with a market share of 30.3% based on net premiums earned and fees in 2006.</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PPS’s consolidated net income attributable to Credicorp in 2006 was US$14.5 million, an increase of 159% from US$5.6 million in 2005. Total premiums increased 3.8% to US$372.6 million during 2006 from US$359.0 million in 2005, and net premiums earned, net of reinsured premiums and of technical reserves (as defined below in “—(ii) Claims and Reserves”), were US$259.1 million in 2006, increasing 16.4% as compared to the previous year. PPS’s net underwriting results increased 77.6% to US$34.8 million in 2006 from US$19.6 million in 2005, mainly due to higher gross premiums, lower claims and lower ceded rates. The ratio of underwriting results to total net premiums increased from 5.4% during 2005 to 9.3% in 2006, also mainly as a result of lower premiums ceded and lower reserves adjustments. The property and casualty businesses, which presented the best underwriting result among the various business Areas compared to the same period of 2005, were mainly marine hull, personal injuries and third-party liabilities. Meanwhile, operating expenses during 2006 represented 24.3% of net premiums earned, lower than 21.7% in 2005.</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case of the specialization by Areas, such as fire, automobiles, health and fraud, among others, a specialized team has been formed. This team is responsible for improving the technical results through a study of the risk portfolio by area, applying best practices in selection, operations and marketing, and for creating new products aligned with our economic and social reality.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PPS’s business is highly concentrated, with a client base of over 20,000 companies and over 240,000 individuals in the property and casualty and health insurance programs, not including individuals affiliated with group health insurance programs through the companies by which they are employed. PPS’s life insurance client base consists of over 130,000 individuals. As of December 2006, revenues from policies written for PPS’s three largest and 20 largest customers represented 5.2% and 19.9% of total premiums in P&amp;C and Health insurance, respectively, PPS’s property insurance lines are sold through agents and brokers, while life insurance is sold by its own sales force. The 10 largest brokers accounted for approximately 35.7% of total premiums as of December 31, 2006 (36.4% as of December 31, 2005).</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El Pacífico Vida (“Pacífico Vida”), PPS life insurance subsidiary since 1997, is 38%-owned by ALICO, a subsidiary of AIG. In 2006, Pacífico Vida had total premiums of US$117.2 million, a 6.1% increase from total premiums of US$110.5 million in 2005. Pacífico Vida’s net income reached US$9.4 million in 2006, close to the US$9.9 million reached in 2005. Pacífico Vida’s market share was 23.0% in 2006 versus 23.7% in 2005. Individual life and personal injuries businesses increased 22.0%, mainly due to improved productivity and growth of their sales force, reaching a market share of 31.8%. Life annuity business decreased 16% in total earnings and showed a reduction in market share from 21% to 17.7%, mainly due to a more conservative investment policy, which decelerated the demand for this product. The pension fund underwriting business grew 26% with respect to the same period in 2005. Likewise, Group Life, Legal Life, SCTR and Credit Life increased thanks to the business with BCP such as credit cards and mortgage loans. In 2006, total premiums on Group Life, Legal Life and SCTR increased by 18.9% with Credit Life being the most dynamic product, reaching an increase of 30% over that of 2005. Pacífico Vida, the life insurance company, generated financial earnings amounting to US$35.1 million in 2006.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In 1999, PPS formed Pacífico Salud, becoming one of only three private health insurance companies in Peru at that time to offer an alternative to public social security. In March 2004, PPS acquired Novasalud EPS for US$6.5 million and merged it with Pacífico Salud in August 2004. Pacífico Salud had total revenue of US$80.7 million in 2006 (US$78.5 million in 2005), with a net income of US$3.7 million in 2006 (compared to loss of US$1.9 million in 2005) mainly due to higher production and lower claims registered.</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2006, PPS has improved its internal reporting and risk management processes to produce reliable financial statements and control risk, in line with international reporting standards and in compliance with the regulatory requirements applicable to Credicorp Ltd., PPS’s parent company, which is listed on the NYSE. Thus, in 2006 PPS has become one of the few local companies to achieve such reporting and control standards.</w:t>
      </w:r>
    </w:p>
    <w:p>
      <w:pPr>
        <w:spacing w:after="0" w:line="256"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 commercial property or other risks related thereto, with agents and brokers inspecting properties for smaller risks.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2006 were, among others, Lloyd’s, New Hampshire Insurance Co., Münchener Ruck, Swiss Reinsurance Co., Hannover Ruck, XL Re Ltd., Liberty Mutual, London Life, Mapfre Re and QBE Reinsurance. Premiums ceded to reinsurers represented 21.0%, 18.9% and 17.0% of premiums written in 2004, 2005 and 2006, respectively. PPS acts as a reinsurer on a very limited basis, providing its excess reinsurance capacity to other Peruvian insurers who are unable to satisfy their reinsurance requirements. As of December 31, 2006, premiums for reinsurance written by PPS totaled US$6.1 million.</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 See “—(ii) Claims and Reserves.”</w:t>
      </w:r>
    </w:p>
    <w:p>
      <w:pPr>
        <w:spacing w:after="0" w:line="272" w:lineRule="exact"/>
        <w:rPr>
          <w:sz w:val="20"/>
          <w:szCs w:val="20"/>
          <w:color w:val="auto"/>
        </w:rPr>
      </w:pPr>
    </w:p>
    <w:p>
      <w:pPr>
        <w:ind w:left="1400" w:hanging="744"/>
        <w:spacing w:after="0"/>
        <w:tabs>
          <w:tab w:leader="none" w:pos="1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claims paid as a percent of net premiums written (</w:t>
      </w:r>
      <w:r>
        <w:rPr>
          <w:rFonts w:ascii="Arial" w:cs="Arial" w:eastAsia="Arial" w:hAnsi="Arial"/>
          <w:sz w:val="17"/>
          <w:szCs w:val="17"/>
          <w:i w:val="1"/>
          <w:iCs w:val="1"/>
          <w:color w:val="auto"/>
        </w:rPr>
        <w:t>i.e.</w:t>
      </w:r>
      <w:r>
        <w:rPr>
          <w:rFonts w:ascii="Arial" w:cs="Arial" w:eastAsia="Arial" w:hAnsi="Arial"/>
          <w:sz w:val="17"/>
          <w:szCs w:val="17"/>
          <w:color w:val="auto"/>
        </w:rPr>
        <w:t>, the net loss ratio) reached 60.3% in 2006, as in 2005, and lower than 52.3% in 2004. The net loss ratio from the health and medical assistance insurance line, which represented 29.8% of total premiums in 2006, (30.5% in 2005) decreased from 82.9% in 2005 to 82.2% in 2006. Automobile risks, 6.4% of PPS’s premiums in 2006 (4.9% in 2005), decreased from 63.1% in 2005 to 57.1% in 2005. The property casualty line, 13.3% of total premiums in 2006 (15.6% in 2005), increased from 24% in 2005 to 35.0% in 2006. The net loss ratio from private pension fund insurance, 8.0% of total premiums in 2006 (6.5% in 2005), decreased from 89.5% in 2005 to 86.3% in 2006.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establishes claims reserves with respect to claims when reported, as well as for incurred but not reported (IBNR) claims. Such reserves are reflected as liabilities in PPS’s financial statements.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including since 2003 unearned premiums, in the commercial property, business interruption, and engineering lines. See “—(11) Supervision and Regulation—(v) PPS—Reserve Requirements.” In accordance with IFRS principles, the pre-event reserves and income charges for catastrophic reserves are not considered in Credicorp’s consolidated financial statements.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316" w:lineRule="exact"/>
        <w:rPr>
          <w:sz w:val="20"/>
          <w:szCs w:val="20"/>
          <w:color w:val="auto"/>
        </w:rPr>
      </w:pPr>
    </w:p>
    <w:p>
      <w:pPr>
        <w:ind w:left="1440" w:hanging="784"/>
        <w:spacing w:after="0"/>
        <w:tabs>
          <w:tab w:leader="none" w:pos="1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2006, the book value of PPS’s available for sale investments was US$728.9 million, which included US$43.2 million in equity securities and US$685.7 million in bonds. In addition, real state investments book value reached US$31.8 million.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2004, PPS sold Credicorp Common Shares to ASHC. The sale amounted to S/.115.9 million (US$33.5 million) and resulted in a net gain of S/.75.5 million (US$21.7 million), which is not subject to income taxes, in PPS’s local records. In the Credicorp Consolidated Financial Statements, these Common Shares were included in the treasury shares equity account. In Credicorp’s records, all the effects of the transfer of these Common Shares, including the gains, were eliminated in the consolidation process. See “—(12) Selected Statistical Information—(iii) Loan Portfolio—Concentrations of Loan Portfolio and Lending Limits.”</w:t>
      </w:r>
    </w:p>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part of its improvement process, PPS changed its investments policy to employ the best international risk management practices and tools, and incorporated the recommendations of Solvencia II and Basel II with a view to developing a better match of terms and currencies with the company’s liabilities, especially in connection with obligations vis-à-vis PPS’s insured customers. The profits earned during 2006 may be attributed primarily to (i) the sale of a significant share package of Banco de Crédito as part of the effort to improve PPS’s currencies matching between assets and liabilities which generated gains of approximately US$40 million, for PPS (a related party transaction eliminated in the consolidation process), (ii) the interest rates growth in the last year, and (iii) the increase in the stock market value of shares in which PPS invested. Certain profitable transactions are not reflected in Credicorp’s results, since, as related-party transactions, they are eliminated in the consolidation process.</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consequence of these sales, additional investments were made, mainly in fixed income securities. Considering that PPS invested in some specific securities, there is no assurance that PPS will be able to dispose of large portions of its investment portfolio for market value. Consequently, there is a risk related to low liquidity in the event PPS is required to obtain cash in order to cover important liabilities.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0" w:name="page51"/>
    <w:bookmarkEnd w:id="50"/>
    <w:p>
      <w:pPr>
        <w:jc w:val="both"/>
        <w:ind w:firstLine="648"/>
        <w:spacing w:after="0" w:line="279" w:lineRule="auto"/>
        <w:rPr>
          <w:sz w:val="20"/>
          <w:szCs w:val="20"/>
          <w:color w:val="auto"/>
        </w:rPr>
      </w:pPr>
      <w:r>
        <w:rPr>
          <w:rFonts w:ascii="Arial" w:cs="Arial" w:eastAsia="Arial" w:hAnsi="Arial"/>
          <w:sz w:val="17"/>
          <w:szCs w:val="17"/>
          <w:color w:val="auto"/>
        </w:rPr>
        <w:t>Part of PPS’s strategy is to maintain an adequate U.S. Dollar position, since a significant portion of its premiums are denominated, and much of its operations are conducted, in U.S. Dollars. In 2006, 61.6% of the gross premiums received by PPS were denominated in U.S. Dollars (63.9% in 2005). As of December 31, 2006, PPS had US$61.8 million in fixed income bonds compared to US$81 million as of December 31, 2005. In addition, U.S. Dollar deposits in banks and U.S. Dollar current accounts were US$28.5 million and US$24.5 million at the end of 2005 and 2006, respectively.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72" w:lineRule="exact"/>
        <w:rPr>
          <w:sz w:val="20"/>
          <w:szCs w:val="20"/>
          <w:color w:val="auto"/>
        </w:rPr>
      </w:pPr>
    </w:p>
    <w:p>
      <w:pPr>
        <w:ind w:left="920" w:hanging="588"/>
        <w:spacing w:after="0"/>
        <w:tabs>
          <w:tab w:leader="none" w:pos="9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Prima AFP was established in 2005.</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2006, Prima AFP achieved major commercial and operating performance, reflected in 115,000 new customers from transfers and 23,000 more customers from affiliations, maintaining the highest levels of active contributors (estimated in approximately 90% compared with 38% for the industry) and average wages.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success replicated itself also in the field of investments, in which the company fulfilled its profitability promises.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Continuing to pursue its strategy of fast growth and positioning in the market, on August 24, 2006 Prima AFP reached an agreement with Grupo Santander Perú S.A. for the acquisition of 99.97% of Unión Vida AFP. The acquisition was consummated for a total of US$141 million and the final purchase price determination was made with the conclusion of the arbitration proceedings between the parties. As a result, Credicorp received a reimbursement in an approximate amount of US$4.5 million. See Notes 2(a) to Creditcorp Consolidated Financial Statement. Of the US$141 million came from a capital increase and US$29 million came from a BCP loan. Later, the company engaged in a tender offer directed at the minority shareholders. The company has successfully managed the operational and commercial challenges associated with the merger period. Unión Vida managed to resist competitive pressure, reaching 36,974 gross transfers and 8,907 affiliations between September and November 2006.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1" w:name="page52"/>
    <w:bookmarkEnd w:id="51"/>
    <w:p>
      <w:pPr>
        <w:ind w:firstLine="648"/>
        <w:spacing w:after="0" w:line="342" w:lineRule="auto"/>
        <w:rPr>
          <w:sz w:val="20"/>
          <w:szCs w:val="20"/>
          <w:color w:val="auto"/>
        </w:rPr>
      </w:pPr>
      <w:r>
        <w:rPr>
          <w:rFonts w:ascii="Arial" w:cs="Arial" w:eastAsia="Arial" w:hAnsi="Arial"/>
          <w:sz w:val="16"/>
          <w:szCs w:val="16"/>
          <w:color w:val="auto"/>
        </w:rPr>
        <w:t>The merger, which was completed on December 1, 2006, resulted in a company with greater human and technological capabilities and a consolidated market position benefiting from intrinsic synergies of the pension administration business. The merged company has the following characteristics:</w:t>
      </w:r>
    </w:p>
    <w:p>
      <w:pPr>
        <w:spacing w:after="0" w:line="178" w:lineRule="exact"/>
        <w:rPr>
          <w:sz w:val="20"/>
          <w:szCs w:val="20"/>
          <w:color w:val="auto"/>
        </w:rPr>
      </w:pPr>
    </w:p>
    <w:p>
      <w:pPr>
        <w:ind w:firstLine="656"/>
        <w:spacing w:after="0" w:line="277"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Combined capacity and experience of the staff of both companies, totaling, at the time of the merger, 275 administrative employees, 126 service and maintenance employees, 113 commercial supervision employees and 2,081 sales force employees.</w:t>
      </w:r>
    </w:p>
    <w:p>
      <w:pPr>
        <w:spacing w:after="0" w:line="224" w:lineRule="exact"/>
        <w:rPr>
          <w:rFonts w:ascii="Arial" w:cs="Arial" w:eastAsia="Arial" w:hAnsi="Arial"/>
          <w:sz w:val="18"/>
          <w:szCs w:val="18"/>
          <w:color w:val="auto"/>
        </w:rPr>
      </w:pPr>
    </w:p>
    <w:p>
      <w:pPr>
        <w:ind w:firstLine="656"/>
        <w:spacing w:after="0" w:line="277"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997 thousand affiliates, comprising 25.7% of the system, with US$4.2 billion under management comprising 29.2% of the funds in the system (ranking second in the market), as of December 2005.</w:t>
      </w:r>
    </w:p>
    <w:p>
      <w:pPr>
        <w:spacing w:after="0" w:line="224"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More than 17,000 pensioners enjoying a broad national presence with a total of 11 points of service and 19 points of sale.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close of 2006, the company posted losses of US$20.72 million and income of US$23.42 million. This was the case because the company continued to expand its income base progressively while it was still in a growth stage and faced high commercial expenses. Similarly, beginning in September 2006, it absorbed Unión Vida’s income and expenses, including important merger charges. Merger expenses included Unión Vida system accelerated depreciation due to its short useful life (until December 2006), staff lay-off costs and the amortization of the Unión Vida trademark, which use was discontinued since December 2006.</w:t>
      </w: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balance sheet terms, the capital increase of US$112 million stands out; this, coupled with indebtedness amounting to US$29 million extended by BCP, enabled the company to acquire 99.97% of AFP Unión Vida shares, which was manifested in an increase in assets, liabilities and equity. Additionally, the Prima AFP purchased the property now converted into the corporate headquarters. This implied borrowing US$11.3 million in the form of a loan from BCP. Due to additional operating debt requirements, the year-end debt figure stood at US$55.4 million. Management believes that, given expected future flows and the support of its shareholders, this level of indebtedness does not put Prima AFP’s operation at risk. As for the investment in Unión Vida, after discounting Unión Vida adjusted equity, US$98.0 million intangible assets were recorded, to be amortized over the next years. After discounts of US$32.8 million for deferred taxes and interest, US$49.0 million was recorded as goodwill. From the amount recorded as intangible assets, US$3.7 million corresponding to the “Unión Vida” brands were written off as of December 1, 2006, as the Group will no longer use or sell them.</w:t>
      </w:r>
    </w:p>
    <w:p>
      <w:pPr>
        <w:spacing w:after="0" w:line="22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merged company’s operating expenses cannot yet be used as an indicator of future company expenses given the short period of time since the merger was effected. Nevertheless, as of December 31, 2006, there appears a downtrend in the merged company’s operating expenses.</w:t>
      </w:r>
    </w:p>
    <w:p>
      <w:pPr>
        <w:spacing w:after="0" w:line="237" w:lineRule="exact"/>
        <w:rPr>
          <w:sz w:val="20"/>
          <w:szCs w:val="20"/>
          <w:color w:val="auto"/>
        </w:rPr>
      </w:pPr>
    </w:p>
    <w:p>
      <w:pPr>
        <w:ind w:left="920" w:hanging="588"/>
        <w:spacing w:after="0"/>
        <w:tabs>
          <w:tab w:leader="none" w:pos="9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9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banking sector is currently composed of 11 commercial banking institutions. As of December 31, 2006, BCP (excluding foreign branches) ranked first among all Peruvian banks in terms of assets, deposits and loans with a market share of 36.1% of assets, 36.2% of deposits and 30.5% of loans.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Major Peruvian Banks as of December 31, 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Deposits</w:t>
            </w:r>
          </w:p>
        </w:tc>
        <w:tc>
          <w:tcPr>
            <w:tcW w:w="200" w:type="dxa"/>
            <w:vAlign w:val="bottom"/>
          </w:tcPr>
          <w:p>
            <w:pPr>
              <w:spacing w:after="0"/>
              <w:rPr>
                <w:sz w:val="20"/>
                <w:szCs w:val="20"/>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Loans</w:t>
            </w:r>
          </w:p>
        </w:tc>
        <w:tc>
          <w:tcPr>
            <w:tcW w:w="160" w:type="dxa"/>
            <w:vAlign w:val="bottom"/>
          </w:tcPr>
          <w:p>
            <w:pPr>
              <w:spacing w:after="0"/>
              <w:rPr>
                <w:sz w:val="20"/>
                <w:szCs w:val="20"/>
                <w:color w:val="auto"/>
              </w:rPr>
            </w:pP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36.1%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30.5%</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Banco Continental</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16.3%</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Interbank</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Citibank</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 In 2006, Banco Wiese merged with Banco Sudamericano and created Scotiabank Perú. During the same year, HSBC launched operations in Peru and is currently focused on top corporate segments.</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believes that the Peruvian banking industry will continue to be a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97" w:lineRule="exact"/>
        <w:rPr>
          <w:sz w:val="20"/>
          <w:szCs w:val="20"/>
          <w:color w:val="auto"/>
        </w:rPr>
      </w:pPr>
    </w:p>
    <w:p>
      <w:pPr>
        <w:ind w:left="1140" w:hanging="484"/>
        <w:spacing w:after="0"/>
        <w:tabs>
          <w:tab w:leader="none" w:pos="11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3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Wholesale Banking Group,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(“AFPs”) and mutual fund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US$14.3 billion as of December 31, 2006, increasing 51.7% since December 31, 2005, with a return of 26.82% in real terms in 2006. Total mutual funds reached US$2.6 billion in 2006, a 29.2% increase from US$2.0 billion in 2005.</w:t>
      </w:r>
    </w:p>
    <w:p>
      <w:pPr>
        <w:spacing w:after="0" w:line="237" w:lineRule="exact"/>
        <w:rPr>
          <w:sz w:val="20"/>
          <w:szCs w:val="20"/>
          <w:color w:val="auto"/>
        </w:rPr>
      </w:pPr>
    </w:p>
    <w:p>
      <w:pPr>
        <w:ind w:left="1140" w:hanging="484"/>
        <w:spacing w:after="0"/>
        <w:tabs>
          <w:tab w:leader="none" w:pos="11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institutions in the Peruvian financial system tend to specialize in a given market sectors.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US$838.2 million as of December 31, 2006, or 50.1% of the total in the financial system, and consumer loans, where such providers lent US$820.9 million, or 21.5% of the total in the financial system. BCP also faces strong competition in its credit card operations from credit cards issued by retail stores.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believes that BCP’s reputation as a sound institution, together with its nationwide branch network coverage, provides it with an advantage over its principal competitors.</w:t>
      </w:r>
    </w:p>
    <w:p>
      <w:pPr>
        <w:spacing w:after="0" w:line="220" w:lineRule="exact"/>
        <w:rPr>
          <w:sz w:val="20"/>
          <w:szCs w:val="20"/>
          <w:color w:val="auto"/>
        </w:rPr>
      </w:pPr>
    </w:p>
    <w:p>
      <w:pPr>
        <w:ind w:left="1140" w:hanging="484"/>
        <w:spacing w:after="0"/>
        <w:tabs>
          <w:tab w:leader="none" w:pos="11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3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56" w:lineRule="exact"/>
        <w:rPr>
          <w:sz w:val="20"/>
          <w:szCs w:val="20"/>
          <w:color w:val="auto"/>
        </w:rPr>
      </w:pPr>
    </w:p>
    <w:p>
      <w:pPr>
        <w:ind w:left="920" w:hanging="588"/>
        <w:spacing w:after="0"/>
        <w:tabs>
          <w:tab w:leader="none" w:pos="9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Credicorp is incorporated in Bermuda, substantially all of BCP’s and PPS’s operations and customers are located in Peru. Although ASHC is based outside of Peru, a substantial number of its customers are also located in Peru.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Peru,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Peru.</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4" w:name="page55"/>
    <w:bookmarkEnd w:id="54"/>
    <w:p>
      <w:pPr>
        <w:ind w:left="1140" w:hanging="484"/>
        <w:spacing w:after="0"/>
        <w:tabs>
          <w:tab w:leader="none" w:pos="11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past several decades, Peru has had a history of political instability that has included military </w:t>
      </w:r>
      <w:r>
        <w:rPr>
          <w:rFonts w:ascii="Arial" w:cs="Arial" w:eastAsia="Arial" w:hAnsi="Arial"/>
          <w:sz w:val="17"/>
          <w:szCs w:val="17"/>
          <w:i w:val="1"/>
          <w:iCs w:val="1"/>
          <w:color w:val="auto"/>
        </w:rPr>
        <w:t>coups d’état</w:t>
      </w:r>
      <w:r>
        <w:rPr>
          <w:rFonts w:ascii="Arial" w:cs="Arial" w:eastAsia="Arial" w:hAnsi="Arial"/>
          <w:sz w:val="17"/>
          <w:szCs w:val="17"/>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the past, Peru experienced significant levels of terrorist activity, with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(the “Shining Path”) and the </w:t>
      </w:r>
      <w:r>
        <w:rPr>
          <w:rFonts w:ascii="Arial" w:cs="Arial" w:eastAsia="Arial" w:hAnsi="Arial"/>
          <w:sz w:val="16"/>
          <w:szCs w:val="16"/>
          <w:i w:val="1"/>
          <w:iCs w:val="1"/>
          <w:color w:val="auto"/>
        </w:rPr>
        <w:t>Movimiento Revolucionario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Tupac Amaru </w:t>
      </w:r>
      <w:r>
        <w:rPr>
          <w:rFonts w:ascii="Arial" w:cs="Arial" w:eastAsia="Arial" w:hAnsi="Arial"/>
          <w:sz w:val="16"/>
          <w:szCs w:val="16"/>
          <w:color w:val="auto"/>
        </w:rPr>
        <w:t>(the “MRTA”) having escalated their acts of violence against the government and the private sector in the late 1980s and early 1990s. Upon</w:t>
      </w:r>
      <w:r>
        <w:rPr>
          <w:rFonts w:ascii="Arial" w:cs="Arial" w:eastAsia="Arial" w:hAnsi="Arial"/>
          <w:sz w:val="16"/>
          <w:szCs w:val="16"/>
          <w:i w:val="1"/>
          <w:iCs w:val="1"/>
          <w:color w:val="auto"/>
        </w:rPr>
        <w:t xml:space="preserve"> </w:t>
      </w:r>
      <w:r>
        <w:rPr>
          <w:rFonts w:ascii="Arial" w:cs="Arial" w:eastAsia="Arial" w:hAnsi="Arial"/>
          <w:sz w:val="16"/>
          <w:szCs w:val="16"/>
          <w:color w:val="auto"/>
        </w:rPr>
        <w:t>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course of his government, President Fujimori implemented a broad-based reform of Peru’s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Toledo assumed the presidency against a backdrop of high unemployment and underemployment, economic recession and social need. Despite the economic strides achieved between 1990 and 2000, poverty remains a persistent problem in Peru,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 has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18"/>
          <w:szCs w:val="18"/>
          <w:color w:val="auto"/>
        </w:rPr>
        <w:t>President Toledo transferred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President</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President García is following conservative economic policies and has indicated a desire to avoid the mistakes of past governments. García named the conservative banker Luis Carranza as Minister of Economy and Finance. Carranza held a senior position at Banco Bilbao Vizcaya Argentaria (BBVA) in Spain and was a key adviser to Pedro Pablo Kuczynski, the Prime Minister (and former Minister of Economy and Finance) of former president Alejandro Toledo. García has announced that his administration would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15" w:lineRule="exact"/>
        <w:rPr>
          <w:sz w:val="20"/>
          <w:szCs w:val="20"/>
          <w:color w:val="auto"/>
        </w:rPr>
      </w:pPr>
    </w:p>
    <w:p>
      <w:pPr>
        <w:ind w:left="1140" w:hanging="484"/>
        <w:spacing w:after="0"/>
        <w:tabs>
          <w:tab w:leader="none" w:pos="11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continued these market-oriented policies but, facing opposition from a fragmented Congress and social pressures from unions and regional movements, he has passed some interventionist measures.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-0.5% in 1998, but recovered 0.9% in 1999, 2.9% in 2000, 0.2% in 2001, 4.9% in 2002, 4.0% in 2003, 4.8% in 2004, 6.6% in 2005 and 8.0% in 2006; this growth for eight years in a row had not been seen since 1977. The “El Niño” phenomenon (a shift in ocean temperatures and atmospheric conditions in the tropical Pacific that disrupts the weather) was still considered a threat in 2006 but is expected to have a low impact on the economy in the coming years.</w:t>
      </w:r>
    </w:p>
    <w:p>
      <w:pPr>
        <w:spacing w:after="0" w:line="23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It should be noted that GDP growth figures for some years were revised downwards by the national statistical institute, the INEI, in 2000, which recalculated Peru’s GDP in 1999 at around $52 billion using a 1994 base year, some 10% below the previous estimate based on 1979 figures.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Peru’s economy in the face of adverse external and internal factors. In 2002 and 2003, unlike other Latin American countries, Peru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One of the principal factors that contributed to the improvement of economic expectations was the 38.8% increase in exports in 2004, which was followed by a new increase (36.7%) in 2005 and 37.6% in 2006. In particular, it has continued high foreign demand for minerals and raw materials and manufacturers benefited from the Andean Trade Promotion and Drug Eradication Act (“ATPDEA”) tariff preferences. However, production was uneven, with investment recovering, and sectors such as construction, oil and gas, mining (particularly mining of precious metals), non-primary manufacturing and fishing registered gains, while agriculture registered only minimal growth.</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 During 2006, the Free Trade Agreement with theUnited States was signed.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government-backed initiative to encourage mortgage loans and the construction of low-cost housing through the MiVivienda program continued to stimulate significant volumes of construction in 2004, aiding expansion of mortgages. As part of the MiVivienda program, US$213 million in loans were granted in 2005, compared to US$170 million in 2004, US$134 million in 2003 and US$72 million in 2002.</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privatization program, which had been expected to raise US$700 million during 2002, encountered problems in June 2002 with public protests against the sale of two electricity generating companies in the south of Peru.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government has continued the concession program in 2005 and 2006, with some small projects with a total value of US$57 million.</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trade deficit decreased from US$600 million in 1999 to US$300 million in 2000 and US$90 million in 2001. Peru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in 2004, with increases mainly in raw materials and capital goods. In 2006, trends continued, with exports rising to US$23.8 billion and imports increasing to US$14.9 billion.</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registered a current account deficit of US$1.8 billion in 1999, which decreased to US$1.6 billion in 2000, and further to US$1.2 billion in 2001, to US$1.1 billion in 2002, to US$0.9 billion in 2003, to US$10 million in 2004, and reversed to a US$1.0 billion surplus in 2005. In 2006, a record was registered with a surplus of US$2.5 billion, equivalent to 2.6% of GDP.</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Peru’s financial account had a surplus of US$1.1 billion in 1999 and 2000, declined to US$1.0 billion in 2001, grew to US$1.8 billion in 2002 as a result of increased public sector capital inflows, was US$0.7 billion in 2003, grew to US$2.2 billion in 2004, and was US$0.2 billion in 2005. In 2006, surplus was US$0.8 billion, mainly due to repayment of external debt made by the public sector.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7" w:name="page58"/>
    <w:bookmarkEnd w:id="57"/>
    <w:p>
      <w:pPr>
        <w:jc w:val="both"/>
        <w:ind w:right="20" w:firstLine="648"/>
        <w:spacing w:after="0" w:line="277" w:lineRule="auto"/>
        <w:rPr>
          <w:sz w:val="20"/>
          <w:szCs w:val="20"/>
          <w:color w:val="auto"/>
        </w:rPr>
      </w:pPr>
      <w:r>
        <w:rPr>
          <w:rFonts w:ascii="Arial" w:cs="Arial" w:eastAsia="Arial" w:hAnsi="Arial"/>
          <w:sz w:val="18"/>
          <w:szCs w:val="18"/>
          <w:color w:val="auto"/>
        </w:rPr>
        <w:t>The flow of direct foreign investment into Peru was US$433 million in 2000, US$803 million in 2001, US$2.2 billion in 2002, US$1.3 billion in 2003, US$1.8 billion in 2004, US$2.5 billion in 2005 and US$3.4 billion in 2006.</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inflation rate in Peru,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3.5% in 2004, 1.5% in 2005 and 1.1% in 2006. On the other hand, Peruvian Central Bank reduced its inflation target range for 2006 from -1% - +2.5% to -1% - +2%. It is worth mentioning that in the last five years the average inflation rate was below 2%.</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bank market exchange rate for Nuevos Soles in Peru was S/.3.282 per US$1.00 at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 However, in second half 2005, Nuevo Sol depreciated due to higher international interest rates and political uncertainty, closing the year at S/.3.430. After the presidential elections in 2006, the exchange rate decreased, closing the year at S/.3.196 for US$1.00.</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 decreasing to 23.6% in December 2005. In 2006, a reduction was registered, closing at 23.1%.</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recent economic performance has also been reflected in a lower fiscal deficit. Peru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and 0.7% in 2005. In 2006, because of higher earnings generated from income tax, a surplus of 2.1% of GDP was achieved.</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13.6% in 2005 and 14.9% in 2006.</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1996, Peru reached an agreement with the Paris Club countries, resulting in the rescheduling of 1996-1998 maturities. Likewise, due to a successful program with this group of creditors, Peru was able to reduce its external debt from US$8.5 billion at the end of 2004 to US$5.6 million at the end of 2006. An additional pre-payment is expected in the second half of 2007, which could reach a total of US$2.5 billion.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8" w:name="page59"/>
    <w:bookmarkEnd w:id="58"/>
    <w:p>
      <w:pPr>
        <w:jc w:val="both"/>
        <w:ind w:firstLine="648"/>
        <w:spacing w:after="0" w:line="255" w:lineRule="auto"/>
        <w:rPr>
          <w:sz w:val="20"/>
          <w:szCs w:val="20"/>
          <w:color w:val="auto"/>
        </w:rPr>
      </w:pPr>
      <w:r>
        <w:rPr>
          <w:rFonts w:ascii="Arial" w:cs="Arial" w:eastAsia="Arial" w:hAnsi="Arial"/>
          <w:sz w:val="18"/>
          <w:szCs w:val="18"/>
          <w:color w:val="auto"/>
        </w:rPr>
        <w:t>In 1999, Peru signed a three-year extended fund facility accord with the IMF, the third consecutive IMF program it has followed, giving the country a stable framework for macro-economic planning. However, the fall in tax revenue and increased spending in 1999 caused Peru to fail to fulfill the fiscal goal agreed upon with the IMF of a primary fiscal surplus of 0.5%, which is the public sector’s result before capital costs or gains, debt servicing and privatization income. In fact, Peru reported a primary sector deficit of 0.1% in 1999 and of 0.2% in 2000. Peru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subsequent Stand-By Agreement was approved by the IMF on June 9, 2004 and covered years 2004 to 2006. The macro-economic framework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agreement stresses the consolidation of recent year-on-year gains due to the low inflation rate and continued improvements in the public sector deficit,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reform, current account deficit, level of foreign reserves, and other variables, in order to seek higher GDP growth. The program focused on,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points, reducing the public sector deficit to 1.4% of GDP in 2004 and to 1% per year in each of 2005 and 2006, and on lowering the debt-to-GDP ratio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47.5% in 2003 to 41.0% in 2006. With a favorable international context, and thanks to a fast reduction of deficit, debt-to-GDP ratio in 2006 decreased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38.0%.</w:t>
      </w:r>
    </w:p>
    <w:p>
      <w:pPr>
        <w:spacing w:after="0" w:line="2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Currently, the Peruvian government is negotiating a new Stand-By Agreement for the years 2007-2009. A group of persons of the multilateral institution visited Peru in May 2007, and in an official communication, it was stated that the mission team expects the first review of the Stand-By Agreement to be presented for consideration to the Executive Board of IMF at the end of June 2007, after the approval of representatives in Washington, DC.</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There can be no assurance that economic growth will be sustained in the future or that inflation in Peru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249" w:lineRule="exact"/>
        <w:rPr>
          <w:sz w:val="20"/>
          <w:szCs w:val="20"/>
          <w:color w:val="auto"/>
        </w:rPr>
      </w:pPr>
    </w:p>
    <w:p>
      <w:pPr>
        <w:ind w:left="1020" w:hanging="688"/>
        <w:spacing w:after="0"/>
        <w:tabs>
          <w:tab w:leader="none" w:pos="10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Credicorp’s activities are conducted primarily through banking and insurance subsidiaries operating in Peru, a summary of the Peruvian financial system is set forth below.</w:t>
      </w:r>
    </w:p>
    <w:p>
      <w:pPr>
        <w:spacing w:after="0" w:line="220" w:lineRule="exact"/>
        <w:rPr>
          <w:sz w:val="20"/>
          <w:szCs w:val="20"/>
          <w:color w:val="auto"/>
        </w:rPr>
      </w:pPr>
    </w:p>
    <w:p>
      <w:pPr>
        <w:ind w:left="1140" w:hanging="484"/>
        <w:spacing w:after="0"/>
        <w:tabs>
          <w:tab w:leader="none" w:pos="11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2006, the Peruvian financial system consisted of the following principal participants: the Central Bank, the SBS, 11 banking institutions (not including Banco de la Nación, a Peruvian state-owned bank), five finance companies and five leasing companies. In addition, Peru has various mutual mortgage associations, municipal and rural savings and credit associations, municipal public credit associations and savings and credit cooperatives.</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9" w:name="page60"/>
    <w:bookmarkEnd w:id="59"/>
    <w:p>
      <w:pPr>
        <w:ind w:left="1140" w:hanging="484"/>
        <w:spacing w:after="0"/>
        <w:tabs>
          <w:tab w:leader="none" w:pos="11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Bank was created in 1931.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31" w:lineRule="exact"/>
        <w:rPr>
          <w:sz w:val="20"/>
          <w:szCs w:val="20"/>
          <w:color w:val="auto"/>
        </w:rPr>
      </w:pPr>
    </w:p>
    <w:p>
      <w:pPr>
        <w:ind w:left="1140" w:hanging="484"/>
        <w:spacing w:after="0"/>
        <w:tabs>
          <w:tab w:leader="none" w:pos="11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Peru.</w:t>
      </w:r>
    </w:p>
    <w:p>
      <w:pPr>
        <w:spacing w:after="0" w:line="231" w:lineRule="exact"/>
        <w:rPr>
          <w:sz w:val="20"/>
          <w:szCs w:val="20"/>
          <w:color w:val="auto"/>
        </w:rPr>
      </w:pPr>
    </w:p>
    <w:p>
      <w:pPr>
        <w:ind w:left="1140" w:hanging="484"/>
        <w:spacing w:after="0"/>
        <w:tabs>
          <w:tab w:leader="none" w:pos="11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0" w:name="page61"/>
    <w:bookmarkEnd w:id="60"/>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Peru, in an amount not less than the minimum amount required of Peruvian banks.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in financial and non-financial assets, subject to the regulations on investments and reserves established in Law 26702 and the regulations issued by the SBS.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1" w:name="page62"/>
    <w:bookmarkEnd w:id="61"/>
    <w:p>
      <w:pPr>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and the formation of an insurance company requires prior authorization of the SBS.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13 in 2006.</w:t>
      </w:r>
    </w:p>
    <w:p>
      <w:pPr>
        <w:spacing w:after="0" w:line="327" w:lineRule="exact"/>
        <w:rPr>
          <w:sz w:val="20"/>
          <w:szCs w:val="20"/>
          <w:color w:val="auto"/>
        </w:rPr>
      </w:pPr>
    </w:p>
    <w:p>
      <w:pPr>
        <w:ind w:left="1000" w:hanging="668"/>
        <w:spacing w:after="0"/>
        <w:tabs>
          <w:tab w:leader="none" w:pos="10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9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Peru, the Cayman Islands and Bolivia, a summary of Peruvian banking and insurance regulations and Cayman Islands banking regulations is set forth below.</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Since Credicorp’s Common Shares are listed on the Lima Stock Exchange in addition to the New York Stock Exchange, Credicorp is subject to certain reporting requirements of the CONASEV, the securities market regulator, and the Lima Stock Exchange. See “Item 9. The Offer and Listing—</w:t>
      </w: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Markets—The Lima Stock Exchange—(ii) Market Regulation.”</w:t>
      </w:r>
    </w:p>
    <w:p>
      <w:pPr>
        <w:spacing w:after="0" w:line="260" w:lineRule="exact"/>
        <w:rPr>
          <w:rFonts w:ascii="Arial" w:cs="Arial" w:eastAsia="Arial" w:hAnsi="Arial"/>
          <w:sz w:val="18"/>
          <w:szCs w:val="18"/>
          <w:color w:val="auto"/>
        </w:rPr>
      </w:pPr>
    </w:p>
    <w:p>
      <w:pPr>
        <w:ind w:left="1140" w:hanging="484"/>
        <w:spacing w:after="0"/>
        <w:tabs>
          <w:tab w:leader="none" w:pos="114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by-laws.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 owned brokerage house, and Credifondo, BCP’s wholly owned mutual fund administration company. CONASEV examines Credibolsa and Credifondo on a regular basis.</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AFPs which had been supervised and regulated by a specialized superintendency since the inception of the system in 1992.</w:t>
      </w: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7"/>
          <w:szCs w:val="17"/>
          <w:i w:val="1"/>
          <w:iCs w:val="1"/>
          <w:color w:val="auto"/>
        </w:rPr>
        <w:t>Central de Riesgos</w:t>
      </w:r>
      <w:r>
        <w:rPr>
          <w:rFonts w:ascii="Arial" w:cs="Arial" w:eastAsia="Arial" w:hAnsi="Arial"/>
          <w:sz w:val="17"/>
          <w:szCs w:val="17"/>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supervising BCP, the SBS supervises Credicorp on the basis that it is a financial conglomerate conducting the majority of its operations in Peru.</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Credicorp, following these SBS guidelines as well as guidelines issued by the Basel Committee on Banking Supervision and the advice of international consultants, has set up at BCP a specialized team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Credicorp will be required to make certain certifications regarding its internal controls over financial reporting as of December 31, 2006. Credicorp has developed an internal methodology, which is in accordance with Public Company Accounting Oversight Board-PCAOB, Accounting Standard 2, to evaluate the effectiveness of its internal controls over financial reporting. In addition, Credicorp is implementing computer programs to allow for the continuous monitoring, assessment and documentation of its internal controls. During 2006, Credicorp has completed its evaluation of internal controls over financial reporting and is now able to obtain the attestation of its independent auditors. See “Item 15. Controls and Procedures.”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weighting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2006, BCP’s unconsolidated amount of risk-weighted assets was 8.46 times the regulatory capital, or regulatory capital was 11.84% of risk-weighted assets which included US$266.1 million of market risk 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4" w:name="page65"/>
    <w:bookmarkEnd w:id="64"/>
    <w:p>
      <w:pPr>
        <w:jc w:val="both"/>
        <w:ind w:firstLine="648"/>
        <w:spacing w:after="0" w:line="312" w:lineRule="auto"/>
        <w:rPr>
          <w:sz w:val="20"/>
          <w:szCs w:val="20"/>
          <w:color w:val="auto"/>
        </w:rPr>
      </w:pPr>
      <w:r>
        <w:rPr>
          <w:rFonts w:ascii="Arial" w:cs="Arial" w:eastAsia="Arial" w:hAnsi="Arial"/>
          <w:sz w:val="16"/>
          <w:szCs w:val="16"/>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2006, BCP’s consolidated legal reserve was S/.546.5 million (US$171 million), equivalent to 42.5% of BCP’s paid-in capital as of such date.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to the Credicorp Consolidated Financial Statements.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to the Credicorp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Law 26702, banks and finance companies are required to maintain an </w:t>
      </w:r>
      <w:r>
        <w:rPr>
          <w:rFonts w:ascii="Arial" w:cs="Arial" w:eastAsia="Arial" w:hAnsi="Arial"/>
          <w:sz w:val="18"/>
          <w:szCs w:val="18"/>
          <w:i w:val="1"/>
          <w:iCs w:val="1"/>
          <w:color w:val="auto"/>
        </w:rPr>
        <w:t>encaje</w:t>
      </w:r>
      <w:r>
        <w:rPr>
          <w:rFonts w:ascii="Arial" w:cs="Arial" w:eastAsia="Arial" w:hAnsi="Arial"/>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Since April 2004, the Central Bank has required reserves on amounts due to foreign banks and other foreign financial companies, which were not previously considered obligations. The regulation excludes funding from other central banks, governments or multilateral lending agencies.</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September 2004 (previously February 2004), are subject to a 30%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oversees compliance with the reserve requirements.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5" w:name="page66"/>
    <w:bookmarkEnd w:id="65"/>
    <w:p>
      <w:pPr>
        <w:jc w:val="both"/>
        <w:ind w:firstLine="648"/>
        <w:spacing w:after="0" w:line="302" w:lineRule="auto"/>
        <w:rPr>
          <w:sz w:val="20"/>
          <w:szCs w:val="20"/>
          <w:color w:val="auto"/>
        </w:rPr>
      </w:pPr>
      <w:r>
        <w:rPr>
          <w:rFonts w:ascii="Arial" w:cs="Arial" w:eastAsia="Arial" w:hAnsi="Arial"/>
          <w:sz w:val="16"/>
          <w:szCs w:val="16"/>
          <w:color w:val="auto"/>
        </w:rPr>
        <w:t>The Central Bank also establishes the interest rate payable on the reserves that exceed the legal 6% requirement, which are mainly on foreign currency deposits. The Central Bank periodically increased the applicable interest rate during 2005, from 3.00% as of 2004 to 3.25% as of December 31, 2005. After six consecutives increases between December 2005 and May 2006, the Central Bank’s Board of Directors decided to maintain the applicable interest rate at 4.5%. The interest rate is expected to be periodically revised by the Central Bank in accordance with monetary policy objectives.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2006, the 10.0% credit limit per borrower of BCP, unconsolidated, was S/.233.6 million (US$73.1 million) for unsecured loans, and the 30.0% limit amounted to S/.700.8 million (US$219.3 million) for secured loans.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2006, BCP was assigned the “A+” risk category by its two rating agencies, Equilibrium Clasificadora de Riesgo and Apoyo and Associates International.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Deposit Fund</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Law 26702 provides for mandatory deposit insurance to protect all types of deposits of financial institutions by establishing the </w:t>
      </w:r>
      <w:r>
        <w:rPr>
          <w:rFonts w:ascii="Arial" w:cs="Arial" w:eastAsia="Arial" w:hAnsi="Arial"/>
          <w:sz w:val="17"/>
          <w:szCs w:val="17"/>
          <w:i w:val="1"/>
          <w:iCs w:val="1"/>
          <w:color w:val="auto"/>
        </w:rPr>
        <w:t>Fondo de Seguro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Depósitos </w:t>
      </w:r>
      <w:r>
        <w:rPr>
          <w:rFonts w:ascii="Arial" w:cs="Arial" w:eastAsia="Arial" w:hAnsi="Arial"/>
          <w:sz w:val="17"/>
          <w:szCs w:val="17"/>
          <w:color w:val="auto"/>
        </w:rPr>
        <w:t>(Deposit Insurance Fund, or the “Fund”) for individuals, associations, not-for-profit companies, and demand deposits of non-financial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that a customer is entitled to recover from the Fund is S/.75,261 from March through May 2006.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has its regulatory capital fall or be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238" w:lineRule="exact"/>
        <w:rPr>
          <w:sz w:val="20"/>
          <w:szCs w:val="20"/>
          <w:color w:val="auto"/>
        </w:rPr>
      </w:pPr>
    </w:p>
    <w:p>
      <w:pPr>
        <w:ind w:left="1140" w:hanging="484"/>
        <w:spacing w:after="0"/>
        <w:tabs>
          <w:tab w:leader="none" w:pos="11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8" w:name="page69"/>
    <w:bookmarkEnd w:id="68"/>
    <w:p>
      <w:pPr>
        <w:jc w:val="both"/>
        <w:ind w:firstLine="648"/>
        <w:spacing w:after="0" w:line="255" w:lineRule="auto"/>
        <w:rPr>
          <w:sz w:val="20"/>
          <w:szCs w:val="20"/>
          <w:color w:val="auto"/>
        </w:rPr>
      </w:pPr>
      <w:r>
        <w:rPr>
          <w:rFonts w:ascii="Arial" w:cs="Arial" w:eastAsia="Arial" w:hAnsi="Arial"/>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228" w:lineRule="exact"/>
        <w:rPr>
          <w:sz w:val="20"/>
          <w:szCs w:val="20"/>
          <w:color w:val="auto"/>
        </w:rPr>
      </w:pPr>
    </w:p>
    <w:p>
      <w:pPr>
        <w:ind w:left="1140" w:hanging="484"/>
        <w:spacing w:after="0"/>
        <w:tabs>
          <w:tab w:leader="none" w:pos="11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3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Bolivian banking system operates under the </w:t>
      </w:r>
      <w:r>
        <w:rPr>
          <w:rFonts w:ascii="Arial" w:cs="Arial" w:eastAsia="Arial" w:hAnsi="Arial"/>
          <w:sz w:val="17"/>
          <w:szCs w:val="17"/>
          <w:i w:val="1"/>
          <w:iCs w:val="1"/>
          <w:color w:val="auto"/>
        </w:rPr>
        <w:t>Ley de Bancos y Entidades Financieras</w:t>
      </w:r>
      <w:r>
        <w:rPr>
          <w:rFonts w:ascii="Arial" w:cs="Arial" w:eastAsia="Arial" w:hAnsi="Arial"/>
          <w:sz w:val="17"/>
          <w:szCs w:val="17"/>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17"/>
          <w:szCs w:val="17"/>
          <w:i w:val="1"/>
          <w:iCs w:val="1"/>
          <w:color w:val="auto"/>
        </w:rPr>
        <w:t>Superintendencia de Pensiones, Valores y Seguros</w:t>
      </w:r>
      <w:r>
        <w:rPr>
          <w:rFonts w:ascii="Arial" w:cs="Arial" w:eastAsia="Arial" w:hAnsi="Arial"/>
          <w:sz w:val="17"/>
          <w:szCs w:val="17"/>
          <w:color w:val="auto"/>
        </w:rPr>
        <w:t xml:space="preserve"> (the Pensions, Securities and Insurance Superintendency) supervises brokerage activities and mutual funds management, as conducted through BCB’s subsidiaries Credibolsa S.A. and Credifondo S.A., respectively, which operate under the </w:t>
      </w:r>
      <w:r>
        <w:rPr>
          <w:rFonts w:ascii="Arial" w:cs="Arial" w:eastAsia="Arial" w:hAnsi="Arial"/>
          <w:sz w:val="17"/>
          <w:szCs w:val="17"/>
          <w:i w:val="1"/>
          <w:iCs w:val="1"/>
          <w:color w:val="auto"/>
        </w:rPr>
        <w:t>Ley del Mercado de Valores</w:t>
      </w:r>
      <w:r>
        <w:rPr>
          <w:rFonts w:ascii="Arial" w:cs="Arial" w:eastAsia="Arial" w:hAnsi="Arial"/>
          <w:sz w:val="17"/>
          <w:szCs w:val="17"/>
          <w:color w:val="auto"/>
        </w:rPr>
        <w:t xml:space="preserve"> (the Securities Markets Law) No. 1834, enacted on March 31, 1998.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9" w:name="page70"/>
    <w:bookmarkEnd w:id="69"/>
    <w:p>
      <w:pPr>
        <w:ind w:left="1140" w:hanging="484"/>
        <w:spacing w:after="0"/>
        <w:tabs>
          <w:tab w:leader="none" w:pos="11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operations of PPS are regulated by Law 26702 and the SBS. Peruvian insurance companies must regularly submit reports to the SBS regarding their operations. In addition, the SBS conducts on-sight reviews of the performance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Peruvian insurance companies are prohibited from having an ownership interest in other insurance or reinsurance companies or in private pension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(a) the solvency margin, or (b) the minimum capital requirement, as established by law. The required amount of solvency equity is recalculated at least quarterly. If the insurance company has outstanding credit risk operations, part of the solvency equity should be segregated for their coverage.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3(e) to the Credicorp Consolidated Financial Statements. Finally, PPS is required by the SBS to establish pre-event reserves for risk of catastrophes, which, in accordance with IFRS principles, are not considered in Credicorp’s financial statements. See “—(6) Pacífico Peruano Suiza — (ii) Claims and Reserves.”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Peru or the analogous registry of their respective country.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261" w:lineRule="exact"/>
        <w:rPr>
          <w:sz w:val="20"/>
          <w:szCs w:val="20"/>
          <w:color w:val="auto"/>
        </w:rPr>
      </w:pPr>
    </w:p>
    <w:p>
      <w:pPr>
        <w:ind w:left="1020" w:hanging="688"/>
        <w:spacing w:after="0"/>
        <w:tabs>
          <w:tab w:leader="none" w:pos="10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2002, 2003, 2004, 2005 and 2006 reflect the consolidated financial position of Credicorp and its subsidiaries, including BCP, ASHC, PPS and Grupo Crédito, as of December 31, 2002, 2003, 2004, 2005 and 2006 and the results of operations for 2002, 2003, 2004, 2005 and 2006.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1" w:name="page72"/>
    <w:bookmarkEnd w:id="71"/>
    <w:p>
      <w:pPr>
        <w:ind w:left="1140" w:hanging="484"/>
        <w:spacing w:after="0"/>
        <w:tabs>
          <w:tab w:leader="none" w:pos="11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3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Credicorp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different from those that would be presented by daily averages.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real average interest rates set forth in the tables below have been calculated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151765</wp:posOffset>
            </wp:positionV>
            <wp:extent cx="1106170"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61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391" w:right="2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R(s)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 real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91" w:right="239" w:bottom="1440" w:gutter="0" w:footer="0" w:header="0"/>
          <w:type w:val="continuous"/>
        </w:sectPr>
      </w:pPr>
    </w:p>
    <w:p>
      <w:pPr>
        <w:spacing w:after="0"/>
        <w:rPr>
          <w:sz w:val="20"/>
          <w:szCs w:val="20"/>
          <w:color w:val="auto"/>
        </w:rPr>
      </w:pPr>
      <w:r>
        <w:rPr>
          <w:rFonts w:ascii="Arial" w:cs="Arial" w:eastAsia="Arial" w:hAnsi="Arial"/>
          <w:sz w:val="16"/>
          <w:szCs w:val="16"/>
          <w:color w:val="auto"/>
        </w:rPr>
        <w:t>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nominal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91" w:right="239" w:bottom="1440" w:gutter="0" w:footer="0" w:header="0"/>
          <w:type w:val="continuous"/>
        </w:sectPr>
      </w:pPr>
    </w:p>
    <w:p>
      <w:pPr>
        <w:ind w:left="280" w:hanging="272"/>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24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tables show average balances for all of Credicorp’s assets and liabilities, interest earned and paid amounts, and nominal rates and real rates for Credicorp’s interest-earning assets and interest-bearing liabilities, all for the years ended December 31, 2004, 2005 and 2006.</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62"/>
        </w:trPr>
        <w:tc>
          <w:tcPr>
            <w:tcW w:w="12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3"/>
                <w:szCs w:val="13"/>
                <w:b w:val="1"/>
                <w:bCs w:val="1"/>
                <w:color w:val="auto"/>
                <w:w w:val="89"/>
              </w:rPr>
              <w:t>2005</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3"/>
                <w:szCs w:val="13"/>
                <w:b w:val="1"/>
                <w:bCs w:val="1"/>
                <w:color w:val="auto"/>
                <w:w w:val="89"/>
              </w:rPr>
              <w:t>2006</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126"/>
        </w:trPr>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Nominal</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Average</w:t>
            </w:r>
          </w:p>
        </w:tc>
        <w:tc>
          <w:tcPr>
            <w:tcW w:w="9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Interest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Real Avg.</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Avg.</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Real Avg.</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Nominal</w:t>
            </w: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Real Avg.</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Nominal</w:t>
            </w:r>
          </w:p>
        </w:tc>
      </w:tr>
      <w:tr>
        <w:trPr>
          <w:trHeight w:val="166"/>
        </w:trPr>
        <w:tc>
          <w:tcPr>
            <w:tcW w:w="1280" w:type="dxa"/>
            <w:vAlign w:val="bottom"/>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Balance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Earned</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Earned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Avg. Rate</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Earned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Avg. Rate</w:t>
            </w:r>
          </w:p>
        </w:tc>
        <w:tc>
          <w:tcPr>
            <w:tcW w:w="220" w:type="dxa"/>
            <w:vAlign w:val="bottom"/>
          </w:tcPr>
          <w:p>
            <w:pPr>
              <w:spacing w:after="0"/>
              <w:rPr>
                <w:sz w:val="14"/>
                <w:szCs w:val="14"/>
                <w:color w:val="auto"/>
              </w:rPr>
            </w:pPr>
          </w:p>
        </w:tc>
      </w:tr>
      <w:tr>
        <w:trPr>
          <w:trHeight w:val="235"/>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9"/>
          </w:tcPr>
          <w:p>
            <w:pPr>
              <w:jc w:val="right"/>
              <w:ind w:right="420"/>
              <w:spacing w:after="0"/>
              <w:rPr>
                <w:sz w:val="20"/>
                <w:szCs w:val="20"/>
                <w:color w:val="auto"/>
              </w:rPr>
            </w:pPr>
            <w:r>
              <w:rPr>
                <w:rFonts w:ascii="Arial" w:cs="Arial" w:eastAsia="Arial" w:hAnsi="Arial"/>
                <w:sz w:val="13"/>
                <w:szCs w:val="13"/>
                <w:i w:val="1"/>
                <w:iCs w:val="1"/>
                <w:color w:val="auto"/>
              </w:rPr>
              <w:t>(U.S. Dollars in thousands, except percentages)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9"/>
        </w:trPr>
        <w:tc>
          <w:tcPr>
            <w:tcW w:w="1280" w:type="dxa"/>
            <w:vAlign w:val="bottom"/>
          </w:tcPr>
          <w:p>
            <w:pPr>
              <w:spacing w:after="0"/>
              <w:rPr>
                <w:sz w:val="20"/>
                <w:szCs w:val="20"/>
                <w:color w:val="auto"/>
              </w:rPr>
            </w:pPr>
            <w:r>
              <w:rPr>
                <w:rFonts w:ascii="Arial" w:cs="Arial" w:eastAsia="Arial" w:hAnsi="Arial"/>
                <w:sz w:val="13"/>
                <w:szCs w:val="13"/>
                <w:i w:val="1"/>
                <w:iCs w:val="1"/>
                <w:color w:val="auto"/>
              </w:rPr>
              <w:t>Interest-earning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2"/>
        </w:trPr>
        <w:tc>
          <w:tcPr>
            <w:tcW w:w="1280" w:type="dxa"/>
            <w:vAlign w:val="bottom"/>
          </w:tcPr>
          <w:p>
            <w:pPr>
              <w:ind w:left="180"/>
              <w:spacing w:after="0"/>
              <w:rPr>
                <w:sz w:val="20"/>
                <w:szCs w:val="20"/>
                <w:color w:val="auto"/>
              </w:rPr>
            </w:pPr>
            <w:r>
              <w:rPr>
                <w:rFonts w:ascii="Arial" w:cs="Arial" w:eastAsia="Arial" w:hAnsi="Arial"/>
                <w:sz w:val="13"/>
                <w:szCs w:val="13"/>
                <w:i w:val="1"/>
                <w:iCs w:val="1"/>
                <w:color w:val="auto"/>
              </w:rPr>
              <w:t>assets: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Deposits in Central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9"/>
        </w:trPr>
        <w:tc>
          <w:tcPr>
            <w:tcW w:w="1280" w:type="dxa"/>
            <w:vAlign w:val="bottom"/>
          </w:tcPr>
          <w:p>
            <w:pPr>
              <w:ind w:left="180"/>
              <w:spacing w:after="0" w:line="159" w:lineRule="exact"/>
              <w:rPr>
                <w:sz w:val="20"/>
                <w:szCs w:val="20"/>
                <w:color w:val="auto"/>
              </w:rPr>
            </w:pPr>
            <w:r>
              <w:rPr>
                <w:rFonts w:ascii="Arial" w:cs="Arial" w:eastAsia="Arial" w:hAnsi="Arial"/>
                <w:sz w:val="14"/>
                <w:szCs w:val="14"/>
                <w:color w:val="auto"/>
              </w:rPr>
              <w:t>Bank</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0"/>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US$5,892</w:t>
            </w:r>
          </w:p>
        </w:tc>
        <w:tc>
          <w:tcPr>
            <w:tcW w:w="920" w:type="dxa"/>
            <w:vAlign w:val="bottom"/>
            <w:gridSpan w:val="3"/>
            <w:shd w:val="clear" w:color="auto" w:fill="CCFFCC"/>
          </w:tcPr>
          <w:p>
            <w:pPr>
              <w:jc w:val="right"/>
              <w:ind w:right="200"/>
              <w:spacing w:after="0"/>
              <w:rPr>
                <w:sz w:val="20"/>
                <w:szCs w:val="20"/>
                <w:color w:val="auto"/>
              </w:rPr>
            </w:pPr>
            <w:r>
              <w:rPr>
                <w:rFonts w:ascii="Arial" w:cs="Arial" w:eastAsia="Arial" w:hAnsi="Arial"/>
                <w:sz w:val="13"/>
                <w:szCs w:val="13"/>
                <w:color w:val="auto"/>
              </w:rPr>
              <w:t>US$11</w:t>
            </w:r>
          </w:p>
        </w:tc>
        <w:tc>
          <w:tcPr>
            <w:tcW w:w="74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-3.20%</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0.19%</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US$5,361</w:t>
            </w:r>
          </w:p>
        </w:tc>
        <w:tc>
          <w:tcPr>
            <w:tcW w:w="700" w:type="dxa"/>
            <w:vAlign w:val="bottom"/>
            <w:gridSpan w:val="2"/>
            <w:shd w:val="clear" w:color="auto" w:fill="CCFFCC"/>
          </w:tcPr>
          <w:p>
            <w:pPr>
              <w:ind w:left="320"/>
              <w:spacing w:after="0"/>
              <w:rPr>
                <w:sz w:val="20"/>
                <w:szCs w:val="20"/>
                <w:color w:val="auto"/>
              </w:rPr>
            </w:pPr>
            <w:r>
              <w:rPr>
                <w:rFonts w:ascii="Arial" w:cs="Arial" w:eastAsia="Arial" w:hAnsi="Arial"/>
                <w:sz w:val="13"/>
                <w:szCs w:val="13"/>
                <w:color w:val="auto"/>
                <w:w w:val="90"/>
              </w:rPr>
              <w:t>US$50</w:t>
            </w:r>
          </w:p>
        </w:tc>
        <w:tc>
          <w:tcPr>
            <w:tcW w:w="980" w:type="dxa"/>
            <w:vAlign w:val="bottom"/>
            <w:gridSpan w:val="3"/>
            <w:shd w:val="clear" w:color="auto" w:fill="CCFFCC"/>
          </w:tcPr>
          <w:p>
            <w:pPr>
              <w:jc w:val="right"/>
              <w:spacing w:after="0"/>
              <w:rPr>
                <w:sz w:val="20"/>
                <w:szCs w:val="20"/>
                <w:color w:val="auto"/>
              </w:rPr>
            </w:pPr>
            <w:r>
              <w:rPr>
                <w:rFonts w:ascii="Arial" w:cs="Arial" w:eastAsia="Arial" w:hAnsi="Arial"/>
                <w:sz w:val="13"/>
                <w:szCs w:val="13"/>
                <w:color w:val="auto"/>
              </w:rPr>
              <w:t>-0.55%</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0.93%</w:t>
            </w:r>
          </w:p>
        </w:tc>
        <w:tc>
          <w:tcPr>
            <w:tcW w:w="80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US$13,346</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US$157</w:t>
            </w:r>
          </w:p>
        </w:tc>
        <w:tc>
          <w:tcPr>
            <w:tcW w:w="960" w:type="dxa"/>
            <w:vAlign w:val="bottom"/>
            <w:gridSpan w:val="3"/>
            <w:shd w:val="clear" w:color="auto" w:fill="CCFFCC"/>
          </w:tcPr>
          <w:p>
            <w:pPr>
              <w:jc w:val="right"/>
              <w:spacing w:after="0"/>
              <w:rPr>
                <w:sz w:val="20"/>
                <w:szCs w:val="20"/>
                <w:color w:val="auto"/>
              </w:rPr>
            </w:pPr>
            <w:r>
              <w:rPr>
                <w:rFonts w:ascii="Arial" w:cs="Arial" w:eastAsia="Arial" w:hAnsi="Arial"/>
                <w:sz w:val="13"/>
                <w:szCs w:val="13"/>
                <w:color w:val="auto"/>
              </w:rPr>
              <w:t>0.16%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1.18%</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1,031,626</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15,346</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1.49</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1.49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1,118,471</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24,004</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2.15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2.15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1,763,854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56,813</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3.22</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3.22</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1,037,518</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15,357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1.48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1,123,832</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24,054</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2.13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2.14</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1,777,200</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56,970</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3.20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3.21</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Deposits in other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color w:val="auto"/>
              </w:rPr>
              <w:t>banks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17,895</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791</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0.89</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4.42</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31,926</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1,073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1.84</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3.36</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43,684</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1,762</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2.99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4.03</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416,413</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3,998</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0.96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0.96</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443,948</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12,000</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2.70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2.70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711,694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35,154</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4.94</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4.94</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434,308</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4,789</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0.96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1.10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475,874</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13,073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2.65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755,378</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36,916</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4.83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4.89</w:t>
            </w:r>
          </w:p>
        </w:tc>
      </w:tr>
      <w:tr>
        <w:trPr>
          <w:trHeight w:val="257"/>
        </w:trPr>
        <w:tc>
          <w:tcPr>
            <w:tcW w:w="1280" w:type="dxa"/>
            <w:vAlign w:val="bottom"/>
          </w:tcPr>
          <w:p>
            <w:pPr>
              <w:spacing w:after="0"/>
              <w:rPr>
                <w:sz w:val="20"/>
                <w:szCs w:val="20"/>
                <w:color w:val="auto"/>
              </w:rPr>
            </w:pPr>
            <w:r>
              <w:rPr>
                <w:rFonts w:ascii="Arial" w:cs="Arial" w:eastAsia="Arial" w:hAnsi="Arial"/>
                <w:sz w:val="13"/>
                <w:szCs w:val="13"/>
                <w:color w:val="auto"/>
              </w:rPr>
              <w:t>Investment securities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560,910</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21,547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0.33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3.84</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1,221,669</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51,222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2.66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4.19</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985,054</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51,545</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4.18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5.23</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1,186,002</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72,356</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6.10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6.10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1,290,919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73,138</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5.67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5.67</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1,589,978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89,760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5.65</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5.65</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1,746,912</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93,903</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4.25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5.38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2,512,588</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124,360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4.21</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4.95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2,575,032</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141,305</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5.08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5.49</w:t>
            </w:r>
          </w:p>
        </w:tc>
      </w:tr>
      <w:tr>
        <w:trPr>
          <w:trHeight w:val="257"/>
        </w:trPr>
        <w:tc>
          <w:tcPr>
            <w:tcW w:w="1280" w:type="dxa"/>
            <w:vAlign w:val="bottom"/>
          </w:tcPr>
          <w:p>
            <w:pPr>
              <w:spacing w:after="0"/>
              <w:rPr>
                <w:sz w:val="20"/>
                <w:szCs w:val="20"/>
                <w:color w:val="auto"/>
              </w:rPr>
            </w:pPr>
            <w:r>
              <w:rPr>
                <w:rFonts w:ascii="Arial" w:cs="Arial" w:eastAsia="Arial" w:hAnsi="Arial"/>
                <w:sz w:val="13"/>
                <w:szCs w:val="13"/>
                <w:color w:val="auto"/>
              </w:rPr>
              <w:t>Total loans (1)</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691,749</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119,512</w:t>
            </w: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13.31</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17.28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831,393</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132,692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14.26</w:t>
            </w:r>
          </w:p>
        </w:tc>
        <w:tc>
          <w:tcPr>
            <w:tcW w:w="12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15.96</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1,307,784</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178,469</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12.51</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13.65</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3,823,383</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307,025</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8.03</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8.03</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3,888,576</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314,700</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8.09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8.09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4,104,477</w:t>
            </w:r>
          </w:p>
        </w:tc>
        <w:tc>
          <w:tcPr>
            <w:tcW w:w="660" w:type="dxa"/>
            <w:vAlign w:val="bottom"/>
          </w:tcPr>
          <w:p>
            <w:pPr>
              <w:jc w:val="right"/>
              <w:spacing w:after="0"/>
              <w:rPr>
                <w:sz w:val="20"/>
                <w:szCs w:val="20"/>
                <w:color w:val="auto"/>
              </w:rPr>
            </w:pPr>
            <w:r>
              <w:rPr>
                <w:rFonts w:ascii="Arial" w:cs="Arial" w:eastAsia="Arial" w:hAnsi="Arial"/>
                <w:sz w:val="13"/>
                <w:szCs w:val="13"/>
                <w:color w:val="auto"/>
              </w:rPr>
              <w:t>359,202</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8.75</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8.75</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4,515,132</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426,537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8.84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9.45</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4,719,969</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447,392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9.18</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9.48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5,412,261</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537,671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9.66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9.93</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Total dividend-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color w:val="auto"/>
              </w:rPr>
              <w:t>earning assets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99,098</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833</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-2.57</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0.84</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65,234</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2,252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1.93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3.45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119,106</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6,171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4.13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5.18</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62,237</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1,423</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2.29</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2.29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65,511</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1,301</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1.99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1.99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109,129</w:t>
            </w:r>
          </w:p>
        </w:tc>
        <w:tc>
          <w:tcPr>
            <w:tcW w:w="660" w:type="dxa"/>
            <w:vAlign w:val="bottom"/>
          </w:tcPr>
          <w:p>
            <w:pPr>
              <w:jc w:val="right"/>
              <w:spacing w:after="0"/>
              <w:rPr>
                <w:sz w:val="20"/>
                <w:szCs w:val="20"/>
                <w:color w:val="auto"/>
              </w:rPr>
            </w:pPr>
            <w:r>
              <w:rPr>
                <w:rFonts w:ascii="Arial" w:cs="Arial" w:eastAsia="Arial" w:hAnsi="Arial"/>
                <w:sz w:val="13"/>
                <w:szCs w:val="13"/>
                <w:color w:val="auto"/>
              </w:rPr>
              <w:t>2,970</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2.72</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2.72</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161,335</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2,256</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-0.70</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1.40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130,745</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3,553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1.96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2.72</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228,235</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9,141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3.46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4.01</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Total interest-earning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color w:val="auto"/>
              </w:rPr>
              <w:t>assets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1,375,544</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142,694</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6.64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10.37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2,155,583</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187,289</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7.09</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8.69</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2,468,974</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238,104</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8.55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9.64</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6,519,661</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400,148</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6.14</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6.14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6,807,425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425,143</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6.25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6.25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8,279,132</w:t>
            </w:r>
          </w:p>
        </w:tc>
        <w:tc>
          <w:tcPr>
            <w:tcW w:w="660" w:type="dxa"/>
            <w:vAlign w:val="bottom"/>
          </w:tcPr>
          <w:p>
            <w:pPr>
              <w:jc w:val="right"/>
              <w:spacing w:after="0"/>
              <w:rPr>
                <w:sz w:val="20"/>
                <w:szCs w:val="20"/>
                <w:color w:val="auto"/>
              </w:rPr>
            </w:pPr>
            <w:r>
              <w:rPr>
                <w:rFonts w:ascii="Arial" w:cs="Arial" w:eastAsia="Arial" w:hAnsi="Arial"/>
                <w:sz w:val="13"/>
                <w:szCs w:val="13"/>
                <w:color w:val="auto"/>
              </w:rPr>
              <w:t>543,899</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6.57</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6.57</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7,895,205</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542,842</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6.23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6.88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8,963,008</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612,432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6.45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6.83</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10,748,106</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782,003</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7.02</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7.28</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i w:val="1"/>
                <w:iCs w:val="1"/>
                <w:color w:val="auto"/>
              </w:rPr>
              <w:t>Noninterest-earning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i w:val="1"/>
                <w:iCs w:val="1"/>
                <w:color w:val="auto"/>
              </w:rPr>
              <w:t>assets: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Cash and due from</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banks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98,764</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135,168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168,332</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161,976</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179,250</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200,523</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260,740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314,418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368,855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Reserves for loan</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losses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(40,008)</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(33,020)</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(33,859)</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(242,115)</w:t>
            </w: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(191,132)</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(167,337)</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(282,123)</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(224,152)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(201,196)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Premises and</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equipment</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195,230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177,012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165,610</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57,960</w:t>
            </w: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66,559</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79,281</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253,190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243,571</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244,891</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Other non-interest-</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earning assets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175,316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141,397</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84,716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261,810</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320,424</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412,659</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437,126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461,821</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497,375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Total non-interest-</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earning assets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429,301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420,557</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384,799</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239,630</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375,101</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525,126</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668,931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795,658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909,925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spacing w:after="0"/>
              <w:rPr>
                <w:sz w:val="20"/>
                <w:szCs w:val="20"/>
                <w:color w:val="auto"/>
              </w:rPr>
            </w:pPr>
            <w:r>
              <w:rPr>
                <w:rFonts w:ascii="Arial" w:cs="Arial" w:eastAsia="Arial" w:hAnsi="Arial"/>
                <w:sz w:val="13"/>
                <w:szCs w:val="13"/>
                <w:color w:val="auto"/>
              </w:rPr>
              <w:t>Total average assets</w:t>
            </w: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1,804,845</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142,694</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4.26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7.91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2,576,140</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187,289</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5.70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7.27</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2,853,773</w:t>
            </w:r>
          </w:p>
        </w:tc>
        <w:tc>
          <w:tcPr>
            <w:tcW w:w="660" w:type="dxa"/>
            <w:vAlign w:val="bottom"/>
          </w:tcPr>
          <w:p>
            <w:pPr>
              <w:jc w:val="right"/>
              <w:spacing w:after="0"/>
              <w:rPr>
                <w:sz w:val="20"/>
                <w:szCs w:val="20"/>
                <w:color w:val="auto"/>
              </w:rPr>
            </w:pPr>
            <w:r>
              <w:rPr>
                <w:rFonts w:ascii="Arial" w:cs="Arial" w:eastAsia="Arial" w:hAnsi="Arial"/>
                <w:sz w:val="13"/>
                <w:szCs w:val="13"/>
                <w:color w:val="auto"/>
              </w:rPr>
              <w:t>238,104</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7.26</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8.34</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6,759,291</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400,148</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5.92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5.92</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7,182,526</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425,143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5.92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5.92</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8,804,258</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543,899</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6.18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6.18</w:t>
            </w:r>
          </w:p>
        </w:tc>
      </w:tr>
      <w:tr>
        <w:trPr>
          <w:trHeight w:val="268"/>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8,564,136</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542,842</w:t>
            </w: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5.57</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6.34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9,758,666</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612,432</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5.86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6.28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11,658,031</w:t>
            </w:r>
          </w:p>
        </w:tc>
        <w:tc>
          <w:tcPr>
            <w:tcW w:w="660" w:type="dxa"/>
            <w:vAlign w:val="bottom"/>
          </w:tcPr>
          <w:p>
            <w:pPr>
              <w:jc w:val="right"/>
              <w:spacing w:after="0"/>
              <w:rPr>
                <w:sz w:val="20"/>
                <w:szCs w:val="20"/>
                <w:color w:val="auto"/>
              </w:rPr>
            </w:pPr>
            <w:r>
              <w:rPr>
                <w:rFonts w:ascii="Arial" w:cs="Arial" w:eastAsia="Arial" w:hAnsi="Arial"/>
                <w:sz w:val="13"/>
                <w:szCs w:val="13"/>
                <w:color w:val="auto"/>
              </w:rPr>
              <w:t>782,003</w:t>
            </w:r>
          </w:p>
        </w:tc>
        <w:tc>
          <w:tcPr>
            <w:tcW w:w="4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6.44</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8877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121" w:right="239" w:bottom="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62"/>
        </w:trPr>
        <w:tc>
          <w:tcPr>
            <w:tcW w:w="16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2006</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6"/>
        </w:trPr>
        <w:tc>
          <w:tcPr>
            <w:tcW w:w="1600" w:type="dxa"/>
            <w:vAlign w:val="bottom"/>
          </w:tcPr>
          <w:p>
            <w:pPr>
              <w:spacing w:after="0"/>
              <w:rPr>
                <w:sz w:val="10"/>
                <w:szCs w:val="10"/>
                <w:color w:val="auto"/>
              </w:rPr>
            </w:pPr>
          </w:p>
        </w:tc>
        <w:tc>
          <w:tcPr>
            <w:tcW w:w="840" w:type="dxa"/>
            <w:vAlign w:val="bottom"/>
            <w:gridSpan w:val="2"/>
          </w:tcPr>
          <w:p>
            <w:pPr>
              <w:ind w:left="140"/>
              <w:spacing w:after="0" w:line="126" w:lineRule="exact"/>
              <w:rPr>
                <w:sz w:val="20"/>
                <w:szCs w:val="20"/>
                <w:color w:val="auto"/>
              </w:rPr>
            </w:pPr>
            <w:r>
              <w:rPr>
                <w:rFonts w:ascii="Arial" w:cs="Arial" w:eastAsia="Arial" w:hAnsi="Arial"/>
                <w:sz w:val="13"/>
                <w:szCs w:val="13"/>
                <w:b w:val="1"/>
                <w:bCs w:val="1"/>
                <w:color w:val="auto"/>
              </w:rPr>
              <w:t>Average</w:t>
            </w:r>
          </w:p>
        </w:tc>
        <w:tc>
          <w:tcPr>
            <w:tcW w:w="780" w:type="dxa"/>
            <w:vAlign w:val="bottom"/>
            <w:gridSpan w:val="3"/>
          </w:tcPr>
          <w:p>
            <w:pPr>
              <w:jc w:val="right"/>
              <w:ind w:right="240"/>
              <w:spacing w:after="0" w:line="126" w:lineRule="exact"/>
              <w:rPr>
                <w:sz w:val="20"/>
                <w:szCs w:val="20"/>
                <w:color w:val="auto"/>
              </w:rPr>
            </w:pPr>
            <w:r>
              <w:rPr>
                <w:rFonts w:ascii="Arial" w:cs="Arial" w:eastAsia="Arial" w:hAnsi="Arial"/>
                <w:sz w:val="13"/>
                <w:szCs w:val="13"/>
                <w:b w:val="1"/>
                <w:bCs w:val="1"/>
                <w:color w:val="auto"/>
              </w:rPr>
              <w:t>Interest</w:t>
            </w:r>
          </w:p>
        </w:tc>
        <w:tc>
          <w:tcPr>
            <w:tcW w:w="70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rPr>
              <w:t>Real</w:t>
            </w:r>
          </w:p>
        </w:tc>
        <w:tc>
          <w:tcPr>
            <w:tcW w:w="66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Nominal</w:t>
            </w:r>
          </w:p>
        </w:tc>
        <w:tc>
          <w:tcPr>
            <w:tcW w:w="100" w:type="dxa"/>
            <w:vAlign w:val="bottom"/>
          </w:tcPr>
          <w:p>
            <w:pPr>
              <w:spacing w:after="0"/>
              <w:rPr>
                <w:sz w:val="10"/>
                <w:szCs w:val="10"/>
                <w:color w:val="auto"/>
              </w:rPr>
            </w:pPr>
          </w:p>
        </w:tc>
        <w:tc>
          <w:tcPr>
            <w:tcW w:w="86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Average</w:t>
            </w:r>
          </w:p>
        </w:tc>
        <w:tc>
          <w:tcPr>
            <w:tcW w:w="820" w:type="dxa"/>
            <w:vAlign w:val="bottom"/>
            <w:gridSpan w:val="3"/>
          </w:tcPr>
          <w:p>
            <w:pPr>
              <w:jc w:val="right"/>
              <w:ind w:right="300"/>
              <w:spacing w:after="0" w:line="126" w:lineRule="exact"/>
              <w:rPr>
                <w:sz w:val="20"/>
                <w:szCs w:val="20"/>
                <w:color w:val="auto"/>
              </w:rPr>
            </w:pPr>
            <w:r>
              <w:rPr>
                <w:rFonts w:ascii="Arial" w:cs="Arial" w:eastAsia="Arial" w:hAnsi="Arial"/>
                <w:sz w:val="13"/>
                <w:szCs w:val="13"/>
                <w:b w:val="1"/>
                <w:bCs w:val="1"/>
                <w:color w:val="auto"/>
              </w:rPr>
              <w:t>Interest</w:t>
            </w:r>
          </w:p>
        </w:tc>
        <w:tc>
          <w:tcPr>
            <w:tcW w:w="70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Real Avg.</w:t>
            </w:r>
          </w:p>
        </w:tc>
        <w:tc>
          <w:tcPr>
            <w:tcW w:w="66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Nominal</w:t>
            </w:r>
          </w:p>
        </w:tc>
        <w:tc>
          <w:tcPr>
            <w:tcW w:w="100" w:type="dxa"/>
            <w:vAlign w:val="bottom"/>
          </w:tcPr>
          <w:p>
            <w:pPr>
              <w:spacing w:after="0"/>
              <w:rPr>
                <w:sz w:val="10"/>
                <w:szCs w:val="10"/>
                <w:color w:val="auto"/>
              </w:rPr>
            </w:pPr>
          </w:p>
        </w:tc>
        <w:tc>
          <w:tcPr>
            <w:tcW w:w="1160" w:type="dxa"/>
            <w:vAlign w:val="bottom"/>
            <w:gridSpan w:val="2"/>
          </w:tcPr>
          <w:p>
            <w:pPr>
              <w:jc w:val="right"/>
              <w:ind w:right="420"/>
              <w:spacing w:after="0" w:line="126" w:lineRule="exact"/>
              <w:rPr>
                <w:sz w:val="20"/>
                <w:szCs w:val="20"/>
                <w:color w:val="auto"/>
              </w:rPr>
            </w:pPr>
            <w:r>
              <w:rPr>
                <w:rFonts w:ascii="Arial" w:cs="Arial" w:eastAsia="Arial" w:hAnsi="Arial"/>
                <w:sz w:val="13"/>
                <w:szCs w:val="13"/>
                <w:b w:val="1"/>
                <w:bCs w:val="1"/>
                <w:color w:val="auto"/>
              </w:rPr>
              <w:t>Average</w:t>
            </w:r>
          </w:p>
        </w:tc>
        <w:tc>
          <w:tcPr>
            <w:tcW w:w="920" w:type="dxa"/>
            <w:vAlign w:val="bottom"/>
            <w:gridSpan w:val="2"/>
          </w:tcPr>
          <w:p>
            <w:pPr>
              <w:ind w:left="180"/>
              <w:spacing w:after="0" w:line="126" w:lineRule="exact"/>
              <w:rPr>
                <w:sz w:val="20"/>
                <w:szCs w:val="20"/>
                <w:color w:val="auto"/>
              </w:rPr>
            </w:pPr>
            <w:r>
              <w:rPr>
                <w:rFonts w:ascii="Arial" w:cs="Arial" w:eastAsia="Arial" w:hAnsi="Arial"/>
                <w:sz w:val="13"/>
                <w:szCs w:val="13"/>
                <w:b w:val="1"/>
                <w:bCs w:val="1"/>
                <w:color w:val="auto"/>
              </w:rPr>
              <w:t>Interest</w:t>
            </w:r>
          </w:p>
        </w:tc>
        <w:tc>
          <w:tcPr>
            <w:tcW w:w="7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Real Avg.</w:t>
            </w:r>
          </w:p>
        </w:tc>
        <w:tc>
          <w:tcPr>
            <w:tcW w:w="66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Nominal</w:t>
            </w:r>
          </w:p>
        </w:tc>
        <w:tc>
          <w:tcPr>
            <w:tcW w:w="100" w:type="dxa"/>
            <w:vAlign w:val="bottom"/>
          </w:tcPr>
          <w:p>
            <w:pPr>
              <w:spacing w:after="0"/>
              <w:rPr>
                <w:sz w:val="10"/>
                <w:szCs w:val="10"/>
                <w:color w:val="auto"/>
              </w:rPr>
            </w:pPr>
          </w:p>
        </w:tc>
      </w:tr>
      <w:tr>
        <w:trPr>
          <w:trHeight w:val="166"/>
        </w:trPr>
        <w:tc>
          <w:tcPr>
            <w:tcW w:w="1600" w:type="dxa"/>
            <w:vAlign w:val="bottom"/>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Avg. Rate</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Avg. Rate</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Avg. Rate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Paid</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Avg. Rate</w:t>
            </w:r>
          </w:p>
        </w:tc>
        <w:tc>
          <w:tcPr>
            <w:tcW w:w="100" w:type="dxa"/>
            <w:vAlign w:val="bottom"/>
          </w:tcPr>
          <w:p>
            <w:pPr>
              <w:spacing w:after="0"/>
              <w:rPr>
                <w:sz w:val="14"/>
                <w:szCs w:val="14"/>
                <w:color w:val="auto"/>
              </w:rPr>
            </w:pPr>
          </w:p>
        </w:tc>
      </w:tr>
      <w:tr>
        <w:trPr>
          <w:trHeight w:val="235"/>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9"/>
          </w:tcPr>
          <w:p>
            <w:pPr>
              <w:ind w:left="680"/>
              <w:spacing w:after="0"/>
              <w:rPr>
                <w:sz w:val="20"/>
                <w:szCs w:val="20"/>
                <w:color w:val="auto"/>
              </w:rPr>
            </w:pPr>
            <w:r>
              <w:rPr>
                <w:rFonts w:ascii="Arial" w:cs="Arial" w:eastAsia="Arial" w:hAnsi="Arial"/>
                <w:sz w:val="13"/>
                <w:szCs w:val="13"/>
                <w:i w:val="1"/>
                <w:iCs w:val="1"/>
                <w:color w:val="auto"/>
                <w:w w:val="88"/>
              </w:rPr>
              <w:t>(U.S. Dollars in thousands, except percentages)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3"/>
                <w:szCs w:val="13"/>
                <w:i w:val="1"/>
                <w:iCs w:val="1"/>
                <w:color w:val="auto"/>
              </w:rPr>
              <w:t>Interest-bearing liabilities: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3"/>
                <w:szCs w:val="13"/>
                <w:color w:val="auto"/>
              </w:rPr>
              <w:t>Demand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shd w:val="clear" w:color="auto" w:fill="CCFFCC"/>
          </w:tcPr>
          <w:p>
            <w:pPr>
              <w:ind w:left="100"/>
              <w:spacing w:after="0"/>
              <w:rPr>
                <w:sz w:val="20"/>
                <w:szCs w:val="20"/>
                <w:color w:val="auto"/>
              </w:rPr>
            </w:pPr>
            <w:r>
              <w:rPr>
                <w:rFonts w:ascii="Arial" w:cs="Arial" w:eastAsia="Arial" w:hAnsi="Arial"/>
                <w:sz w:val="13"/>
                <w:szCs w:val="13"/>
                <w:color w:val="auto"/>
                <w:w w:val="99"/>
              </w:rPr>
              <w:t>US$349,584</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2,911</w:t>
            </w:r>
          </w:p>
        </w:tc>
        <w:tc>
          <w:tcPr>
            <w:tcW w:w="12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-2.58%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w w:val="81"/>
              </w:rPr>
              <w:t>0.83%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w w:val="99"/>
              </w:rPr>
              <w:t>US$641,920</w:t>
            </w:r>
          </w:p>
        </w:tc>
        <w:tc>
          <w:tcPr>
            <w:tcW w:w="820" w:type="dxa"/>
            <w:vAlign w:val="bottom"/>
            <w:gridSpan w:val="3"/>
            <w:shd w:val="clear" w:color="auto" w:fill="CCFFCC"/>
          </w:tcPr>
          <w:p>
            <w:pPr>
              <w:jc w:val="right"/>
              <w:ind w:right="160"/>
              <w:spacing w:after="0"/>
              <w:rPr>
                <w:sz w:val="20"/>
                <w:szCs w:val="20"/>
                <w:color w:val="auto"/>
              </w:rPr>
            </w:pPr>
            <w:r>
              <w:rPr>
                <w:rFonts w:ascii="Arial" w:cs="Arial" w:eastAsia="Arial" w:hAnsi="Arial"/>
                <w:sz w:val="13"/>
                <w:szCs w:val="13"/>
                <w:color w:val="auto"/>
              </w:rPr>
              <w:t>US$6,056</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-0.54%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w w:val="81"/>
              </w:rPr>
              <w:t>0.94%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US$</w:t>
            </w:r>
            <w:r>
              <w:rPr>
                <w:rFonts w:ascii="Arial" w:cs="Arial" w:eastAsia="Arial" w:hAnsi="Arial"/>
                <w:sz w:val="21"/>
                <w:szCs w:val="21"/>
                <w:color w:val="auto"/>
              </w:rPr>
              <w:t>776,964</w:t>
            </w:r>
          </w:p>
        </w:tc>
        <w:tc>
          <w:tcPr>
            <w:tcW w:w="920" w:type="dxa"/>
            <w:vAlign w:val="bottom"/>
            <w:gridSpan w:val="2"/>
            <w:shd w:val="clear" w:color="auto" w:fill="CCFFCC"/>
          </w:tcPr>
          <w:p>
            <w:pPr>
              <w:ind w:left="100"/>
              <w:spacing w:after="0"/>
              <w:rPr>
                <w:sz w:val="20"/>
                <w:szCs w:val="20"/>
                <w:color w:val="auto"/>
              </w:rPr>
            </w:pPr>
            <w:r>
              <w:rPr>
                <w:rFonts w:ascii="Arial" w:cs="Arial" w:eastAsia="Arial" w:hAnsi="Arial"/>
                <w:sz w:val="13"/>
                <w:szCs w:val="13"/>
                <w:color w:val="auto"/>
              </w:rPr>
              <w:t>US$</w:t>
            </w:r>
            <w:r>
              <w:rPr>
                <w:rFonts w:ascii="Arial" w:cs="Arial" w:eastAsia="Arial" w:hAnsi="Arial"/>
                <w:sz w:val="21"/>
                <w:szCs w:val="21"/>
                <w:color w:val="auto"/>
              </w:rPr>
              <w:t>8,631</w:t>
            </w:r>
          </w:p>
        </w:tc>
        <w:tc>
          <w:tcPr>
            <w:tcW w:w="7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0.10%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w w:val="81"/>
              </w:rPr>
              <w:t>1.11%</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758,990</w:t>
            </w:r>
          </w:p>
        </w:tc>
        <w:tc>
          <w:tcPr>
            <w:tcW w:w="640" w:type="dxa"/>
            <w:vAlign w:val="bottom"/>
          </w:tcPr>
          <w:p>
            <w:pPr>
              <w:jc w:val="right"/>
              <w:spacing w:after="0"/>
              <w:rPr>
                <w:sz w:val="20"/>
                <w:szCs w:val="20"/>
                <w:color w:val="auto"/>
              </w:rPr>
            </w:pPr>
            <w:r>
              <w:rPr>
                <w:rFonts w:ascii="Arial" w:cs="Arial" w:eastAsia="Arial" w:hAnsi="Arial"/>
                <w:sz w:val="13"/>
                <w:szCs w:val="13"/>
                <w:color w:val="auto"/>
              </w:rPr>
              <w:t>1,873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0.25</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0.25</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926,710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10,861</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1.17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1.17</w:t>
            </w:r>
          </w:p>
        </w:tc>
        <w:tc>
          <w:tcPr>
            <w:tcW w:w="1040" w:type="dxa"/>
            <w:vAlign w:val="bottom"/>
          </w:tcPr>
          <w:p>
            <w:pPr>
              <w:jc w:val="right"/>
              <w:spacing w:after="0"/>
              <w:rPr>
                <w:sz w:val="20"/>
                <w:szCs w:val="20"/>
                <w:color w:val="auto"/>
              </w:rPr>
            </w:pPr>
            <w:r>
              <w:rPr>
                <w:rFonts w:ascii="Arial" w:cs="Arial" w:eastAsia="Arial" w:hAnsi="Arial"/>
                <w:sz w:val="13"/>
                <w:szCs w:val="13"/>
                <w:color w:val="auto"/>
              </w:rPr>
              <w:t>1,512,284</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16,150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1.07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1.07</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1,108,574</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4,784</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-0.64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0.43</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1,568,630</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16,917</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0.47</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1.08</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2,289,248</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24,781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1.08</w:t>
            </w:r>
          </w:p>
        </w:tc>
      </w:tr>
      <w:tr>
        <w:trPr>
          <w:trHeight w:val="242"/>
        </w:trPr>
        <w:tc>
          <w:tcPr>
            <w:tcW w:w="1600" w:type="dxa"/>
            <w:vAlign w:val="bottom"/>
          </w:tcPr>
          <w:p>
            <w:pPr>
              <w:spacing w:after="0"/>
              <w:rPr>
                <w:sz w:val="20"/>
                <w:szCs w:val="20"/>
                <w:color w:val="auto"/>
              </w:rPr>
            </w:pPr>
            <w:r>
              <w:rPr>
                <w:rFonts w:ascii="Arial" w:cs="Arial" w:eastAsia="Arial" w:hAnsi="Arial"/>
                <w:sz w:val="13"/>
                <w:szCs w:val="13"/>
                <w:color w:val="auto"/>
              </w:rPr>
              <w:t>Savings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277,051</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2,476</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0.89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452,826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3,495</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0.77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518,859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4,917</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-0.06</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0.95</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1,024,073</w:t>
            </w:r>
          </w:p>
        </w:tc>
        <w:tc>
          <w:tcPr>
            <w:tcW w:w="640" w:type="dxa"/>
            <w:vAlign w:val="bottom"/>
          </w:tcPr>
          <w:p>
            <w:pPr>
              <w:jc w:val="right"/>
              <w:spacing w:after="0"/>
              <w:rPr>
                <w:sz w:val="20"/>
                <w:szCs w:val="20"/>
                <w:color w:val="auto"/>
              </w:rPr>
            </w:pPr>
            <w:r>
              <w:rPr>
                <w:rFonts w:ascii="Arial" w:cs="Arial" w:eastAsia="Arial" w:hAnsi="Arial"/>
                <w:sz w:val="13"/>
                <w:szCs w:val="13"/>
                <w:color w:val="auto"/>
              </w:rPr>
              <w:t>3,740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0.37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0.37</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1,118,117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5,739</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0.51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0.51</w:t>
            </w:r>
          </w:p>
        </w:tc>
        <w:tc>
          <w:tcPr>
            <w:tcW w:w="1040" w:type="dxa"/>
            <w:vAlign w:val="bottom"/>
          </w:tcPr>
          <w:p>
            <w:pPr>
              <w:jc w:val="right"/>
              <w:spacing w:after="0"/>
              <w:rPr>
                <w:sz w:val="20"/>
                <w:szCs w:val="20"/>
                <w:color w:val="auto"/>
              </w:rPr>
            </w:pPr>
            <w:r>
              <w:rPr>
                <w:rFonts w:ascii="Arial" w:cs="Arial" w:eastAsia="Arial" w:hAnsi="Arial"/>
                <w:sz w:val="13"/>
                <w:szCs w:val="13"/>
                <w:color w:val="auto"/>
              </w:rPr>
              <w:t>1,238,890</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7,919</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0.64</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0.64</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1,301,124</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6,216</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-0.25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0.48</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1,570,943</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9,234</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0.16</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0.59</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1,757,749</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12,836</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0.43</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0.73</w:t>
            </w:r>
          </w:p>
        </w:tc>
      </w:tr>
      <w:tr>
        <w:trPr>
          <w:trHeight w:val="242"/>
        </w:trPr>
        <w:tc>
          <w:tcPr>
            <w:tcW w:w="1600" w:type="dxa"/>
            <w:vAlign w:val="bottom"/>
          </w:tcPr>
          <w:p>
            <w:pPr>
              <w:spacing w:after="0"/>
              <w:rPr>
                <w:sz w:val="20"/>
                <w:szCs w:val="20"/>
                <w:color w:val="auto"/>
              </w:rPr>
            </w:pPr>
            <w:r>
              <w:rPr>
                <w:rFonts w:ascii="Arial" w:cs="Arial" w:eastAsia="Arial" w:hAnsi="Arial"/>
                <w:sz w:val="13"/>
                <w:szCs w:val="13"/>
                <w:color w:val="auto"/>
              </w:rPr>
              <w:t>Time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426,074</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17,094</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0.49</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4.01</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562,148</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24,300</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2.79</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4.32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709,208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36,221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5.11</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2,210,780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67,871</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3.07</w:t>
            </w:r>
          </w:p>
        </w:tc>
        <w:tc>
          <w:tcPr>
            <w:tcW w:w="740" w:type="dxa"/>
            <w:vAlign w:val="bottom"/>
          </w:tcPr>
          <w:p>
            <w:pPr>
              <w:jc w:val="right"/>
              <w:spacing w:after="0"/>
              <w:rPr>
                <w:sz w:val="20"/>
                <w:szCs w:val="20"/>
                <w:color w:val="auto"/>
              </w:rPr>
            </w:pPr>
            <w:r>
              <w:rPr>
                <w:rFonts w:ascii="Arial" w:cs="Arial" w:eastAsia="Arial" w:hAnsi="Arial"/>
                <w:sz w:val="13"/>
                <w:szCs w:val="13"/>
                <w:color w:val="auto"/>
              </w:rPr>
              <w:t>2,944,558</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76,954</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2.61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2.61</w:t>
            </w:r>
          </w:p>
        </w:tc>
        <w:tc>
          <w:tcPr>
            <w:tcW w:w="1040" w:type="dxa"/>
            <w:vAlign w:val="bottom"/>
          </w:tcPr>
          <w:p>
            <w:pPr>
              <w:jc w:val="right"/>
              <w:spacing w:after="0"/>
              <w:rPr>
                <w:sz w:val="20"/>
                <w:szCs w:val="20"/>
                <w:color w:val="auto"/>
              </w:rPr>
            </w:pPr>
            <w:r>
              <w:rPr>
                <w:rFonts w:ascii="Arial" w:cs="Arial" w:eastAsia="Arial" w:hAnsi="Arial"/>
                <w:sz w:val="13"/>
                <w:szCs w:val="13"/>
                <w:color w:val="auto"/>
              </w:rPr>
              <w:t>3,068,947</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124,344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4.05</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4.05</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2,636,854</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84,965</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2.65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3.22</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3,506,706</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101,254</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2.64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2.89</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3,778,155</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160,565</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4.25</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rPr>
              <w:t>Due to banks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600" w:type="dxa"/>
            <w:vAlign w:val="bottom"/>
          </w:tcPr>
          <w:p>
            <w:pPr>
              <w:ind w:left="180"/>
              <w:spacing w:after="0"/>
              <w:rPr>
                <w:sz w:val="20"/>
                <w:szCs w:val="20"/>
                <w:color w:val="auto"/>
              </w:rPr>
            </w:pPr>
            <w:r>
              <w:rPr>
                <w:rFonts w:ascii="Arial" w:cs="Arial" w:eastAsia="Arial" w:hAnsi="Arial"/>
                <w:sz w:val="13"/>
                <w:szCs w:val="13"/>
                <w:color w:val="auto"/>
              </w:rPr>
              <w:t>correspondents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134,280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11,257</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8.38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159,892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3,162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0.48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1.98</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249,212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14,870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4.91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5.97</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539,268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25,425</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4.71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448,419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18,260</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4.07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4.07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865,365</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45,143</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5.22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5.22</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673,548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36,682</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5.45</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608,311</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21,422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3.13</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3.52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1,114,577</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60,013</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5.15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5.38</w:t>
            </w:r>
          </w:p>
        </w:tc>
      </w:tr>
      <w:tr>
        <w:trPr>
          <w:trHeight w:val="242"/>
        </w:trPr>
        <w:tc>
          <w:tcPr>
            <w:tcW w:w="1600" w:type="dxa"/>
            <w:vAlign w:val="bottom"/>
          </w:tcPr>
          <w:p>
            <w:pPr>
              <w:spacing w:after="0"/>
              <w:rPr>
                <w:sz w:val="20"/>
                <w:szCs w:val="20"/>
                <w:color w:val="auto"/>
              </w:rPr>
            </w:pPr>
            <w:r>
              <w:rPr>
                <w:rFonts w:ascii="Arial" w:cs="Arial" w:eastAsia="Arial" w:hAnsi="Arial"/>
                <w:sz w:val="13"/>
                <w:szCs w:val="13"/>
                <w:color w:val="auto"/>
              </w:rPr>
              <w:t>Bonds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122,006</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9,658</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4.27</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7.92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122,521</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9,655</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6.30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7.88</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153,178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11,041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6.13</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7.21</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298,816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17,993</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6.02</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295,821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14,677</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4.96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4.96</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292,984</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14,242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4.86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4.86</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420,822</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27,651</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5.51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6.57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418,342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24,332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5.35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5.82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446,162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25,283</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5.30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5.67</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rPr>
              <w:t>Total interest-bearing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600" w:type="dxa"/>
            <w:vAlign w:val="bottom"/>
          </w:tcPr>
          <w:p>
            <w:pPr>
              <w:ind w:left="180"/>
              <w:spacing w:after="0"/>
              <w:rPr>
                <w:sz w:val="20"/>
                <w:szCs w:val="20"/>
                <w:color w:val="auto"/>
              </w:rPr>
            </w:pPr>
            <w:r>
              <w:rPr>
                <w:rFonts w:ascii="Arial" w:cs="Arial" w:eastAsia="Arial" w:hAnsi="Arial"/>
                <w:sz w:val="13"/>
                <w:szCs w:val="13"/>
                <w:color w:val="auto"/>
              </w:rPr>
              <w:t>liabilities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1,308,995</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43,396</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-0.18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3.32</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1,939,307</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46,668</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0.90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2.41</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2,407,421</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75,680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3.14</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4,831,927</w:t>
            </w:r>
          </w:p>
        </w:tc>
        <w:tc>
          <w:tcPr>
            <w:tcW w:w="640" w:type="dxa"/>
            <w:vAlign w:val="bottom"/>
          </w:tcPr>
          <w:p>
            <w:pPr>
              <w:jc w:val="right"/>
              <w:spacing w:after="0"/>
              <w:rPr>
                <w:sz w:val="20"/>
                <w:szCs w:val="20"/>
                <w:color w:val="auto"/>
              </w:rPr>
            </w:pPr>
            <w:r>
              <w:rPr>
                <w:rFonts w:ascii="Arial" w:cs="Arial" w:eastAsia="Arial" w:hAnsi="Arial"/>
                <w:sz w:val="13"/>
                <w:szCs w:val="13"/>
                <w:color w:val="auto"/>
              </w:rPr>
              <w:t>116,902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2.42</w:t>
            </w:r>
          </w:p>
        </w:tc>
        <w:tc>
          <w:tcPr>
            <w:tcW w:w="740" w:type="dxa"/>
            <w:vAlign w:val="bottom"/>
          </w:tcPr>
          <w:p>
            <w:pPr>
              <w:jc w:val="right"/>
              <w:spacing w:after="0"/>
              <w:rPr>
                <w:sz w:val="20"/>
                <w:szCs w:val="20"/>
                <w:color w:val="auto"/>
              </w:rPr>
            </w:pPr>
            <w:r>
              <w:rPr>
                <w:rFonts w:ascii="Arial" w:cs="Arial" w:eastAsia="Arial" w:hAnsi="Arial"/>
                <w:sz w:val="13"/>
                <w:szCs w:val="13"/>
                <w:color w:val="auto"/>
              </w:rPr>
              <w:t>5,733,625</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126,491</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2.21</w:t>
            </w:r>
          </w:p>
        </w:tc>
        <w:tc>
          <w:tcPr>
            <w:tcW w:w="1040" w:type="dxa"/>
            <w:vAlign w:val="bottom"/>
          </w:tcPr>
          <w:p>
            <w:pPr>
              <w:jc w:val="right"/>
              <w:spacing w:after="0"/>
              <w:rPr>
                <w:sz w:val="20"/>
                <w:szCs w:val="20"/>
                <w:color w:val="auto"/>
              </w:rPr>
            </w:pPr>
            <w:r>
              <w:rPr>
                <w:rFonts w:ascii="Arial" w:cs="Arial" w:eastAsia="Arial" w:hAnsi="Arial"/>
                <w:sz w:val="13"/>
                <w:szCs w:val="13"/>
                <w:color w:val="auto"/>
              </w:rPr>
              <w:t>6,978,470</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207,798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2.98</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2.98</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6,140,922</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160,298</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1.87</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2.61</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7,672,932</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173,159</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1.88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2.26</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9,385,891</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283,478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2.76</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3.02</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i w:val="1"/>
                <w:iCs w:val="1"/>
                <w:color w:val="auto"/>
              </w:rPr>
              <w:t>Non-interest-bearing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ind w:left="180"/>
              <w:spacing w:after="0"/>
              <w:rPr>
                <w:sz w:val="20"/>
                <w:szCs w:val="20"/>
                <w:color w:val="auto"/>
              </w:rPr>
            </w:pPr>
            <w:r>
              <w:rPr>
                <w:rFonts w:ascii="Arial" w:cs="Arial" w:eastAsia="Arial" w:hAnsi="Arial"/>
                <w:sz w:val="13"/>
                <w:szCs w:val="13"/>
                <w:i w:val="1"/>
                <w:iCs w:val="1"/>
                <w:color w:val="auto"/>
              </w:rPr>
              <w:t>liabilities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600" w:type="dxa"/>
            <w:vAlign w:val="bottom"/>
          </w:tcPr>
          <w:p>
            <w:pPr>
              <w:ind w:left="180"/>
              <w:spacing w:after="0"/>
              <w:rPr>
                <w:sz w:val="20"/>
                <w:szCs w:val="20"/>
                <w:color w:val="auto"/>
              </w:rPr>
            </w:pPr>
            <w:r>
              <w:rPr>
                <w:rFonts w:ascii="Arial" w:cs="Arial" w:eastAsia="Arial" w:hAnsi="Arial"/>
                <w:sz w:val="13"/>
                <w:szCs w:val="13"/>
                <w:i w:val="1"/>
                <w:iCs w:val="1"/>
                <w:color w:val="auto"/>
              </w:rPr>
              <w:t>shareholders’ equity: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spacing w:after="0"/>
              <w:rPr>
                <w:sz w:val="20"/>
                <w:szCs w:val="20"/>
                <w:color w:val="auto"/>
              </w:rPr>
            </w:pPr>
            <w:r>
              <w:rPr>
                <w:rFonts w:ascii="Arial" w:cs="Arial" w:eastAsia="Arial" w:hAnsi="Arial"/>
                <w:sz w:val="13"/>
                <w:szCs w:val="13"/>
                <w:color w:val="auto"/>
              </w:rPr>
              <w:t>Other liabilities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45,773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108,140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56,016</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1,334,980</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770,712</w:t>
            </w: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862,715</w:t>
            </w: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1,380,753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878,852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918,731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60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rPr>
              <w:t>Equity attributable to</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w w:val="99"/>
              </w:rPr>
              <w:t>Credicorp equity holders</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3"/>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967,288</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1,133,773</w:t>
            </w: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1,247,195</w:t>
            </w: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967,288</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1,133,773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1,247,195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spacing w:after="0"/>
              <w:rPr>
                <w:sz w:val="20"/>
                <w:szCs w:val="20"/>
                <w:color w:val="auto"/>
              </w:rPr>
            </w:pPr>
            <w:r>
              <w:rPr>
                <w:rFonts w:ascii="Arial" w:cs="Arial" w:eastAsia="Arial" w:hAnsi="Arial"/>
                <w:sz w:val="13"/>
                <w:szCs w:val="13"/>
                <w:color w:val="auto"/>
              </w:rPr>
              <w:t>Minority Interest</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75,173</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93,109</w:t>
            </w: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106,214</w:t>
            </w: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75,173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93,109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106,214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60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rPr>
              <w:t>Total non-interest-bearing</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liabilities and equity</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45,773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108,140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56,016</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2,377,441</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1,977,594</w:t>
            </w: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2,216,124</w:t>
            </w: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2,423,214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2,085,734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2,272,140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60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rPr>
              <w:t>Total average liabilities</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and equity</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1,354,768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43,396</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-0.29</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3.20</w:t>
            </w:r>
          </w:p>
        </w:tc>
        <w:tc>
          <w:tcPr>
            <w:tcW w:w="740" w:type="dxa"/>
            <w:vAlign w:val="bottom"/>
          </w:tcPr>
          <w:p>
            <w:pPr>
              <w:jc w:val="right"/>
              <w:spacing w:after="0"/>
              <w:rPr>
                <w:sz w:val="20"/>
                <w:szCs w:val="20"/>
                <w:color w:val="auto"/>
              </w:rPr>
            </w:pPr>
            <w:r>
              <w:rPr>
                <w:rFonts w:ascii="Arial" w:cs="Arial" w:eastAsia="Arial" w:hAnsi="Arial"/>
                <w:sz w:val="13"/>
                <w:szCs w:val="13"/>
                <w:color w:val="auto"/>
              </w:rPr>
              <w:t>2,047,447</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46,668</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0.78</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2.28</w:t>
            </w:r>
          </w:p>
        </w:tc>
        <w:tc>
          <w:tcPr>
            <w:tcW w:w="1040" w:type="dxa"/>
            <w:vAlign w:val="bottom"/>
          </w:tcPr>
          <w:p>
            <w:pPr>
              <w:jc w:val="right"/>
              <w:spacing w:after="0"/>
              <w:rPr>
                <w:sz w:val="20"/>
                <w:szCs w:val="20"/>
                <w:color w:val="auto"/>
              </w:rPr>
            </w:pPr>
            <w:r>
              <w:rPr>
                <w:rFonts w:ascii="Arial" w:cs="Arial" w:eastAsia="Arial" w:hAnsi="Arial"/>
                <w:sz w:val="13"/>
                <w:szCs w:val="13"/>
                <w:color w:val="auto"/>
              </w:rPr>
              <w:t>2,463,437</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75,680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2.04</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3.07</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7,209,368</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116,902</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1.62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7,711,219</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126,491</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1.64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1.64</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9,194,594</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207,798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2.26</w:t>
            </w: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8,564,136</w:t>
            </w:r>
          </w:p>
        </w:tc>
        <w:tc>
          <w:tcPr>
            <w:tcW w:w="640" w:type="dxa"/>
            <w:vAlign w:val="bottom"/>
          </w:tcPr>
          <w:p>
            <w:pPr>
              <w:jc w:val="right"/>
              <w:spacing w:after="0"/>
              <w:rPr>
                <w:sz w:val="20"/>
                <w:szCs w:val="20"/>
                <w:color w:val="auto"/>
              </w:rPr>
            </w:pPr>
            <w:r>
              <w:rPr>
                <w:rFonts w:ascii="Arial" w:cs="Arial" w:eastAsia="Arial" w:hAnsi="Arial"/>
                <w:sz w:val="13"/>
                <w:szCs w:val="13"/>
                <w:color w:val="auto"/>
              </w:rPr>
              <w:t>160,298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1.87</w:t>
            </w:r>
          </w:p>
        </w:tc>
        <w:tc>
          <w:tcPr>
            <w:tcW w:w="740" w:type="dxa"/>
            <w:vAlign w:val="bottom"/>
          </w:tcPr>
          <w:p>
            <w:pPr>
              <w:jc w:val="right"/>
              <w:spacing w:after="0"/>
              <w:rPr>
                <w:sz w:val="20"/>
                <w:szCs w:val="20"/>
                <w:color w:val="auto"/>
              </w:rPr>
            </w:pPr>
            <w:r>
              <w:rPr>
                <w:rFonts w:ascii="Arial" w:cs="Arial" w:eastAsia="Arial" w:hAnsi="Arial"/>
                <w:sz w:val="13"/>
                <w:szCs w:val="13"/>
                <w:color w:val="auto"/>
              </w:rPr>
              <w:t>9,758,666</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173,159</w:t>
            </w:r>
          </w:p>
        </w:tc>
        <w:tc>
          <w:tcPr>
            <w:tcW w:w="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1.46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1.77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11,658,031</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283,478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87884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884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  Includes the amount paid to Central Bank for the deposit insurance fund.</w:t>
      </w:r>
    </w:p>
    <w:p>
      <w:pPr>
        <w:sectPr>
          <w:pgSz w:w="11900" w:h="16838" w:orient="portrait"/>
          <w:cols w:equalWidth="0" w:num="1">
            <w:col w:w="11420"/>
          </w:cols>
          <w:pgMar w:left="240" w:top="364" w:right="239" w:bottom="1109"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109"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6460" w:type="dxa"/>
            <w:vAlign w:val="bottom"/>
            <w:gridSpan w:val="5"/>
          </w:tcPr>
          <w:p>
            <w:pPr>
              <w:ind w:left="660"/>
              <w:spacing w:after="0"/>
              <w:rPr>
                <w:sz w:val="20"/>
                <w:szCs w:val="20"/>
                <w:color w:val="auto"/>
              </w:rPr>
            </w:pPr>
            <w:r>
              <w:rPr>
                <w:rFonts w:ascii="Arial" w:cs="Arial" w:eastAsia="Arial" w:hAnsi="Arial"/>
                <w:sz w:val="18"/>
                <w:szCs w:val="18"/>
                <w:i w:val="1"/>
                <w:iCs w:val="1"/>
                <w:color w:val="auto"/>
                <w:w w:val="98"/>
              </w:rPr>
              <w:t>Changes in Net Interest Income and Expense: Volume and Rate Analysis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9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2005/2004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2006/2005</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3900" w:type="dxa"/>
            <w:vAlign w:val="bottom"/>
          </w:tcPr>
          <w:p>
            <w:pPr>
              <w:spacing w:after="0"/>
              <w:rPr>
                <w:sz w:val="22"/>
                <w:szCs w:val="22"/>
                <w:color w:val="auto"/>
              </w:rPr>
            </w:pPr>
          </w:p>
        </w:tc>
        <w:tc>
          <w:tcPr>
            <w:tcW w:w="3680" w:type="dxa"/>
            <w:vAlign w:val="bottom"/>
            <w:tcBorders>
              <w:bottom w:val="single" w:sz="8" w:color="auto"/>
            </w:tcBorders>
            <w:gridSpan w:val="5"/>
          </w:tcPr>
          <w:p>
            <w:pPr>
              <w:jc w:val="center"/>
              <w:ind w:left="70"/>
              <w:spacing w:after="0"/>
              <w:rPr>
                <w:sz w:val="20"/>
                <w:szCs w:val="20"/>
                <w:color w:val="auto"/>
              </w:rPr>
            </w:pPr>
            <w:r>
              <w:rPr>
                <w:rFonts w:ascii="Arial" w:cs="Arial" w:eastAsia="Arial" w:hAnsi="Arial"/>
                <w:sz w:val="18"/>
                <w:szCs w:val="18"/>
                <w:b w:val="1"/>
                <w:bCs w:val="1"/>
                <w:color w:val="auto"/>
                <w:w w:val="87"/>
              </w:rPr>
              <w:t>Increase/(Decrease) due to changes in:</w:t>
            </w:r>
          </w:p>
        </w:tc>
        <w:tc>
          <w:tcPr>
            <w:tcW w:w="120" w:type="dxa"/>
            <w:vAlign w:val="bottom"/>
          </w:tcPr>
          <w:p>
            <w:pPr>
              <w:spacing w:after="0"/>
              <w:rPr>
                <w:sz w:val="22"/>
                <w:szCs w:val="22"/>
                <w:color w:val="auto"/>
              </w:rPr>
            </w:pPr>
          </w:p>
        </w:tc>
        <w:tc>
          <w:tcPr>
            <w:tcW w:w="362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87"/>
              </w:rPr>
              <w:t>Increase/(Decrease) due to changes in:</w:t>
            </w:r>
          </w:p>
        </w:tc>
        <w:tc>
          <w:tcPr>
            <w:tcW w:w="100" w:type="dxa"/>
            <w:vAlign w:val="bottom"/>
          </w:tcPr>
          <w:p>
            <w:pPr>
              <w:spacing w:after="0"/>
              <w:rPr>
                <w:sz w:val="22"/>
                <w:szCs w:val="22"/>
                <w:color w:val="auto"/>
              </w:rPr>
            </w:pPr>
          </w:p>
        </w:tc>
      </w:tr>
      <w:tr>
        <w:trPr>
          <w:trHeight w:val="264"/>
        </w:trPr>
        <w:tc>
          <w:tcPr>
            <w:tcW w:w="3900" w:type="dxa"/>
            <w:vAlign w:val="bottom"/>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Change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Change</w:t>
            </w:r>
          </w:p>
        </w:tc>
        <w:tc>
          <w:tcPr>
            <w:tcW w:w="100" w:type="dxa"/>
            <w:vAlign w:val="bottom"/>
          </w:tcPr>
          <w:p>
            <w:pPr>
              <w:spacing w:after="0"/>
              <w:rPr>
                <w:sz w:val="22"/>
                <w:szCs w:val="22"/>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260"/>
              <w:spacing w:after="0"/>
              <w:rPr>
                <w:sz w:val="20"/>
                <w:szCs w:val="20"/>
                <w:color w:val="auto"/>
              </w:rPr>
            </w:pPr>
            <w:r>
              <w:rPr>
                <w:rFonts w:ascii="Arial" w:cs="Arial" w:eastAsia="Arial" w:hAnsi="Arial"/>
                <w:sz w:val="18"/>
                <w:szCs w:val="18"/>
                <w:i w:val="1"/>
                <w:iCs w:val="1"/>
                <w:color w:val="auto"/>
              </w:rPr>
              <w:t>(U.S. 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7,366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8,658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13,851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18,958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8,697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13,925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18,991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32,916</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15,917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23,154</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8,284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7,632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23,843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25,383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4,292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29,675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(5,619)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16,943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16,622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31,784</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(1,327)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30,457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7,022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9,923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16,945</w:t>
            </w:r>
          </w:p>
        </w:tc>
      </w:tr>
      <w:tr>
        <w:trPr>
          <w:trHeight w:val="257"/>
        </w:trPr>
        <w:tc>
          <w:tcPr>
            <w:tcW w:w="3900" w:type="dxa"/>
            <w:vAlign w:val="bottom"/>
          </w:tcPr>
          <w:p>
            <w:pPr>
              <w:spacing w:after="0" w:line="256" w:lineRule="exact"/>
              <w:rPr>
                <w:sz w:val="20"/>
                <w:szCs w:val="20"/>
                <w:color w:val="auto"/>
              </w:rPr>
            </w:pPr>
            <w:r>
              <w:rPr>
                <w:rFonts w:ascii="Arial" w:cs="Arial" w:eastAsia="Arial" w:hAnsi="Arial"/>
                <w:sz w:val="18"/>
                <w:szCs w:val="18"/>
                <w:color w:val="auto"/>
              </w:rPr>
              <w:t>Total loans</w:t>
            </w:r>
            <w:r>
              <w:rPr>
                <w:rFonts w:ascii="Arial" w:cs="Arial" w:eastAsia="Arial" w:hAnsi="Arial"/>
                <w:sz w:val="29"/>
                <w:szCs w:val="29"/>
                <w:color w:val="auto"/>
                <w:vertAlign w:val="superscript"/>
              </w:rPr>
              <w:t>(1)</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24,126</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(10,946)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76,033</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(30,256)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45,777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2,440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17,473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27,029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44,502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29,361</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(8,506)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20,855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93,506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90,279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3,919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5,588</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80,918</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(36,323)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44,595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27,229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23,586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50,815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17.662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7,333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24,995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91,912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26,844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118,756</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98,580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(28,990)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69,590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119,141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50,430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169,571</w:t>
            </w: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12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2,575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8,574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8,988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6,863</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5,289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9,285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8,137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7,864</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1,571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120" w:type="dxa"/>
            <w:vAlign w:val="bottom"/>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3,602</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5,459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6,357</w:t>
            </w:r>
          </w:p>
        </w:tc>
        <w:tc>
          <w:tcPr>
            <w:tcW w:w="1120" w:type="dxa"/>
            <w:vAlign w:val="bottom"/>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11,921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22,527</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(13,444)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9,083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44,139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47,390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27,986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(11,697)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16,289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9,608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49,703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59,311</w:t>
            </w:r>
          </w:p>
        </w:tc>
      </w:tr>
      <w:tr>
        <w:trPr>
          <w:trHeight w:val="202"/>
        </w:trPr>
        <w:tc>
          <w:tcPr>
            <w:tcW w:w="3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Due to banks and correspondents</w:t>
            </w: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and issued bonds</w:t>
            </w: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(8,095)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1,766</w:t>
            </w:r>
          </w:p>
        </w:tc>
        <w:tc>
          <w:tcPr>
            <w:tcW w:w="1120" w:type="dxa"/>
            <w:vAlign w:val="bottom"/>
          </w:tcPr>
          <w:p>
            <w:pPr>
              <w:jc w:val="right"/>
              <w:spacing w:after="0"/>
              <w:rPr>
                <w:sz w:val="20"/>
                <w:szCs w:val="20"/>
                <w:color w:val="auto"/>
              </w:rPr>
            </w:pPr>
            <w:r>
              <w:rPr>
                <w:rFonts w:ascii="Arial" w:cs="Arial" w:eastAsia="Arial" w:hAnsi="Arial"/>
                <w:sz w:val="18"/>
                <w:szCs w:val="18"/>
                <w:color w:val="auto"/>
              </w:rPr>
              <w:t>9,942</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11,708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(4,283)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(2,882)</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16,978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9,905</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26,883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(2,136)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(13,124)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(15,260)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19,847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38,591</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(3,136)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(3,316)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(3,180)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20,896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(17,624)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3,272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17,747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29,012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21,815</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(12,226)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9,589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27,463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53,844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81,307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42,711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(29,850)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12,861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38,728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71,591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0" w:right="380" w:hanging="492"/>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599" w:gutter="0" w:footer="0" w:header="0"/>
        </w:sectPr>
      </w:pPr>
    </w:p>
    <w:bookmarkStart w:id="75" w:name="page76"/>
    <w:bookmarkEnd w:id="75"/>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6380" w:type="dxa"/>
            <w:vAlign w:val="bottom"/>
          </w:tcPr>
          <w:p>
            <w:pPr>
              <w:spacing w:after="0"/>
              <w:rPr>
                <w:sz w:val="22"/>
                <w:szCs w:val="22"/>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6380" w:type="dxa"/>
            <w:vAlign w:val="bottom"/>
          </w:tcPr>
          <w:p>
            <w:pPr>
              <w:spacing w:after="0"/>
              <w:rPr>
                <w:sz w:val="20"/>
                <w:szCs w:val="20"/>
                <w:color w:val="auto"/>
              </w:rPr>
            </w:pPr>
          </w:p>
        </w:tc>
        <w:tc>
          <w:tcPr>
            <w:tcW w:w="5040" w:type="dxa"/>
            <w:vAlign w:val="bottom"/>
            <w:gridSpan w:val="8"/>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r>
      <w:tr>
        <w:trPr>
          <w:trHeight w:val="243"/>
        </w:trPr>
        <w:tc>
          <w:tcPr>
            <w:tcW w:w="6380" w:type="dxa"/>
            <w:vAlign w:val="bottom"/>
          </w:tcPr>
          <w:p>
            <w:pPr>
              <w:spacing w:after="0"/>
              <w:rPr>
                <w:sz w:val="20"/>
                <w:szCs w:val="20"/>
                <w:color w:val="auto"/>
              </w:rPr>
            </w:pPr>
            <w:r>
              <w:rPr>
                <w:rFonts w:ascii="Arial" w:cs="Arial" w:eastAsia="Arial" w:hAnsi="Arial"/>
                <w:sz w:val="18"/>
                <w:szCs w:val="18"/>
                <w:color w:val="auto"/>
              </w:rPr>
              <w:t>Average interest-earning assets</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1,375,544</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2,155,583</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2,468,974</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6,519,661</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6,807,425</w:t>
            </w:r>
          </w:p>
        </w:tc>
        <w:tc>
          <w:tcPr>
            <w:tcW w:w="4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8,279,132</w:t>
            </w: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7,895,205</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8,963,008</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10,748,106</w:t>
            </w:r>
          </w:p>
        </w:tc>
      </w:tr>
      <w:tr>
        <w:trPr>
          <w:trHeight w:val="243"/>
        </w:trPr>
        <w:tc>
          <w:tcPr>
            <w:tcW w:w="6380" w:type="dxa"/>
            <w:vAlign w:val="bottom"/>
          </w:tcPr>
          <w:p>
            <w:pPr>
              <w:spacing w:after="0"/>
              <w:rPr>
                <w:sz w:val="20"/>
                <w:szCs w:val="20"/>
                <w:color w:val="auto"/>
              </w:rPr>
            </w:pPr>
            <w:r>
              <w:rPr>
                <w:rFonts w:ascii="Arial" w:cs="Arial" w:eastAsia="Arial" w:hAnsi="Arial"/>
                <w:sz w:val="18"/>
                <w:szCs w:val="18"/>
                <w:color w:val="auto"/>
              </w:rPr>
              <w:t>Net interest income</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99,298</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140,621</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162,424</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283,246</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298,652</w:t>
            </w:r>
          </w:p>
        </w:tc>
        <w:tc>
          <w:tcPr>
            <w:tcW w:w="4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336,101</w:t>
            </w: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382,544</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439,273</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498,525</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Gross yield (1)</w:t>
            </w:r>
          </w:p>
        </w:tc>
        <w:tc>
          <w:tcPr>
            <w:tcW w:w="3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10.37%</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8.69%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6.14%</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6.25%</w:t>
            </w: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6.88%</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6.83%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Net interest margin (2)</w:t>
            </w:r>
          </w:p>
        </w:tc>
        <w:tc>
          <w:tcPr>
            <w:tcW w:w="3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7.22%</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6.52%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4.34%</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4.39%</w:t>
            </w: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4.85%</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4.90%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Yield spread (3)</w:t>
            </w:r>
          </w:p>
        </w:tc>
        <w:tc>
          <w:tcPr>
            <w:tcW w:w="3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7.06%</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6.28%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3.72%</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4.04%</w:t>
            </w: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4.27%</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4.58%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279"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shows the short-term funds deposited with other banks broken down by currency as of the dates indicated. Deposits held in countries other than Peru are denominated in several currencies; however, the substantial majority of such deposits are denominated in U.S. Dollars. These currencies were converted to U.S. Dollars using the applicable SBS exchange rate as of the date of relevant balance.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80" w:type="dxa"/>
            <w:vAlign w:val="bottom"/>
            <w:gridSpan w:val="6"/>
          </w:tcPr>
          <w:p>
            <w:pPr>
              <w:jc w:val="center"/>
              <w:ind w:left="1070"/>
              <w:spacing w:after="0"/>
              <w:rPr>
                <w:sz w:val="20"/>
                <w:szCs w:val="20"/>
                <w:color w:val="auto"/>
              </w:rPr>
            </w:pPr>
            <w:r>
              <w:rPr>
                <w:rFonts w:ascii="Arial" w:cs="Arial" w:eastAsia="Arial" w:hAnsi="Arial"/>
                <w:sz w:val="18"/>
                <w:szCs w:val="18"/>
                <w:i w:val="1"/>
                <w:iCs w:val="1"/>
                <w:color w:val="auto"/>
                <w:w w:val="92"/>
              </w:rPr>
              <w:t>(U.S. Dollars in thousands</w:t>
            </w:r>
            <w:r>
              <w:rPr>
                <w:rFonts w:ascii="Arial" w:cs="Arial" w:eastAsia="Arial" w:hAnsi="Arial"/>
                <w:sz w:val="18"/>
                <w:szCs w:val="18"/>
                <w:color w:val="auto"/>
                <w:w w:val="92"/>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Nuevo Sol-denominated:</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Peruvian Central Bank</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17,142</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53,163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banks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55,819</w:t>
            </w:r>
          </w:p>
        </w:tc>
        <w:tc>
          <w:tcPr>
            <w:tcW w:w="100" w:type="dxa"/>
            <w:vAlign w:val="bottom"/>
          </w:tcPr>
          <w:p>
            <w:pPr>
              <w:spacing w:after="0"/>
              <w:rPr>
                <w:sz w:val="21"/>
                <w:szCs w:val="21"/>
                <w:color w:val="auto"/>
              </w:rPr>
            </w:pPr>
          </w:p>
        </w:tc>
      </w:tr>
      <w:tr>
        <w:trPr>
          <w:trHeight w:val="25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Nuevo Sol-denominated</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48,521</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57,165</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108,982</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Peruvian Central Bank (U.S. Dollars)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1,085,349</w:t>
            </w:r>
          </w:p>
        </w:tc>
        <w:tc>
          <w:tcPr>
            <w:tcW w:w="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1,597,929</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1.355,155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 Dollars, other</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455,178</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632,698</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739,028</w:t>
            </w:r>
          </w:p>
        </w:tc>
        <w:tc>
          <w:tcPr>
            <w:tcW w:w="100" w:type="dxa"/>
            <w:vAlign w:val="bottom"/>
          </w:tcPr>
          <w:p>
            <w:pPr>
              <w:spacing w:after="0"/>
              <w:rPr>
                <w:sz w:val="21"/>
                <w:szCs w:val="21"/>
                <w:color w:val="auto"/>
              </w:rPr>
            </w:pPr>
          </w:p>
        </w:tc>
      </w:tr>
      <w:tr>
        <w:trPr>
          <w:trHeight w:val="237"/>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4,852</w:t>
            </w:r>
          </w:p>
        </w:tc>
        <w:tc>
          <w:tcPr>
            <w:tcW w:w="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8,076</w:t>
            </w:r>
          </w:p>
        </w:tc>
        <w:tc>
          <w:tcPr>
            <w:tcW w:w="2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55,506</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Total Foreign Currency-denominated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2,238,703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2,149,689</w:t>
            </w:r>
          </w:p>
        </w:tc>
        <w:tc>
          <w:tcPr>
            <w:tcW w:w="100" w:type="dxa"/>
            <w:vAlign w:val="bottom"/>
          </w:tcPr>
          <w:p>
            <w:pPr>
              <w:spacing w:after="0"/>
              <w:rPr>
                <w:sz w:val="20"/>
                <w:szCs w:val="20"/>
                <w:color w:val="auto"/>
              </w:rPr>
            </w:pPr>
          </w:p>
        </w:tc>
      </w:tr>
      <w:tr>
        <w:trPr>
          <w:trHeight w:val="277"/>
        </w:trPr>
        <w:tc>
          <w:tcPr>
            <w:tcW w:w="67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1,593,900</w:t>
            </w:r>
          </w:p>
        </w:tc>
        <w:tc>
          <w:tcPr>
            <w:tcW w:w="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2,295,868</w:t>
            </w:r>
          </w:p>
        </w:tc>
        <w:tc>
          <w:tcPr>
            <w:tcW w:w="220" w:type="dxa"/>
            <w:vAlign w:val="bottom"/>
            <w:tcBorders>
              <w:bottom w:val="single" w:sz="8" w:color="CCFFCC"/>
            </w:tcBorders>
            <w:shd w:val="clear" w:color="auto" w:fill="CCFFCC"/>
          </w:tcPr>
          <w:p>
            <w:pPr>
              <w:spacing w:after="0"/>
              <w:rPr>
                <w:sz w:val="24"/>
                <w:szCs w:val="24"/>
                <w:color w:val="auto"/>
              </w:rPr>
            </w:pPr>
          </w:p>
        </w:tc>
        <w:tc>
          <w:tcPr>
            <w:tcW w:w="360" w:type="dxa"/>
            <w:vAlign w:val="bottom"/>
            <w:tcBorders>
              <w:bottom w:val="single" w:sz="8" w:color="auto"/>
            </w:tcBorders>
            <w:shd w:val="clear" w:color="auto" w:fill="CCFFCC"/>
          </w:tcPr>
          <w:p>
            <w:pPr>
              <w:spacing w:after="0"/>
              <w:rPr>
                <w:sz w:val="24"/>
                <w:szCs w:val="24"/>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2,258,671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00" w:lineRule="exact"/>
        <w:rPr>
          <w:sz w:val="20"/>
          <w:szCs w:val="20"/>
          <w:color w:val="auto"/>
        </w:rPr>
      </w:pPr>
    </w:p>
    <w:p>
      <w:pPr>
        <w:spacing w:after="0" w:line="322" w:lineRule="exact"/>
        <w:rPr>
          <w:sz w:val="20"/>
          <w:szCs w:val="20"/>
          <w:color w:val="auto"/>
        </w:rPr>
      </w:pPr>
    </w:p>
    <w:p>
      <w:pPr>
        <w:ind w:left="1140" w:hanging="484"/>
        <w:spacing w:after="0"/>
        <w:tabs>
          <w:tab w:leader="none" w:pos="11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fair value of Credicorp’s trading and available-for-sale investment securities by type at the dates indicated. See Notes 5 and 6 to the Credicorp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2"/>
              </w:rPr>
              <w:t>At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80" w:type="dxa"/>
            <w:vAlign w:val="bottom"/>
            <w:gridSpan w:val="5"/>
          </w:tcPr>
          <w:p>
            <w:pPr>
              <w:jc w:val="center"/>
              <w:ind w:left="1070"/>
              <w:spacing w:after="0"/>
              <w:rPr>
                <w:sz w:val="20"/>
                <w:szCs w:val="20"/>
                <w:color w:val="auto"/>
              </w:rPr>
            </w:pPr>
            <w:r>
              <w:rPr>
                <w:rFonts w:ascii="Arial" w:cs="Arial" w:eastAsia="Arial" w:hAnsi="Arial"/>
                <w:sz w:val="18"/>
                <w:szCs w:val="18"/>
                <w:i w:val="1"/>
                <w:iCs w:val="1"/>
                <w:color w:val="auto"/>
                <w:w w:val="92"/>
              </w:rPr>
              <w:t>(U.S. 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Peruvian government bonds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56,594</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129,137</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156,890</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112,785</w:t>
            </w:r>
          </w:p>
        </w:tc>
        <w:tc>
          <w:tcPr>
            <w:tcW w:w="1380" w:type="dxa"/>
            <w:vAlign w:val="bottom"/>
          </w:tcPr>
          <w:p>
            <w:pPr>
              <w:jc w:val="right"/>
              <w:spacing w:after="0"/>
              <w:rPr>
                <w:sz w:val="20"/>
                <w:szCs w:val="20"/>
                <w:color w:val="auto"/>
              </w:rPr>
            </w:pPr>
            <w:r>
              <w:rPr>
                <w:rFonts w:ascii="Arial" w:cs="Arial" w:eastAsia="Arial" w:hAnsi="Arial"/>
                <w:sz w:val="18"/>
                <w:szCs w:val="18"/>
                <w:color w:val="auto"/>
              </w:rPr>
              <w:t>144,919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148,333</w:t>
            </w: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67,878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91,065</w:t>
            </w: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74,010</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Peruvian Central Bank certif. notes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682,418</w:t>
            </w:r>
          </w:p>
        </w:tc>
        <w:tc>
          <w:tcPr>
            <w:tcW w:w="1380" w:type="dxa"/>
            <w:vAlign w:val="bottom"/>
          </w:tcPr>
          <w:p>
            <w:pPr>
              <w:jc w:val="right"/>
              <w:spacing w:after="0"/>
              <w:rPr>
                <w:sz w:val="20"/>
                <w:szCs w:val="20"/>
                <w:color w:val="auto"/>
              </w:rPr>
            </w:pPr>
            <w:r>
              <w:rPr>
                <w:rFonts w:ascii="Arial" w:cs="Arial" w:eastAsia="Arial" w:hAnsi="Arial"/>
                <w:sz w:val="18"/>
                <w:szCs w:val="18"/>
                <w:color w:val="auto"/>
              </w:rPr>
              <w:t>835,287</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1,277,613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investments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5,994</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40,287</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264,112</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Nuevo Sol-denominated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925,669</w:t>
            </w:r>
          </w:p>
        </w:tc>
        <w:tc>
          <w:tcPr>
            <w:tcW w:w="1380" w:type="dxa"/>
            <w:vAlign w:val="bottom"/>
          </w:tcPr>
          <w:p>
            <w:pPr>
              <w:jc w:val="right"/>
              <w:spacing w:after="0"/>
              <w:rPr>
                <w:sz w:val="20"/>
                <w:szCs w:val="20"/>
                <w:color w:val="auto"/>
              </w:rPr>
            </w:pPr>
            <w:r>
              <w:rPr>
                <w:rFonts w:ascii="Arial" w:cs="Arial" w:eastAsia="Arial" w:hAnsi="Arial"/>
                <w:sz w:val="18"/>
                <w:szCs w:val="18"/>
                <w:color w:val="auto"/>
              </w:rPr>
              <w:t>1,240,695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1,920,958</w:t>
            </w:r>
          </w:p>
        </w:tc>
      </w:tr>
      <w:tr>
        <w:trPr>
          <w:trHeight w:val="250"/>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380" w:type="dxa"/>
            <w:vAlign w:val="bottom"/>
            <w:tcBorders>
              <w:top w:val="single" w:sz="8" w:color="auto"/>
            </w:tcBorders>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tcBorders>
              <w:top w:val="single" w:sz="8" w:color="auto"/>
            </w:tcBorders>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tcBorders>
              <w:top w:val="single" w:sz="8" w:color="auto"/>
            </w:tcBorders>
            <w:shd w:val="clear" w:color="auto" w:fill="CCFFCC"/>
          </w:tcPr>
          <w:p>
            <w:pPr>
              <w:spacing w:after="0"/>
              <w:rPr>
                <w:sz w:val="21"/>
                <w:szCs w:val="21"/>
                <w:color w:val="auto"/>
              </w:rPr>
            </w:pPr>
          </w:p>
        </w:tc>
        <w:tc>
          <w:tcPr>
            <w:tcW w:w="1000" w:type="dxa"/>
            <w:vAlign w:val="bottom"/>
            <w:tcBorders>
              <w:top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68,573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63,332</w:t>
            </w: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102,543</w:t>
            </w: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610,402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891,666</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1,114,211</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Investment in Peruvian debt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357,145</w:t>
            </w:r>
          </w:p>
        </w:tc>
        <w:tc>
          <w:tcPr>
            <w:tcW w:w="1380" w:type="dxa"/>
            <w:vAlign w:val="bottom"/>
          </w:tcPr>
          <w:p>
            <w:pPr>
              <w:jc w:val="right"/>
              <w:spacing w:after="0"/>
              <w:rPr>
                <w:sz w:val="20"/>
                <w:szCs w:val="20"/>
                <w:color w:val="auto"/>
              </w:rPr>
            </w:pPr>
            <w:r>
              <w:rPr>
                <w:rFonts w:ascii="Arial" w:cs="Arial" w:eastAsia="Arial" w:hAnsi="Arial"/>
                <w:sz w:val="18"/>
                <w:szCs w:val="18"/>
                <w:color w:val="auto"/>
              </w:rPr>
              <w:t>185,138</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268,235</w:t>
            </w: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Peruvian Central Bank certif. notes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310,528</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investment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257,458</w:t>
            </w:r>
          </w:p>
        </w:tc>
        <w:tc>
          <w:tcPr>
            <w:tcW w:w="1380" w:type="dxa"/>
            <w:vAlign w:val="bottom"/>
          </w:tcPr>
          <w:p>
            <w:pPr>
              <w:jc w:val="right"/>
              <w:spacing w:after="0"/>
              <w:rPr>
                <w:sz w:val="20"/>
                <w:szCs w:val="20"/>
                <w:color w:val="auto"/>
              </w:rPr>
            </w:pPr>
            <w:r>
              <w:rPr>
                <w:rFonts w:ascii="Arial" w:cs="Arial" w:eastAsia="Arial" w:hAnsi="Arial"/>
                <w:sz w:val="18"/>
                <w:szCs w:val="18"/>
                <w:color w:val="auto"/>
              </w:rPr>
              <w:t>163,894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61,634</w:t>
            </w:r>
          </w:p>
        </w:tc>
      </w:tr>
      <w:tr>
        <w:trPr>
          <w:trHeight w:val="237"/>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Foreign Currency-denominated</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1,293,578</w:t>
            </w: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1,614,558</w:t>
            </w:r>
          </w:p>
        </w:tc>
        <w:tc>
          <w:tcPr>
            <w:tcW w:w="2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top w:val="single" w:sz="8" w:color="auto"/>
              <w:bottom w:val="single" w:sz="8" w:color="auto"/>
            </w:tcBorders>
            <w:shd w:val="clear" w:color="auto" w:fill="CCFFCC"/>
          </w:tcPr>
          <w:p>
            <w:pPr>
              <w:spacing w:after="0"/>
              <w:rPr>
                <w:sz w:val="20"/>
                <w:szCs w:val="20"/>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1,546,623</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50"/>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r>
      <w:tr>
        <w:trPr>
          <w:trHeight w:val="243"/>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securities holdings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2,219,247</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2,855,253</w:t>
            </w:r>
          </w:p>
        </w:tc>
        <w:tc>
          <w:tcPr>
            <w:tcW w:w="2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3,467,581</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interest-earning investment securities was 3.8% in 2004, 4.2% in 2005, and 5.2% in 2006. The weighted-average yield on Credicorp’s foreign currency-denominated portfolio was 6.1% in 2004, 5.7% in 2005 and 2006. The total weighted-average yield of Credicorp’s investment securities was 5.4% in 2004, 5.0% in 2005, and 5.5% in 2006.</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dividend-earning assets was 0.8% in 2004, 3.5% in 2005, and 5.2% in 2006. The weighted-average yield on Credicorp’s foreign currency-denominated portfolio was 2.3% in 2004, 2.0% in 2005 and 2.7% in 2006. The total weighted-average yield of Credicorp’s dividend -earning assets was 1.4% in 2004, 2.7% in 2005 and 4.0% in 2006.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7"/>
          <w:szCs w:val="17"/>
          <w:color w:val="auto"/>
        </w:rPr>
        <w:t>The following table shows the maturities of Credicorp’s trading and available-for-sale investment securities by type at December 31, 2006: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Maturing</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Maturing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After 3</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After 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After 1 year</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years but</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years but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Within</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but within</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within 5</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within</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After 10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1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3years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10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8"/>
          </w:tcPr>
          <w:p>
            <w:pPr>
              <w:ind w:left="780"/>
              <w:spacing w:after="0"/>
              <w:rPr>
                <w:sz w:val="20"/>
                <w:szCs w:val="20"/>
                <w:color w:val="auto"/>
              </w:rPr>
            </w:pPr>
            <w:r>
              <w:rPr>
                <w:rFonts w:ascii="Arial" w:cs="Arial" w:eastAsia="Arial" w:hAnsi="Arial"/>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Peruvian government bonds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1,725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6,845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36,212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29,816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82,292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156,890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Equity securities (1)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148,333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148,333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 and debentures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22,362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74,010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Peruvian Central Bank certif. notes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1,236,091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41,522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1,277,613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investments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241,681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5,718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264,112</w:t>
            </w:r>
          </w:p>
        </w:tc>
      </w:tr>
      <w:tr>
        <w:trPr>
          <w:trHeight w:val="20"/>
        </w:trPr>
        <w:tc>
          <w:tcPr>
            <w:tcW w:w="3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1,640,673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51,455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32,946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119,437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1,920,958</w:t>
            </w: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Peruvian Government Bonds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24,034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114,327</w:t>
            </w:r>
          </w:p>
        </w:tc>
        <w:tc>
          <w:tcPr>
            <w:tcW w:w="1140" w:type="dxa"/>
            <w:vAlign w:val="bottom"/>
          </w:tcPr>
          <w:p>
            <w:pPr>
              <w:jc w:val="right"/>
              <w:spacing w:after="0"/>
              <w:rPr>
                <w:sz w:val="20"/>
                <w:szCs w:val="20"/>
                <w:color w:val="auto"/>
              </w:rPr>
            </w:pPr>
            <w:r>
              <w:rPr>
                <w:rFonts w:ascii="Arial" w:cs="Arial" w:eastAsia="Arial" w:hAnsi="Arial"/>
                <w:sz w:val="18"/>
                <w:szCs w:val="18"/>
                <w:color w:val="auto"/>
              </w:rPr>
              <w:t>123,525</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268,235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Equity securities (1)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102,543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102,543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8"/>
              </w:rPr>
              <w:t>Bonds Peruvian Central Bank certificates notes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160,131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342,635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160,143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167,549</w:t>
            </w:r>
          </w:p>
        </w:tc>
        <w:tc>
          <w:tcPr>
            <w:tcW w:w="1140" w:type="dxa"/>
            <w:vAlign w:val="bottom"/>
          </w:tcPr>
          <w:p>
            <w:pPr>
              <w:jc w:val="right"/>
              <w:spacing w:after="0"/>
              <w:rPr>
                <w:sz w:val="20"/>
                <w:szCs w:val="20"/>
                <w:color w:val="auto"/>
              </w:rPr>
            </w:pPr>
            <w:r>
              <w:rPr>
                <w:rFonts w:ascii="Arial" w:cs="Arial" w:eastAsia="Arial" w:hAnsi="Arial"/>
                <w:sz w:val="18"/>
                <w:szCs w:val="18"/>
                <w:color w:val="auto"/>
              </w:rPr>
              <w:t>283,753</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1,114,211</w:t>
            </w:r>
          </w:p>
        </w:tc>
      </w:tr>
      <w:tr>
        <w:trPr>
          <w:trHeight w:val="250"/>
        </w:trPr>
        <w:tc>
          <w:tcPr>
            <w:tcW w:w="39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investments</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18,257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6,197</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12,334</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18,292</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6,554</w:t>
            </w: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61,634</w:t>
            </w:r>
          </w:p>
        </w:tc>
      </w:tr>
      <w:tr>
        <w:trPr>
          <w:trHeight w:val="20"/>
        </w:trPr>
        <w:tc>
          <w:tcPr>
            <w:tcW w:w="3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color w:val="auto"/>
              </w:rPr>
              <w:t>Total Foreign Currency-denominated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282,406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372,866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177,351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300,168</w:t>
            </w:r>
          </w:p>
        </w:tc>
        <w:tc>
          <w:tcPr>
            <w:tcW w:w="2540" w:type="dxa"/>
            <w:vAlign w:val="bottom"/>
            <w:gridSpan w:val="4"/>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413,832</w:t>
            </w:r>
            <w:r>
              <w:rPr>
                <w:rFonts w:ascii="Arial" w:cs="Arial" w:eastAsia="Arial" w:hAnsi="Arial"/>
                <w:sz w:val="18"/>
                <w:szCs w:val="18"/>
                <w:color w:val="auto"/>
              </w:rPr>
              <w:t xml:space="preserve">   US$</w:t>
            </w:r>
            <w:r>
              <w:rPr>
                <w:rFonts w:ascii="Arial" w:cs="Arial" w:eastAsia="Arial" w:hAnsi="Arial"/>
                <w:sz w:val="17"/>
                <w:szCs w:val="17"/>
                <w:color w:val="auto"/>
              </w:rPr>
              <w:t>1,546,623</w:t>
            </w:r>
          </w:p>
        </w:tc>
      </w:tr>
      <w:tr>
        <w:trPr>
          <w:trHeight w:val="20"/>
        </w:trPr>
        <w:tc>
          <w:tcPr>
            <w:tcW w:w="3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1,923,079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449,313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228,806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333,114</w:t>
            </w:r>
          </w:p>
        </w:tc>
        <w:tc>
          <w:tcPr>
            <w:tcW w:w="254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533,269</w:t>
            </w:r>
            <w:r>
              <w:rPr>
                <w:rFonts w:ascii="Arial" w:cs="Arial" w:eastAsia="Arial" w:hAnsi="Arial"/>
                <w:sz w:val="18"/>
                <w:szCs w:val="18"/>
                <w:color w:val="auto"/>
              </w:rPr>
              <w:t xml:space="preserve">   US$</w:t>
            </w:r>
            <w:r>
              <w:rPr>
                <w:rFonts w:ascii="Arial" w:cs="Arial" w:eastAsia="Arial" w:hAnsi="Arial"/>
                <w:sz w:val="17"/>
                <w:szCs w:val="17"/>
                <w:color w:val="auto"/>
              </w:rPr>
              <w:t>3,467,581</w:t>
            </w:r>
          </w:p>
        </w:tc>
      </w:tr>
      <w:tr>
        <w:trPr>
          <w:trHeight w:val="237"/>
        </w:trPr>
        <w:tc>
          <w:tcPr>
            <w:tcW w:w="39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yield</w:t>
            </w: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Equity securities in Credicorp’s trading account are categorized as maturing within one year.</w:t>
      </w:r>
    </w:p>
    <w:p>
      <w:pPr>
        <w:spacing w:after="0" w:line="27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Maturities of Credicorp’s investments securities classified by trading and available for sale, as of December 31, 2006 are described in “Item 11. Quantitative and Qualitative Disclosures about Market Risk.”</w:t>
      </w:r>
    </w:p>
    <w:p>
      <w:pPr>
        <w:spacing w:after="0" w:line="224"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All realized and unrealized gains and losses related to the trading of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8" w:name="page79"/>
    <w:bookmarkEnd w:id="78"/>
    <w:p>
      <w:pPr>
        <w:ind w:left="1300" w:hanging="482"/>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loans by type of loan,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400" w:type="dxa"/>
            <w:vAlign w:val="bottom"/>
          </w:tcPr>
          <w:p>
            <w:pPr>
              <w:spacing w:after="0"/>
              <w:rPr>
                <w:sz w:val="22"/>
                <w:szCs w:val="22"/>
                <w:color w:val="auto"/>
              </w:rPr>
            </w:pPr>
          </w:p>
        </w:tc>
        <w:tc>
          <w:tcPr>
            <w:tcW w:w="11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2002</w:t>
            </w: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2003</w:t>
            </w:r>
          </w:p>
        </w:tc>
        <w:tc>
          <w:tcPr>
            <w:tcW w:w="20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2004</w:t>
            </w: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22"/>
                <w:szCs w:val="22"/>
                <w:color w:val="auto"/>
              </w:rPr>
            </w:pPr>
          </w:p>
        </w:tc>
        <w:tc>
          <w:tcPr>
            <w:tcW w:w="12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22"/>
                <w:szCs w:val="22"/>
                <w:color w:val="auto"/>
              </w:rPr>
            </w:pPr>
          </w:p>
        </w:tc>
      </w:tr>
      <w:tr>
        <w:trPr>
          <w:trHeight w:val="237"/>
        </w:trPr>
        <w:tc>
          <w:tcPr>
            <w:tcW w:w="4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6"/>
          </w:tcPr>
          <w:p>
            <w:pPr>
              <w:jc w:val="right"/>
              <w:ind w:right="1140"/>
              <w:spacing w:after="0"/>
              <w:rPr>
                <w:sz w:val="20"/>
                <w:szCs w:val="20"/>
                <w:color w:val="auto"/>
              </w:rPr>
            </w:pPr>
            <w:r>
              <w:rPr>
                <w:rFonts w:ascii="Arial" w:cs="Arial" w:eastAsia="Arial" w:hAnsi="Arial"/>
                <w:sz w:val="18"/>
                <w:szCs w:val="18"/>
                <w:i w:val="1"/>
                <w:iCs w:val="1"/>
                <w:color w:val="auto"/>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40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3,268,103</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3,284,141</w:t>
            </w:r>
          </w:p>
        </w:tc>
        <w:tc>
          <w:tcPr>
            <w:tcW w:w="14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3,507,831</w:t>
            </w:r>
          </w:p>
        </w:tc>
        <w:tc>
          <w:tcPr>
            <w:tcW w:w="14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3,865,643</w:t>
            </w:r>
          </w:p>
        </w:tc>
        <w:tc>
          <w:tcPr>
            <w:tcW w:w="13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US$4,662,730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Leasing transactions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491,666</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452,635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424,902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564,575</w:t>
            </w:r>
          </w:p>
        </w:tc>
        <w:tc>
          <w:tcPr>
            <w:tcW w:w="1240" w:type="dxa"/>
            <w:vAlign w:val="bottom"/>
          </w:tcPr>
          <w:p>
            <w:pPr>
              <w:jc w:val="right"/>
              <w:spacing w:after="0"/>
              <w:rPr>
                <w:sz w:val="20"/>
                <w:szCs w:val="20"/>
                <w:color w:val="auto"/>
              </w:rPr>
            </w:pPr>
            <w:r>
              <w:rPr>
                <w:rFonts w:ascii="Arial" w:cs="Arial" w:eastAsia="Arial" w:hAnsi="Arial"/>
                <w:sz w:val="18"/>
                <w:szCs w:val="18"/>
                <w:color w:val="auto"/>
              </w:rPr>
              <w:t>675,804</w:t>
            </w:r>
          </w:p>
        </w:tc>
        <w:tc>
          <w:tcPr>
            <w:tcW w:w="120" w:type="dxa"/>
            <w:vAlign w:val="bottom"/>
          </w:tcPr>
          <w:p>
            <w:pPr>
              <w:spacing w:after="0"/>
              <w:rPr>
                <w:sz w:val="21"/>
                <w:szCs w:val="21"/>
                <w:color w:val="auto"/>
              </w:rPr>
            </w:pPr>
          </w:p>
        </w:tc>
      </w:tr>
      <w:tr>
        <w:trPr>
          <w:trHeight w:val="243"/>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180,314</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176,991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183,519</w:t>
            </w:r>
          </w:p>
        </w:tc>
        <w:tc>
          <w:tcPr>
            <w:tcW w:w="1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213,232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256,534</w:t>
            </w:r>
          </w:p>
        </w:tc>
        <w:tc>
          <w:tcPr>
            <w:tcW w:w="120" w:type="dxa"/>
            <w:vAlign w:val="bottom"/>
            <w:shd w:val="clear" w:color="auto" w:fill="CCFFCC"/>
          </w:tcPr>
          <w:p>
            <w:pPr>
              <w:spacing w:after="0"/>
              <w:rPr>
                <w:sz w:val="21"/>
                <w:szCs w:val="2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Factoring</w:t>
            </w:r>
          </w:p>
        </w:tc>
        <w:tc>
          <w:tcPr>
            <w:tcW w:w="1180" w:type="dxa"/>
            <w:vAlign w:val="bottom"/>
          </w:tcPr>
          <w:p>
            <w:pPr>
              <w:jc w:val="right"/>
              <w:spacing w:after="0"/>
              <w:rPr>
                <w:sz w:val="20"/>
                <w:szCs w:val="20"/>
                <w:color w:val="auto"/>
              </w:rPr>
            </w:pPr>
            <w:r>
              <w:rPr>
                <w:rFonts w:ascii="Arial" w:cs="Arial" w:eastAsia="Arial" w:hAnsi="Arial"/>
                <w:sz w:val="18"/>
                <w:szCs w:val="18"/>
                <w:color w:val="auto"/>
              </w:rPr>
              <w:t>62,302</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56,446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58,116</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87,757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89,171</w:t>
            </w:r>
          </w:p>
        </w:tc>
      </w:tr>
      <w:tr>
        <w:trPr>
          <w:trHeight w:val="243"/>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169,132</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45,827</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48,506</w:t>
            </w:r>
          </w:p>
        </w:tc>
        <w:tc>
          <w:tcPr>
            <w:tcW w:w="1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49,283</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84,262</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Refinanced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330,842</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296,116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243,892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175,211</w:t>
            </w:r>
          </w:p>
        </w:tc>
        <w:tc>
          <w:tcPr>
            <w:tcW w:w="1240" w:type="dxa"/>
            <w:vAlign w:val="bottom"/>
          </w:tcPr>
          <w:p>
            <w:pPr>
              <w:jc w:val="right"/>
              <w:spacing w:after="0"/>
              <w:rPr>
                <w:sz w:val="20"/>
                <w:szCs w:val="20"/>
                <w:color w:val="auto"/>
              </w:rPr>
            </w:pPr>
            <w:r>
              <w:rPr>
                <w:rFonts w:ascii="Arial" w:cs="Arial" w:eastAsia="Arial" w:hAnsi="Arial"/>
                <w:sz w:val="18"/>
                <w:szCs w:val="18"/>
                <w:color w:val="auto"/>
              </w:rPr>
              <w:t>126,006</w:t>
            </w:r>
          </w:p>
        </w:tc>
        <w:tc>
          <w:tcPr>
            <w:tcW w:w="120" w:type="dxa"/>
            <w:vAlign w:val="bottom"/>
          </w:tcPr>
          <w:p>
            <w:pPr>
              <w:spacing w:after="0"/>
              <w:rPr>
                <w:sz w:val="21"/>
                <w:szCs w:val="21"/>
                <w:color w:val="auto"/>
              </w:rPr>
            </w:pPr>
          </w:p>
        </w:tc>
      </w:tr>
      <w:tr>
        <w:trPr>
          <w:trHeight w:val="243"/>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406,135</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256,208</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159,057</w:t>
            </w:r>
          </w:p>
        </w:tc>
        <w:tc>
          <w:tcPr>
            <w:tcW w:w="1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95,769</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76,770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Unearned interest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(90,831)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(86,868)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(66,805)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(78,495)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(93,916)</w:t>
            </w:r>
          </w:p>
        </w:tc>
      </w:tr>
      <w:tr>
        <w:trPr>
          <w:trHeight w:val="20"/>
        </w:trPr>
        <w:tc>
          <w:tcPr>
            <w:tcW w:w="4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40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4,817,663</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4,481,496</w:t>
            </w:r>
          </w:p>
        </w:tc>
        <w:tc>
          <w:tcPr>
            <w:tcW w:w="14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4,559,018</w:t>
            </w:r>
          </w:p>
        </w:tc>
        <w:tc>
          <w:tcPr>
            <w:tcW w:w="14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4,972,975</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5,877,361</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Total past due loans amounts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(406,135)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(256,208)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(159,057)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(95,769)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(76,770)</w:t>
            </w:r>
          </w:p>
        </w:tc>
      </w:tr>
      <w:tr>
        <w:trPr>
          <w:trHeight w:val="20"/>
        </w:trPr>
        <w:tc>
          <w:tcPr>
            <w:tcW w:w="4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4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0"/>
              </w:rPr>
              <w:t>US$</w:t>
            </w:r>
            <w:r>
              <w:rPr>
                <w:rFonts w:ascii="Arial" w:cs="Arial" w:eastAsia="Arial" w:hAnsi="Arial"/>
                <w:sz w:val="17"/>
                <w:szCs w:val="17"/>
                <w:color w:val="auto"/>
                <w:w w:val="90"/>
              </w:rPr>
              <w:t>4,411,528</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4,225,288</w:t>
            </w:r>
          </w:p>
        </w:tc>
        <w:tc>
          <w:tcPr>
            <w:tcW w:w="14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4,399,961</w:t>
            </w:r>
          </w:p>
        </w:tc>
        <w:tc>
          <w:tcPr>
            <w:tcW w:w="14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4,877,206</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5,800,591</w:t>
            </w:r>
          </w:p>
        </w:tc>
      </w:tr>
      <w:tr>
        <w:trPr>
          <w:trHeight w:val="20"/>
        </w:trPr>
        <w:tc>
          <w:tcPr>
            <w:tcW w:w="44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area set forth under “Item 4. Information on the Company—(B) Business Overview—(3) Commercial Banking.” Pursuant to the guidelines of the SBS, loans are categorized as follows: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loans in various forms, including trade finance loans to importers and exporters on specialized terms adapted to the needs of the international trade transaction.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Involves the acquisition by Credicorp of an asset and the leasing of that asset to Credicorp’s client.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Credicorp makes a loan supported by a draft signed by one party and discounted by another party, with recourse to both parties.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Factoring</w:t>
      </w:r>
      <w:r>
        <w:rPr>
          <w:rFonts w:ascii="Arial" w:cs="Arial" w:eastAsia="Arial" w:hAnsi="Arial"/>
          <w:sz w:val="18"/>
          <w:szCs w:val="18"/>
          <w:color w:val="auto"/>
        </w:rPr>
        <w:t>: Involves the sale of title of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turn to the seller in the event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short-term advances.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Includes loans that were refinanced because the client was unable to pay at maturity. A loan is categorized as a refinanced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a debtor is experiencing payment problems, unless the debtor is current on all interest payments and pays down at least 20% of the principal amount of the original loan. Since July 1999, Credicorp has distinguished a sub-group entitled </w:t>
      </w:r>
      <w:r>
        <w:rPr>
          <w:rFonts w:ascii="Arial" w:cs="Arial" w:eastAsia="Arial" w:hAnsi="Arial"/>
          <w:sz w:val="18"/>
          <w:szCs w:val="18"/>
          <w:i w:val="1"/>
          <w:iCs w:val="1"/>
          <w:color w:val="auto"/>
        </w:rPr>
        <w:t>Restructured Loans</w:t>
      </w:r>
      <w:r>
        <w:rPr>
          <w:rFonts w:ascii="Arial" w:cs="Arial" w:eastAsia="Arial" w:hAnsi="Arial"/>
          <w:sz w:val="18"/>
          <w:szCs w:val="18"/>
          <w:color w:val="auto"/>
        </w:rPr>
        <w:t>, defined as those loans extended under the bankruptcy protection procedures established in the Equity Restructuring Law.</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Past due loans: </w:t>
      </w:r>
      <w:r>
        <w:rPr>
          <w:rFonts w:ascii="Arial" w:cs="Arial" w:eastAsia="Arial" w:hAnsi="Arial"/>
          <w:sz w:val="18"/>
          <w:szCs w:val="18"/>
          <w:color w:val="auto"/>
        </w:rPr>
        <w:t>Includes overdue loans. See “— Past Due Loan Portfolio” for further detail.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Credicorp’s total loan portfolio composition, net of unearned interest, based on the borrower’s principal economic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At December 31,</w:t>
            </w: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2002</w:t>
            </w:r>
          </w:p>
        </w:tc>
        <w:tc>
          <w:tcPr>
            <w:tcW w:w="9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2003</w:t>
            </w:r>
          </w:p>
        </w:tc>
        <w:tc>
          <w:tcPr>
            <w:tcW w:w="9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2004</w:t>
            </w: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Economic Activity</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0"/>
          </w:tcPr>
          <w:p>
            <w:pPr>
              <w:jc w:val="center"/>
              <w:ind w:right="56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56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1,592,191</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33.05%</w:t>
            </w:r>
          </w:p>
        </w:tc>
        <w:tc>
          <w:tcPr>
            <w:tcW w:w="156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1,461,350</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32.61%</w:t>
            </w:r>
          </w:p>
        </w:tc>
        <w:tc>
          <w:tcPr>
            <w:tcW w:w="15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1,376,874</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30.20%</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160" w:type="dxa"/>
            <w:vAlign w:val="bottom"/>
          </w:tcPr>
          <w:p>
            <w:pPr>
              <w:jc w:val="right"/>
              <w:spacing w:after="0"/>
              <w:rPr>
                <w:sz w:val="20"/>
                <w:szCs w:val="20"/>
                <w:color w:val="auto"/>
              </w:rPr>
            </w:pPr>
            <w:r>
              <w:rPr>
                <w:rFonts w:ascii="Arial" w:cs="Arial" w:eastAsia="Arial" w:hAnsi="Arial"/>
                <w:sz w:val="18"/>
                <w:szCs w:val="18"/>
                <w:color w:val="auto"/>
              </w:rPr>
              <w:t>522,998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10.86</w:t>
            </w:r>
          </w:p>
        </w:tc>
        <w:tc>
          <w:tcPr>
            <w:tcW w:w="1160" w:type="dxa"/>
            <w:vAlign w:val="bottom"/>
          </w:tcPr>
          <w:p>
            <w:pPr>
              <w:jc w:val="right"/>
              <w:spacing w:after="0"/>
              <w:rPr>
                <w:sz w:val="20"/>
                <w:szCs w:val="20"/>
                <w:color w:val="auto"/>
              </w:rPr>
            </w:pPr>
            <w:r>
              <w:rPr>
                <w:rFonts w:ascii="Arial" w:cs="Arial" w:eastAsia="Arial" w:hAnsi="Arial"/>
                <w:sz w:val="18"/>
                <w:szCs w:val="18"/>
                <w:color w:val="auto"/>
              </w:rPr>
              <w:t>1,033,881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23.07</w:t>
            </w:r>
          </w:p>
        </w:tc>
        <w:tc>
          <w:tcPr>
            <w:tcW w:w="1160" w:type="dxa"/>
            <w:vAlign w:val="bottom"/>
          </w:tcPr>
          <w:p>
            <w:pPr>
              <w:jc w:val="right"/>
              <w:spacing w:after="0"/>
              <w:rPr>
                <w:sz w:val="20"/>
                <w:szCs w:val="20"/>
                <w:color w:val="auto"/>
              </w:rPr>
            </w:pPr>
            <w:r>
              <w:rPr>
                <w:rFonts w:ascii="Arial" w:cs="Arial" w:eastAsia="Arial" w:hAnsi="Arial"/>
                <w:sz w:val="18"/>
                <w:szCs w:val="18"/>
                <w:color w:val="auto"/>
              </w:rPr>
              <w:t>1,187,378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26.04</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617,491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560,052</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523,574</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11.48</w:t>
            </w: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Realty Businesses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Leasing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281,753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233,506</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160" w:type="dxa"/>
            <w:vAlign w:val="bottom"/>
          </w:tcPr>
          <w:p>
            <w:pPr>
              <w:jc w:val="right"/>
              <w:spacing w:after="0"/>
              <w:rPr>
                <w:sz w:val="20"/>
                <w:szCs w:val="20"/>
                <w:color w:val="auto"/>
              </w:rPr>
            </w:pPr>
            <w:r>
              <w:rPr>
                <w:rFonts w:ascii="Arial" w:cs="Arial" w:eastAsia="Arial" w:hAnsi="Arial"/>
                <w:sz w:val="18"/>
                <w:szCs w:val="18"/>
                <w:color w:val="auto"/>
              </w:rPr>
              <w:t>224,745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227,879</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233,355</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194,022</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4.26</w:t>
            </w: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Communication, Storage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and Transportation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209,174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189,612</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160" w:type="dxa"/>
            <w:vAlign w:val="bottom"/>
          </w:tcPr>
          <w:p>
            <w:pPr>
              <w:jc w:val="right"/>
              <w:spacing w:after="0"/>
              <w:rPr>
                <w:sz w:val="20"/>
                <w:szCs w:val="20"/>
                <w:color w:val="auto"/>
              </w:rPr>
            </w:pPr>
            <w:r>
              <w:rPr>
                <w:rFonts w:ascii="Arial" w:cs="Arial" w:eastAsia="Arial" w:hAnsi="Arial"/>
                <w:sz w:val="18"/>
                <w:szCs w:val="18"/>
                <w:color w:val="auto"/>
              </w:rPr>
              <w:t>181,018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302,976</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6.29</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211,610</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248,571</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160" w:type="dxa"/>
            <w:vAlign w:val="bottom"/>
          </w:tcPr>
          <w:p>
            <w:pPr>
              <w:jc w:val="right"/>
              <w:spacing w:after="0"/>
              <w:rPr>
                <w:sz w:val="20"/>
                <w:szCs w:val="20"/>
                <w:color w:val="auto"/>
              </w:rPr>
            </w:pPr>
            <w:r>
              <w:rPr>
                <w:rFonts w:ascii="Arial" w:cs="Arial" w:eastAsia="Arial" w:hAnsi="Arial"/>
                <w:sz w:val="18"/>
                <w:szCs w:val="18"/>
                <w:color w:val="auto"/>
              </w:rPr>
              <w:t>158,500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142,697</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160" w:type="dxa"/>
            <w:vAlign w:val="bottom"/>
          </w:tcPr>
          <w:p>
            <w:pPr>
              <w:jc w:val="right"/>
              <w:spacing w:after="0"/>
              <w:rPr>
                <w:sz w:val="20"/>
                <w:szCs w:val="20"/>
                <w:color w:val="auto"/>
              </w:rPr>
            </w:pPr>
            <w:r>
              <w:rPr>
                <w:rFonts w:ascii="Arial" w:cs="Arial" w:eastAsia="Arial" w:hAnsi="Arial"/>
                <w:sz w:val="18"/>
                <w:szCs w:val="18"/>
                <w:color w:val="auto"/>
              </w:rPr>
              <w:t>160,167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Fishing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104,604</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90,786</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68,604</w:t>
            </w: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210,404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96,371</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90,042</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r>
      <w:tr>
        <w:trPr>
          <w:trHeight w:val="202"/>
        </w:trPr>
        <w:tc>
          <w:tcPr>
            <w:tcW w:w="31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Education, Health and</w:t>
            </w: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30"/>
        </w:trPr>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Services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93,851</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99,702</w:t>
            </w: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62,341</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86,632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70,676</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72,879</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500,041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10.38</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144,766</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235,608</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5.17</w:t>
            </w:r>
          </w:p>
        </w:tc>
      </w:tr>
      <w:tr>
        <w:trPr>
          <w:trHeight w:val="27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Sub 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4,908,494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4,568,364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4,625,823</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220" w:type="dxa"/>
            <w:vAlign w:val="bottom"/>
          </w:tcPr>
          <w:p>
            <w:pPr>
              <w:spacing w:after="0"/>
              <w:rPr>
                <w:sz w:val="23"/>
                <w:szCs w:val="23"/>
                <w:color w:val="auto"/>
              </w:rPr>
            </w:pPr>
          </w:p>
        </w:tc>
      </w:tr>
      <w:tr>
        <w:trPr>
          <w:trHeight w:val="237"/>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(90,831)</w:t>
            </w: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-1.89</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(86,868)</w:t>
            </w: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-1.94</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(66,805)</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w:t>
            </w:r>
          </w:p>
        </w:tc>
      </w:tr>
      <w:tr>
        <w:trPr>
          <w:trHeight w:val="20"/>
        </w:trPr>
        <w:tc>
          <w:tcPr>
            <w:tcW w:w="29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64"/>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US$</w:t>
            </w:r>
            <w:r>
              <w:rPr>
                <w:rFonts w:ascii="Arial" w:cs="Arial" w:eastAsia="Arial" w:hAnsi="Arial"/>
                <w:sz w:val="17"/>
                <w:szCs w:val="17"/>
                <w:color w:val="auto"/>
                <w:w w:val="90"/>
              </w:rPr>
              <w:t>4,817,663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560" w:type="dxa"/>
            <w:vAlign w:val="bottom"/>
            <w:gridSpan w:val="3"/>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0"/>
        </w:trPr>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2005</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Economy Activity</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Total</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8"/>
          </w:tcPr>
          <w:p>
            <w:pPr>
              <w:jc w:val="center"/>
              <w:ind w:left="103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82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1,430,559</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28.77%</w:t>
            </w:r>
          </w:p>
        </w:tc>
        <w:tc>
          <w:tcPr>
            <w:tcW w:w="1780" w:type="dxa"/>
            <w:vAlign w:val="bottom"/>
            <w:gridSpan w:val="3"/>
            <w:shd w:val="clear" w:color="auto" w:fill="CCFFCC"/>
          </w:tcPr>
          <w:p>
            <w:pPr>
              <w:jc w:val="right"/>
              <w:ind w:righ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1,624,765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27.65%</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380" w:type="dxa"/>
            <w:vAlign w:val="bottom"/>
          </w:tcPr>
          <w:p>
            <w:pPr>
              <w:jc w:val="right"/>
              <w:spacing w:after="0"/>
              <w:rPr>
                <w:sz w:val="20"/>
                <w:szCs w:val="20"/>
                <w:color w:val="auto"/>
              </w:rPr>
            </w:pPr>
            <w:r>
              <w:rPr>
                <w:rFonts w:ascii="Arial" w:cs="Arial" w:eastAsia="Arial" w:hAnsi="Arial"/>
                <w:sz w:val="18"/>
                <w:szCs w:val="18"/>
                <w:color w:val="auto"/>
              </w:rPr>
              <w:t>1,364,910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1,729,682</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29.43</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625,908</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686,291</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11.68</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Realty Businesses and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Leasing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216,095</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236,445</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Mining</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223,156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303,238</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4.36</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Communication, Storage</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and Transportation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210,002</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255,730</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192,096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256,541</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4.02</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153,410</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150,020</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Fishing</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117,104</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152,538</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105,484</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163,946</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r>
      <w:tr>
        <w:trPr>
          <w:trHeight w:val="202"/>
        </w:trPr>
        <w:tc>
          <w:tcPr>
            <w:tcW w:w="51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Education, Health and</w:t>
            </w: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Services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69,468</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75,376</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68,217</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74,482</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275,061</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262,223</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4.46</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Sub total</w:t>
            </w:r>
          </w:p>
        </w:tc>
        <w:tc>
          <w:tcPr>
            <w:tcW w:w="1380" w:type="dxa"/>
            <w:vAlign w:val="bottom"/>
          </w:tcPr>
          <w:p>
            <w:pPr>
              <w:jc w:val="right"/>
              <w:spacing w:after="0"/>
              <w:rPr>
                <w:sz w:val="20"/>
                <w:szCs w:val="20"/>
                <w:color w:val="auto"/>
              </w:rPr>
            </w:pPr>
            <w:r>
              <w:rPr>
                <w:rFonts w:ascii="Arial" w:cs="Arial" w:eastAsia="Arial" w:hAnsi="Arial"/>
                <w:sz w:val="18"/>
                <w:szCs w:val="18"/>
                <w:color w:val="auto"/>
              </w:rPr>
              <w:t>5,051,470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101.58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5,971,277</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101.60</w:t>
            </w:r>
          </w:p>
        </w:tc>
      </w:tr>
      <w:tr>
        <w:trPr>
          <w:trHeight w:val="20"/>
        </w:trPr>
        <w:tc>
          <w:tcPr>
            <w:tcW w:w="516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(78,495)</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(93,916)</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-1.60</w:t>
            </w:r>
          </w:p>
        </w:tc>
      </w:tr>
      <w:tr>
        <w:trPr>
          <w:trHeight w:val="20"/>
        </w:trPr>
        <w:tc>
          <w:tcPr>
            <w:tcW w:w="49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Pr>
          <w:p>
            <w:pPr>
              <w:ind w:left="3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4,972,975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US$5,877,361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2006, 66.2% of the loan portfolio was concentrated in Lima and 91.79% was concentrated in Peru. An additional 6.76% of the loan portfolio was concentrated in Bolivia.</w:t>
      </w:r>
    </w:p>
    <w:p>
      <w:pPr>
        <w:sectPr>
          <w:pgSz w:w="11900" w:h="16838" w:orient="portrait"/>
          <w:cols w:equalWidth="0" w:num="1">
            <w:col w:w="11420"/>
          </w:cols>
          <w:pgMar w:left="240" w:top="368" w:right="239" w:bottom="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Credicorp’s loans and other contingent credits to the 20 customers (considered as economic groups) to which it had the largest exposure as of December 31, 2006 were US$1,255.9 million, of which US$1,086.2 million were outstanding loans representing 18.5% of the total loan portfolio. See “—</w:t>
      </w:r>
    </w:p>
    <w:p>
      <w:pPr>
        <w:jc w:val="both"/>
        <w:ind w:firstLine="8"/>
        <w:spacing w:after="0" w:line="253" w:lineRule="auto"/>
        <w:tabs>
          <w:tab w:leader="none" w:pos="3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Supervision and Regulation—(ii) BCP—Lending Activities” for the definition of economic group. Total loans and other contingent credits outstanding to these customers ranged from US$119.7 million to US$42.6 million, including fifteen customers with over US$50.0 million. Total loans and other contingent credits outstanding to Credicorp’s 20 largest customers were ranked in the following risk categories as of December 31, 2006: Class A (normal)—90.9%; Class B (potential problems)—8.9%; Class C (substandard)—0.2%; Class D (doubtful)—0%; and Class E (loss)—0%. See “—Classification of the Loan Portfolio.”</w:t>
      </w:r>
    </w:p>
    <w:p>
      <w:pPr>
        <w:spacing w:after="0" w:line="2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loans to Directors and employees and relatives have a global limit of 7% of capital stock and reserves and an individual limit of 5% of such global limit.</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Loans to individuals not resident in Peru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resident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S/.2,335.9 million (US$730.9 million) at December 31, 2006 BCP’s legal lending limits vary from S/.116.8 million (US$36.5 million) to S/.1,168.0 million (US$365.4 million). Credicorp’s consolidated lending limits, based on its regulatory capital on a consolidated basis of US$1,008.0 million at December 31, 2006, would range from US$50.4 million to US$504.0 million. As of December 31, 2006, BCP was in compliance with all Law 26702 lending limits.</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complied with the applicable legal lending limits in each of the jurisdictions where it operates.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2" w:name="page83"/>
    <w:bookmarkEnd w:id="82"/>
    <w:p>
      <w:pPr>
        <w:jc w:val="both"/>
        <w:ind w:firstLine="648"/>
        <w:spacing w:after="0" w:line="286" w:lineRule="auto"/>
        <w:rPr>
          <w:sz w:val="20"/>
          <w:szCs w:val="20"/>
          <w:color w:val="auto"/>
        </w:rPr>
      </w:pPr>
      <w:r>
        <w:rPr>
          <w:rFonts w:ascii="Arial" w:cs="Arial" w:eastAsia="Arial" w:hAnsi="Arial"/>
          <w:sz w:val="17"/>
          <w:szCs w:val="17"/>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Credicorp’s Nuevo Sol and foreign currency-denominated loan portfolio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0"/>
              </w:rPr>
              <w:t>At December 31,</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35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2002</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2003</w:t>
            </w:r>
          </w:p>
        </w:tc>
        <w:tc>
          <w:tcPr>
            <w:tcW w:w="5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2004</w:t>
            </w:r>
          </w:p>
        </w:tc>
        <w:tc>
          <w:tcPr>
            <w:tcW w:w="7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Total loan portfolio:</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gridSpan w:val="10"/>
          </w:tcPr>
          <w:p>
            <w:pPr>
              <w:jc w:val="center"/>
              <w:ind w:right="90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6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677,506</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14.06%</w:t>
            </w:r>
          </w:p>
        </w:tc>
        <w:tc>
          <w:tcPr>
            <w:tcW w:w="1940" w:type="dxa"/>
            <w:vAlign w:val="bottom"/>
            <w:gridSpan w:val="3"/>
            <w:shd w:val="clear" w:color="auto" w:fill="CCFFCC"/>
          </w:tcPr>
          <w:p>
            <w:pPr>
              <w:jc w:val="right"/>
              <w:ind w:right="7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723,955</w:t>
            </w: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16.15%</w:t>
            </w:r>
          </w:p>
        </w:tc>
        <w:tc>
          <w:tcPr>
            <w:tcW w:w="172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662,058</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14.52%</w:t>
            </w: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160" w:type="dxa"/>
            <w:vAlign w:val="bottom"/>
          </w:tcPr>
          <w:p>
            <w:pPr>
              <w:jc w:val="right"/>
              <w:spacing w:after="0"/>
              <w:rPr>
                <w:sz w:val="20"/>
                <w:szCs w:val="20"/>
                <w:color w:val="auto"/>
              </w:rPr>
            </w:pPr>
            <w:r>
              <w:rPr>
                <w:rFonts w:ascii="Arial" w:cs="Arial" w:eastAsia="Arial" w:hAnsi="Arial"/>
                <w:sz w:val="18"/>
                <w:szCs w:val="18"/>
                <w:color w:val="auto"/>
              </w:rPr>
              <w:t>4,140,157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85.94%</w:t>
            </w:r>
          </w:p>
        </w:tc>
        <w:tc>
          <w:tcPr>
            <w:tcW w:w="1180" w:type="dxa"/>
            <w:vAlign w:val="bottom"/>
          </w:tcPr>
          <w:p>
            <w:pPr>
              <w:jc w:val="right"/>
              <w:spacing w:after="0"/>
              <w:rPr>
                <w:sz w:val="20"/>
                <w:szCs w:val="20"/>
                <w:color w:val="auto"/>
              </w:rPr>
            </w:pPr>
            <w:r>
              <w:rPr>
                <w:rFonts w:ascii="Arial" w:cs="Arial" w:eastAsia="Arial" w:hAnsi="Arial"/>
                <w:sz w:val="18"/>
                <w:szCs w:val="18"/>
                <w:color w:val="auto"/>
              </w:rPr>
              <w:t>3,757,541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83.85%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3,896,960</w:t>
            </w:r>
          </w:p>
        </w:tc>
        <w:tc>
          <w:tcPr>
            <w:tcW w:w="4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85.48%</w:t>
            </w:r>
          </w:p>
        </w:tc>
      </w:tr>
      <w:tr>
        <w:trPr>
          <w:trHeight w:val="20"/>
        </w:trPr>
        <w:tc>
          <w:tcPr>
            <w:tcW w:w="3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35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16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940" w:type="dxa"/>
            <w:vAlign w:val="bottom"/>
            <w:gridSpan w:val="3"/>
            <w:shd w:val="clear" w:color="auto" w:fill="CCFFCC"/>
          </w:tcPr>
          <w:p>
            <w:pPr>
              <w:jc w:val="right"/>
              <w:ind w:right="7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2"/>
              </w:rPr>
              <w:t>100.00%</w:t>
            </w:r>
          </w:p>
        </w:tc>
        <w:tc>
          <w:tcPr>
            <w:tcW w:w="172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5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center"/>
              <w:ind w:right="1140"/>
              <w:spacing w:after="0"/>
              <w:rPr>
                <w:sz w:val="20"/>
                <w:szCs w:val="20"/>
                <w:color w:val="auto"/>
              </w:rPr>
            </w:pPr>
            <w:r>
              <w:rPr>
                <w:rFonts w:ascii="Arial" w:cs="Arial" w:eastAsia="Arial" w:hAnsi="Arial"/>
                <w:sz w:val="18"/>
                <w:szCs w:val="18"/>
                <w:b w:val="1"/>
                <w:bCs w:val="1"/>
                <w:color w:val="auto"/>
                <w:w w:val="92"/>
              </w:rPr>
              <w:t>At December 31,</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5020" w:type="dxa"/>
            <w:vAlign w:val="bottom"/>
          </w:tcPr>
          <w:p>
            <w:pPr>
              <w:spacing w:after="0"/>
              <w:rPr>
                <w:sz w:val="22"/>
                <w:szCs w:val="22"/>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2005</w:t>
            </w:r>
          </w:p>
        </w:tc>
        <w:tc>
          <w:tcPr>
            <w:tcW w:w="9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2006</w:t>
            </w:r>
          </w:p>
        </w:tc>
        <w:tc>
          <w:tcPr>
            <w:tcW w:w="9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5020" w:type="dxa"/>
            <w:vAlign w:val="bottom"/>
          </w:tcPr>
          <w:p>
            <w:pPr>
              <w:spacing w:after="0"/>
              <w:rPr>
                <w:sz w:val="20"/>
                <w:szCs w:val="20"/>
                <w:color w:val="auto"/>
              </w:rPr>
            </w:pPr>
            <w:r>
              <w:rPr>
                <w:rFonts w:ascii="Arial" w:cs="Arial" w:eastAsia="Arial" w:hAnsi="Arial"/>
                <w:sz w:val="18"/>
                <w:szCs w:val="18"/>
                <w:color w:val="auto"/>
              </w:rPr>
              <w:t>Total loan portfolio:</w:t>
            </w:r>
          </w:p>
        </w:tc>
        <w:tc>
          <w:tcPr>
            <w:tcW w:w="1360" w:type="dxa"/>
            <w:vAlign w:val="bottom"/>
          </w:tcPr>
          <w:p>
            <w:pPr>
              <w:spacing w:after="0"/>
              <w:rPr>
                <w:sz w:val="22"/>
                <w:szCs w:val="22"/>
                <w:color w:val="auto"/>
              </w:rPr>
            </w:pPr>
          </w:p>
        </w:tc>
        <w:tc>
          <w:tcPr>
            <w:tcW w:w="3960" w:type="dxa"/>
            <w:vAlign w:val="bottom"/>
            <w:gridSpan w:val="7"/>
          </w:tcPr>
          <w:p>
            <w:pPr>
              <w:jc w:val="center"/>
              <w:ind w:right="52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0"/>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2040" w:type="dxa"/>
            <w:vAlign w:val="bottom"/>
            <w:gridSpan w:val="3"/>
            <w:shd w:val="clear" w:color="auto" w:fill="CCFFCC"/>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1,032,481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20.76%</w:t>
            </w:r>
          </w:p>
        </w:tc>
        <w:tc>
          <w:tcPr>
            <w:tcW w:w="212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1,492,681</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25.40%</w:t>
            </w: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360" w:type="dxa"/>
            <w:vAlign w:val="bottom"/>
          </w:tcPr>
          <w:p>
            <w:pPr>
              <w:jc w:val="right"/>
              <w:spacing w:after="0"/>
              <w:rPr>
                <w:sz w:val="20"/>
                <w:szCs w:val="20"/>
                <w:color w:val="auto"/>
              </w:rPr>
            </w:pPr>
            <w:r>
              <w:rPr>
                <w:rFonts w:ascii="Arial" w:cs="Arial" w:eastAsia="Arial" w:hAnsi="Arial"/>
                <w:sz w:val="18"/>
                <w:szCs w:val="18"/>
                <w:color w:val="auto"/>
              </w:rPr>
              <w:t>3,940,494</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79.24%</w:t>
            </w:r>
          </w:p>
        </w:tc>
        <w:tc>
          <w:tcPr>
            <w:tcW w:w="1400" w:type="dxa"/>
            <w:vAlign w:val="bottom"/>
          </w:tcPr>
          <w:p>
            <w:pPr>
              <w:jc w:val="right"/>
              <w:spacing w:after="0"/>
              <w:rPr>
                <w:sz w:val="20"/>
                <w:szCs w:val="20"/>
                <w:color w:val="auto"/>
              </w:rPr>
            </w:pPr>
            <w:r>
              <w:rPr>
                <w:rFonts w:ascii="Arial" w:cs="Arial" w:eastAsia="Arial" w:hAnsi="Arial"/>
                <w:sz w:val="18"/>
                <w:szCs w:val="18"/>
                <w:color w:val="auto"/>
              </w:rPr>
              <w:t>4,384,680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74.60%</w:t>
            </w:r>
          </w:p>
        </w:tc>
      </w:tr>
      <w:tr>
        <w:trPr>
          <w:trHeight w:val="20"/>
        </w:trPr>
        <w:tc>
          <w:tcPr>
            <w:tcW w:w="5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5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2040" w:type="dxa"/>
            <w:vAlign w:val="bottom"/>
            <w:gridSpan w:val="3"/>
            <w:shd w:val="clear" w:color="auto" w:fill="CCFFCC"/>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4,972,975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100.00%</w:t>
            </w:r>
          </w:p>
        </w:tc>
        <w:tc>
          <w:tcPr>
            <w:tcW w:w="212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50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analysis of Credicorp’s performing loan portfolio at December 31, 2006, by type and by time remaining to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are stated before deduction of the reserves for loan losses.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Maturing</w:t>
            </w: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8"/>
              </w:rPr>
              <w:t>After 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 at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Within</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months</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After 1 year</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After 3 years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but within</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but within</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but within</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After 5</w:t>
            </w: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 months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gridSpan w:val="8"/>
          </w:tcPr>
          <w:p>
            <w:pPr>
              <w:jc w:val="right"/>
              <w:ind w:right="960"/>
              <w:spacing w:after="0"/>
              <w:rPr>
                <w:sz w:val="20"/>
                <w:szCs w:val="20"/>
                <w:color w:val="auto"/>
              </w:rPr>
            </w:pPr>
            <w:r>
              <w:rPr>
                <w:rFonts w:ascii="Arial" w:cs="Arial" w:eastAsia="Arial" w:hAnsi="Arial"/>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4,662,730</w:t>
            </w:r>
          </w:p>
        </w:tc>
        <w:tc>
          <w:tcPr>
            <w:tcW w:w="260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1,939,902</w:t>
            </w:r>
            <w:r>
              <w:rPr>
                <w:rFonts w:ascii="Arial" w:cs="Arial" w:eastAsia="Arial" w:hAnsi="Arial"/>
                <w:sz w:val="18"/>
                <w:szCs w:val="18"/>
                <w:color w:val="auto"/>
              </w:rPr>
              <w:t xml:space="preserve">   US$</w:t>
            </w:r>
            <w:r>
              <w:rPr>
                <w:rFonts w:ascii="Arial" w:cs="Arial" w:eastAsia="Arial" w:hAnsi="Arial"/>
                <w:sz w:val="17"/>
                <w:szCs w:val="17"/>
                <w:color w:val="auto"/>
              </w:rPr>
              <w:t>1,070,786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493,145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354,986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803,911</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675,804</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135,036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137,211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276,230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97,490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29,837</w:t>
            </w:r>
          </w:p>
        </w:tc>
      </w:tr>
      <w:tr>
        <w:trPr>
          <w:trHeight w:val="243"/>
        </w:trPr>
        <w:tc>
          <w:tcPr>
            <w:tcW w:w="20" w:type="dxa"/>
            <w:vAlign w:val="bottom"/>
          </w:tcPr>
          <w:p>
            <w:pPr>
              <w:spacing w:after="0"/>
              <w:rPr>
                <w:sz w:val="21"/>
                <w:szCs w:val="21"/>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256,534</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239,559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16,663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126,006</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44,141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18,301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27,603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12,158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23,803</w:t>
            </w:r>
          </w:p>
        </w:tc>
      </w:tr>
      <w:tr>
        <w:trPr>
          <w:trHeight w:val="243"/>
        </w:trPr>
        <w:tc>
          <w:tcPr>
            <w:tcW w:w="20" w:type="dxa"/>
            <w:vAlign w:val="bottom"/>
          </w:tcPr>
          <w:p>
            <w:pPr>
              <w:spacing w:after="0"/>
              <w:rPr>
                <w:sz w:val="21"/>
                <w:szCs w:val="21"/>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Factoring</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89,171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88,836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1340" w:type="dxa"/>
            <w:vAlign w:val="bottom"/>
          </w:tcPr>
          <w:p>
            <w:pPr>
              <w:jc w:val="right"/>
              <w:spacing w:after="0"/>
              <w:rPr>
                <w:sz w:val="20"/>
                <w:szCs w:val="20"/>
                <w:color w:val="auto"/>
              </w:rPr>
            </w:pPr>
            <w:r>
              <w:rPr>
                <w:rFonts w:ascii="Arial" w:cs="Arial" w:eastAsia="Arial" w:hAnsi="Arial"/>
                <w:sz w:val="18"/>
                <w:szCs w:val="18"/>
                <w:color w:val="auto"/>
              </w:rPr>
              <w:t>84,262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81,375</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2,566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5,894,507</w:t>
            </w:r>
          </w:p>
        </w:tc>
        <w:tc>
          <w:tcPr>
            <w:tcW w:w="160" w:type="dxa"/>
            <w:vAlign w:val="bottom"/>
            <w:shd w:val="clear" w:color="auto" w:fill="CCFFCC"/>
          </w:tcPr>
          <w:p>
            <w:pPr>
              <w:spacing w:after="0"/>
              <w:rPr>
                <w:sz w:val="24"/>
                <w:szCs w:val="2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2,528,849</w:t>
            </w:r>
          </w:p>
        </w:tc>
        <w:tc>
          <w:tcPr>
            <w:tcW w:w="160" w:type="dxa"/>
            <w:vAlign w:val="bottom"/>
            <w:shd w:val="clear" w:color="auto" w:fill="CCFFCC"/>
          </w:tcPr>
          <w:p>
            <w:pPr>
              <w:spacing w:after="0"/>
              <w:rPr>
                <w:sz w:val="24"/>
                <w:szCs w:val="24"/>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1,245,862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797,458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464,718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857,620</w:t>
            </w:r>
          </w:p>
        </w:tc>
      </w:tr>
      <w:tr>
        <w:trPr>
          <w:trHeight w:val="182"/>
        </w:trPr>
        <w:tc>
          <w:tcPr>
            <w:tcW w:w="20" w:type="dxa"/>
            <w:vAlign w:val="bottom"/>
          </w:tcPr>
          <w:p>
            <w:pPr>
              <w:spacing w:after="0"/>
              <w:rPr>
                <w:sz w:val="15"/>
                <w:szCs w:val="15"/>
                <w:color w:val="auto"/>
              </w:rPr>
            </w:pPr>
          </w:p>
        </w:tc>
        <w:tc>
          <w:tcPr>
            <w:tcW w:w="3420" w:type="dxa"/>
            <w:vAlign w:val="bottom"/>
            <w:tcBorders>
              <w:top w:val="single" w:sz="8" w:color="CCFFCC"/>
            </w:tcBorders>
          </w:tcPr>
          <w:p>
            <w:pPr>
              <w:spacing w:after="0" w:line="182" w:lineRule="exact"/>
              <w:rPr>
                <w:sz w:val="20"/>
                <w:szCs w:val="20"/>
                <w:color w:val="auto"/>
              </w:rPr>
            </w:pPr>
            <w:r>
              <w:rPr>
                <w:rFonts w:ascii="Arial" w:cs="Arial" w:eastAsia="Arial" w:hAnsi="Arial"/>
                <w:sz w:val="18"/>
                <w:szCs w:val="18"/>
                <w:color w:val="auto"/>
              </w:rPr>
              <w:t>Percentage of total performing</w:t>
            </w:r>
          </w:p>
        </w:tc>
        <w:tc>
          <w:tcPr>
            <w:tcW w:w="13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loan portfolio</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r>
      <w:tr>
        <w:trPr>
          <w:trHeight w:val="48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the loan portfolio at December 31, 2006, by currency and by the time remaining to maturity over one year: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 at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Maturing After 1</w:t>
            </w:r>
          </w:p>
        </w:tc>
      </w:tr>
      <w:tr>
        <w:trPr>
          <w:trHeight w:val="234"/>
        </w:trPr>
        <w:tc>
          <w:tcPr>
            <w:tcW w:w="8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r>
      <w:tr>
        <w:trPr>
          <w:trHeight w:val="237"/>
        </w:trPr>
        <w:tc>
          <w:tcPr>
            <w:tcW w:w="8160" w:type="dxa"/>
            <w:vAlign w:val="bottom"/>
          </w:tcPr>
          <w:p>
            <w:pPr>
              <w:spacing w:after="0"/>
              <w:rPr>
                <w:sz w:val="20"/>
                <w:szCs w:val="20"/>
                <w:color w:val="auto"/>
              </w:rPr>
            </w:pPr>
          </w:p>
        </w:tc>
        <w:tc>
          <w:tcPr>
            <w:tcW w:w="3260" w:type="dxa"/>
            <w:vAlign w:val="bottom"/>
            <w:gridSpan w:val="4"/>
          </w:tcPr>
          <w:p>
            <w:pPr>
              <w:ind w:left="660"/>
              <w:spacing w:after="0"/>
              <w:rPr>
                <w:sz w:val="20"/>
                <w:szCs w:val="20"/>
                <w:color w:val="auto"/>
              </w:rPr>
            </w:pPr>
            <w:r>
              <w:rPr>
                <w:rFonts w:ascii="Arial" w:cs="Arial" w:eastAsia="Arial" w:hAnsi="Arial"/>
                <w:sz w:val="18"/>
                <w:szCs w:val="18"/>
                <w:i w:val="1"/>
                <w:iCs w:val="1"/>
                <w:color w:val="auto"/>
              </w:rPr>
              <w:t>(U.S. Dollars in thousands)</w:t>
            </w:r>
          </w:p>
        </w:tc>
      </w:tr>
      <w:tr>
        <w:trPr>
          <w:trHeight w:val="243"/>
        </w:trPr>
        <w:tc>
          <w:tcPr>
            <w:tcW w:w="8160" w:type="dxa"/>
            <w:vAlign w:val="bottom"/>
          </w:tcPr>
          <w:p>
            <w:pPr>
              <w:jc w:val="center"/>
              <w:ind w:right="7010"/>
              <w:spacing w:after="0"/>
              <w:rPr>
                <w:sz w:val="20"/>
                <w:szCs w:val="20"/>
                <w:color w:val="auto"/>
              </w:rPr>
            </w:pPr>
            <w:r>
              <w:rPr>
                <w:rFonts w:ascii="Arial" w:cs="Arial" w:eastAsia="Arial" w:hAnsi="Arial"/>
                <w:sz w:val="18"/>
                <w:szCs w:val="18"/>
                <w:b w:val="1"/>
                <w:bCs w:val="1"/>
                <w:color w:val="auto"/>
                <w:w w:val="92"/>
              </w:rPr>
              <w:t>Variable Rate</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8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82,035</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109</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860,633</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68,700</w:t>
            </w:r>
          </w:p>
        </w:tc>
        <w:tc>
          <w:tcPr>
            <w:tcW w:w="120" w:type="dxa"/>
            <w:vAlign w:val="bottom"/>
          </w:tcPr>
          <w:p>
            <w:pPr>
              <w:spacing w:after="0"/>
              <w:rPr>
                <w:sz w:val="21"/>
                <w:szCs w:val="21"/>
                <w:color w:val="auto"/>
              </w:rPr>
            </w:pPr>
          </w:p>
        </w:tc>
      </w:tr>
      <w:tr>
        <w:trPr>
          <w:trHeight w:val="237"/>
        </w:trPr>
        <w:tc>
          <w:tcPr>
            <w:tcW w:w="8160" w:type="dxa"/>
            <w:vAlign w:val="bottom"/>
            <w:shd w:val="clear" w:color="auto" w:fill="CCFFCC"/>
          </w:tcPr>
          <w:p>
            <w:pPr>
              <w:jc w:val="center"/>
              <w:ind w:right="7030"/>
              <w:spacing w:after="0"/>
              <w:rPr>
                <w:sz w:val="20"/>
                <w:szCs w:val="20"/>
                <w:color w:val="auto"/>
              </w:rPr>
            </w:pPr>
            <w:r>
              <w:rPr>
                <w:rFonts w:ascii="Arial" w:cs="Arial" w:eastAsia="Arial" w:hAnsi="Arial"/>
                <w:sz w:val="18"/>
                <w:szCs w:val="18"/>
                <w:color w:val="auto"/>
                <w:w w:val="89"/>
              </w:rPr>
              <w:t>Total</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942,668</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68,809</w:t>
            </w:r>
          </w:p>
        </w:tc>
      </w:tr>
      <w:tr>
        <w:trPr>
          <w:trHeight w:val="243"/>
        </w:trPr>
        <w:tc>
          <w:tcPr>
            <w:tcW w:w="8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60" w:type="dxa"/>
            <w:vAlign w:val="bottom"/>
            <w:shd w:val="clear" w:color="auto" w:fill="CCFFCC"/>
          </w:tcPr>
          <w:p>
            <w:pPr>
              <w:jc w:val="center"/>
              <w:ind w:right="6970"/>
              <w:spacing w:after="0"/>
              <w:rPr>
                <w:sz w:val="20"/>
                <w:szCs w:val="20"/>
                <w:color w:val="auto"/>
              </w:rPr>
            </w:pPr>
            <w:r>
              <w:rPr>
                <w:rFonts w:ascii="Arial" w:cs="Arial" w:eastAsia="Arial" w:hAnsi="Arial"/>
                <w:sz w:val="18"/>
                <w:szCs w:val="18"/>
                <w:b w:val="1"/>
                <w:bCs w:val="1"/>
                <w:color w:val="auto"/>
                <w:w w:val="93"/>
              </w:rPr>
              <w:t>Fixed Rate (2)</w:t>
            </w:r>
          </w:p>
        </w:tc>
        <w:tc>
          <w:tcPr>
            <w:tcW w:w="1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460" w:type="dxa"/>
            <w:vAlign w:val="bottom"/>
          </w:tcPr>
          <w:p>
            <w:pPr>
              <w:jc w:val="right"/>
              <w:spacing w:after="0"/>
              <w:rPr>
                <w:sz w:val="20"/>
                <w:szCs w:val="20"/>
                <w:color w:val="auto"/>
              </w:rPr>
            </w:pPr>
            <w:r>
              <w:rPr>
                <w:rFonts w:ascii="Arial" w:cs="Arial" w:eastAsia="Arial" w:hAnsi="Arial"/>
                <w:sz w:val="18"/>
                <w:szCs w:val="18"/>
                <w:color w:val="auto"/>
              </w:rPr>
              <w:t>1,410,646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289,825</w:t>
            </w:r>
          </w:p>
        </w:tc>
        <w:tc>
          <w:tcPr>
            <w:tcW w:w="120" w:type="dxa"/>
            <w:vAlign w:val="bottom"/>
          </w:tcPr>
          <w:p>
            <w:pPr>
              <w:spacing w:after="0"/>
              <w:rPr>
                <w:sz w:val="21"/>
                <w:szCs w:val="21"/>
                <w:color w:val="auto"/>
              </w:rPr>
            </w:pPr>
          </w:p>
        </w:tc>
      </w:tr>
      <w:tr>
        <w:trPr>
          <w:trHeight w:val="243"/>
        </w:trPr>
        <w:tc>
          <w:tcPr>
            <w:tcW w:w="8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3,524,047</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1,761,162</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8160" w:type="dxa"/>
            <w:vAlign w:val="bottom"/>
          </w:tcPr>
          <w:p>
            <w:pPr>
              <w:jc w:val="center"/>
              <w:ind w:right="7030"/>
              <w:spacing w:after="0"/>
              <w:rPr>
                <w:sz w:val="20"/>
                <w:szCs w:val="20"/>
                <w:color w:val="auto"/>
              </w:rPr>
            </w:pPr>
            <w:r>
              <w:rPr>
                <w:rFonts w:ascii="Arial" w:cs="Arial" w:eastAsia="Arial" w:hAnsi="Arial"/>
                <w:sz w:val="18"/>
                <w:szCs w:val="18"/>
                <w:color w:val="auto"/>
                <w:w w:val="89"/>
              </w:rPr>
              <w:t>Total</w:t>
            </w:r>
          </w:p>
        </w:tc>
        <w:tc>
          <w:tcPr>
            <w:tcW w:w="1460" w:type="dxa"/>
            <w:vAlign w:val="bottom"/>
          </w:tcPr>
          <w:p>
            <w:pPr>
              <w:jc w:val="right"/>
              <w:spacing w:after="0"/>
              <w:rPr>
                <w:sz w:val="20"/>
                <w:szCs w:val="20"/>
                <w:color w:val="auto"/>
              </w:rPr>
            </w:pPr>
            <w:r>
              <w:rPr>
                <w:rFonts w:ascii="Arial" w:cs="Arial" w:eastAsia="Arial" w:hAnsi="Arial"/>
                <w:sz w:val="18"/>
                <w:szCs w:val="18"/>
                <w:color w:val="auto"/>
              </w:rPr>
              <w:t>4,934,693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2,050,987</w:t>
            </w:r>
          </w:p>
        </w:tc>
        <w:tc>
          <w:tcPr>
            <w:tcW w:w="120" w:type="dxa"/>
            <w:vAlign w:val="bottom"/>
          </w:tcPr>
          <w:p>
            <w:pPr>
              <w:spacing w:after="0"/>
              <w:rPr>
                <w:sz w:val="20"/>
                <w:szCs w:val="20"/>
                <w:color w:val="auto"/>
              </w:rPr>
            </w:pPr>
          </w:p>
        </w:tc>
      </w:tr>
      <w:tr>
        <w:trPr>
          <w:trHeight w:val="243"/>
        </w:trPr>
        <w:tc>
          <w:tcPr>
            <w:tcW w:w="816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8160" w:type="dxa"/>
            <w:vAlign w:val="bottom"/>
          </w:tcPr>
          <w:p>
            <w:pPr>
              <w:ind w:left="180"/>
              <w:spacing w:after="0"/>
              <w:rPr>
                <w:sz w:val="20"/>
                <w:szCs w:val="20"/>
                <w:color w:val="auto"/>
              </w:rPr>
            </w:pPr>
            <w:r>
              <w:rPr>
                <w:rFonts w:ascii="Arial" w:cs="Arial" w:eastAsia="Arial" w:hAnsi="Arial"/>
                <w:sz w:val="18"/>
                <w:szCs w:val="18"/>
                <w:color w:val="auto"/>
              </w:rPr>
              <w:t>Total (1)</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2,119,796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79" w:lineRule="exact"/>
        <w:rPr>
          <w:rFonts w:ascii="Arial" w:cs="Arial" w:eastAsia="Arial" w:hAnsi="Arial"/>
          <w:sz w:val="18"/>
          <w:szCs w:val="18"/>
          <w:color w:val="auto"/>
        </w:rPr>
      </w:pPr>
    </w:p>
    <w:p>
      <w:pPr>
        <w:ind w:left="660" w:right="360" w:hanging="652"/>
        <w:spacing w:after="0" w:line="563" w:lineRule="auto"/>
        <w:tabs>
          <w:tab w:leader="none" w:pos="3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Most of financial products with fixed rates can be switched to variable rates according to market conditions as specified on the contracts with clients. </w:t>
      </w:r>
      <w:r>
        <w:rPr>
          <w:rFonts w:ascii="Arial" w:cs="Arial" w:eastAsia="Arial" w:hAnsi="Arial"/>
          <w:sz w:val="18"/>
          <w:szCs w:val="18"/>
          <w:i w:val="1"/>
          <w:iCs w:val="1"/>
          <w:color w:val="auto"/>
        </w:rPr>
        <w:t>Classification of the Loan Portfolio</w:t>
      </w:r>
    </w:p>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losses not specifically identified on the loan portfolio.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4" w:name="page85"/>
    <w:bookmarkEnd w:id="84"/>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a breakdown of the loan portfolio using the categories specified in SBS Resolution No. 808-2003 as of December 31 of each of the last five years.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4"/>
              </w:rPr>
              <w:t>At December 31,</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82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r>
      <w:tr>
        <w:trPr>
          <w:trHeight w:val="237"/>
        </w:trPr>
        <w:tc>
          <w:tcPr>
            <w:tcW w:w="4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7"/>
          </w:tcPr>
          <w:p>
            <w:pPr>
              <w:jc w:val="right"/>
              <w:ind w:right="1000"/>
              <w:spacing w:after="0"/>
              <w:rPr>
                <w:sz w:val="20"/>
                <w:szCs w:val="20"/>
                <w:color w:val="auto"/>
              </w:rPr>
            </w:pPr>
            <w:r>
              <w:rPr>
                <w:rFonts w:ascii="Arial" w:cs="Arial" w:eastAsia="Arial" w:hAnsi="Arial"/>
                <w:sz w:val="18"/>
                <w:szCs w:val="18"/>
                <w:i w:val="1"/>
                <w:iCs w:val="1"/>
                <w:color w:val="auto"/>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3,659,762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3,308,112</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3,259,950</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3,252,018</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3,792,756</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Consumer loans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205,696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251,785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283,410</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356,595</w:t>
            </w:r>
          </w:p>
        </w:tc>
        <w:tc>
          <w:tcPr>
            <w:tcW w:w="1240" w:type="dxa"/>
            <w:vAlign w:val="bottom"/>
          </w:tcPr>
          <w:p>
            <w:pPr>
              <w:jc w:val="right"/>
              <w:spacing w:after="0"/>
              <w:rPr>
                <w:sz w:val="20"/>
                <w:szCs w:val="20"/>
                <w:color w:val="auto"/>
              </w:rPr>
            </w:pPr>
            <w:r>
              <w:rPr>
                <w:rFonts w:ascii="Arial" w:cs="Arial" w:eastAsia="Arial" w:hAnsi="Arial"/>
                <w:sz w:val="18"/>
                <w:szCs w:val="18"/>
                <w:color w:val="auto"/>
              </w:rPr>
              <w:t>506,184</w:t>
            </w:r>
          </w:p>
        </w:tc>
        <w:tc>
          <w:tcPr>
            <w:tcW w:w="12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547,005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549,220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649,930</w:t>
            </w:r>
          </w:p>
        </w:tc>
        <w:tc>
          <w:tcPr>
            <w:tcW w:w="1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844,892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980,630</w:t>
            </w:r>
          </w:p>
        </w:tc>
        <w:tc>
          <w:tcPr>
            <w:tcW w:w="12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Leasing transactions (1)</w:t>
            </w:r>
          </w:p>
        </w:tc>
        <w:tc>
          <w:tcPr>
            <w:tcW w:w="1200" w:type="dxa"/>
            <w:vAlign w:val="bottom"/>
          </w:tcPr>
          <w:p>
            <w:pPr>
              <w:jc w:val="right"/>
              <w:spacing w:after="0"/>
              <w:rPr>
                <w:sz w:val="20"/>
                <w:szCs w:val="20"/>
                <w:color w:val="auto"/>
              </w:rPr>
            </w:pPr>
            <w:r>
              <w:rPr>
                <w:rFonts w:ascii="Arial" w:cs="Arial" w:eastAsia="Arial" w:hAnsi="Arial"/>
                <w:sz w:val="18"/>
                <w:szCs w:val="18"/>
                <w:color w:val="auto"/>
              </w:rPr>
              <w:t>405,200</w:t>
            </w:r>
          </w:p>
        </w:tc>
        <w:tc>
          <w:tcPr>
            <w:tcW w:w="10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372,379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365,728</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519,470</w:t>
            </w:r>
          </w:p>
        </w:tc>
        <w:tc>
          <w:tcPr>
            <w:tcW w:w="1240" w:type="dxa"/>
            <w:vAlign w:val="bottom"/>
          </w:tcPr>
          <w:p>
            <w:pPr>
              <w:jc w:val="right"/>
              <w:spacing w:after="0"/>
              <w:rPr>
                <w:sz w:val="20"/>
                <w:szCs w:val="20"/>
                <w:color w:val="auto"/>
              </w:rPr>
            </w:pPr>
            <w:r>
              <w:rPr>
                <w:rFonts w:ascii="Arial" w:cs="Arial" w:eastAsia="Arial" w:hAnsi="Arial"/>
                <w:sz w:val="18"/>
                <w:szCs w:val="18"/>
                <w:color w:val="auto"/>
              </w:rPr>
              <w:t>597,791</w:t>
            </w:r>
          </w:p>
        </w:tc>
        <w:tc>
          <w:tcPr>
            <w:tcW w:w="12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4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100" w:type="dxa"/>
            <w:vAlign w:val="bottom"/>
            <w:shd w:val="clear" w:color="auto" w:fill="CCFFCC"/>
          </w:tcPr>
          <w:p>
            <w:pPr>
              <w:spacing w:after="0"/>
              <w:rPr>
                <w:sz w:val="24"/>
                <w:szCs w:val="24"/>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4,972,975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SBS regulations require the following minimum reserves to be recorded for statutory purposes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Credicorp does not currently track loan write-offs and recoveries of write-offs by loan categories specified by SBS Resolution N° 808-203.</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five loan risk categories have the following characteristics: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Class “A.” </w:t>
      </w:r>
      <w:r>
        <w:rPr>
          <w:rFonts w:ascii="Arial" w:cs="Arial" w:eastAsia="Arial" w:hAnsi="Arial"/>
          <w:sz w:val="17"/>
          <w:szCs w:val="17"/>
          <w:color w:val="auto"/>
        </w:rPr>
        <w:t>Loans or credits in this category are known as “normal” credits. Debtors of commercial loans or credits that fall into this category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losses not specifically identified of 1% of the total of such loans or credits outstanding. The required reserve may be reduced by up to 0.5% if certain conditions that ensure that the client has a low probability of default are met.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5" w:name="page86"/>
    <w:bookmarkEnd w:id="85"/>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Class “B.” </w:t>
      </w:r>
      <w:r>
        <w:rPr>
          <w:rFonts w:ascii="Arial" w:cs="Arial" w:eastAsia="Arial" w:hAnsi="Arial"/>
          <w:sz w:val="17"/>
          <w:szCs w:val="17"/>
          <w:color w:val="auto"/>
        </w:rPr>
        <w:t>Loans or credits in this category are known as credits with “potential problems.” Debtors of commercial loans or credits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Class “C.” </w:t>
      </w:r>
      <w:r>
        <w:rPr>
          <w:rFonts w:ascii="Arial" w:cs="Arial" w:eastAsia="Arial" w:hAnsi="Arial"/>
          <w:sz w:val="16"/>
          <w:szCs w:val="16"/>
          <w:color w:val="auto"/>
        </w:rPr>
        <w:t>Loans or credits in this category are known as “substandard” credits. Debtors of commercial loans or credits whose loans or credits are</w:t>
      </w:r>
      <w:r>
        <w:rPr>
          <w:rFonts w:ascii="Arial" w:cs="Arial" w:eastAsia="Arial" w:hAnsi="Arial"/>
          <w:sz w:val="16"/>
          <w:szCs w:val="16"/>
          <w:i w:val="1"/>
          <w:iCs w:val="1"/>
          <w:color w:val="auto"/>
        </w:rPr>
        <w:t xml:space="preserve"> </w:t>
      </w:r>
      <w:r>
        <w:rPr>
          <w:rFonts w:ascii="Arial" w:cs="Arial" w:eastAsia="Arial" w:hAnsi="Arial"/>
          <w:sz w:val="16"/>
          <w:szCs w:val="16"/>
          <w:color w:val="auto"/>
        </w:rPr>
        <w:t>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and 6.25 % when secured with “highly liquid preferred” collateral).</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Class “D.” </w:t>
      </w:r>
      <w:r>
        <w:rPr>
          <w:rFonts w:ascii="Arial" w:cs="Arial" w:eastAsia="Arial" w:hAnsi="Arial"/>
          <w:sz w:val="17"/>
          <w:szCs w:val="17"/>
          <w:color w:val="auto"/>
        </w:rPr>
        <w:t>Loans or credits included in this category are known as “doubtful” credits. Debtors of commercial loans or credits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6" w:name="page87"/>
    <w:bookmarkEnd w:id="86"/>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Class “E.” </w:t>
      </w:r>
      <w:r>
        <w:rPr>
          <w:rFonts w:ascii="Arial" w:cs="Arial" w:eastAsia="Arial" w:hAnsi="Arial"/>
          <w:sz w:val="17"/>
          <w:szCs w:val="17"/>
          <w:color w:val="auto"/>
        </w:rPr>
        <w:t>Loans or credits in this class are known as “loss” credits. Commercial loans or credits which are considered unrecoverable or which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record the allowance for loan losses, Credicorp uses IAS 39, for which all loans in Classes C, D and E are considered impaired, and they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incurred losses for impaired loans not specifically identified. In the case of borrowers in countries where there is an increased risk of difficulties in servicing external debt, an assessment of the political and economic situation is made, and an additional country risk provision is provided.</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direct loan portfolio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At December 31,</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3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2002</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2003</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2004</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Level of Risk Classification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r>
      <w:tr>
        <w:trPr>
          <w:trHeight w:val="237"/>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10"/>
          </w:tcPr>
          <w:p>
            <w:pPr>
              <w:jc w:val="right"/>
              <w:ind w:right="980"/>
              <w:spacing w:after="0"/>
              <w:rPr>
                <w:sz w:val="20"/>
                <w:szCs w:val="20"/>
                <w:color w:val="auto"/>
              </w:rPr>
            </w:pPr>
            <w:r>
              <w:rPr>
                <w:rFonts w:ascii="Arial" w:cs="Arial" w:eastAsia="Arial" w:hAnsi="Arial"/>
                <w:sz w:val="18"/>
                <w:szCs w:val="18"/>
                <w:i w:val="1"/>
                <w:iCs w:val="1"/>
                <w:color w:val="auto"/>
              </w:rPr>
              <w:t>(U.S. Dollars in thousands, except percentages)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 Normal (1)</w:t>
            </w:r>
          </w:p>
        </w:tc>
        <w:tc>
          <w:tcPr>
            <w:tcW w:w="14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3,543,152</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73.5%</w:t>
            </w:r>
          </w:p>
        </w:tc>
        <w:tc>
          <w:tcPr>
            <w:tcW w:w="14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3,393,833</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75.7%</w:t>
            </w:r>
          </w:p>
        </w:tc>
        <w:tc>
          <w:tcPr>
            <w:tcW w:w="14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3,719,973</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81.6%</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B: Potential Problems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456,056</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140" w:type="dxa"/>
            <w:vAlign w:val="bottom"/>
          </w:tcPr>
          <w:p>
            <w:pPr>
              <w:jc w:val="right"/>
              <w:spacing w:after="0"/>
              <w:rPr>
                <w:sz w:val="20"/>
                <w:szCs w:val="20"/>
                <w:color w:val="auto"/>
              </w:rPr>
            </w:pPr>
            <w:r>
              <w:rPr>
                <w:rFonts w:ascii="Arial" w:cs="Arial" w:eastAsia="Arial" w:hAnsi="Arial"/>
                <w:sz w:val="18"/>
                <w:szCs w:val="18"/>
                <w:color w:val="auto"/>
              </w:rPr>
              <w:t>437,682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140" w:type="dxa"/>
            <w:vAlign w:val="bottom"/>
          </w:tcPr>
          <w:p>
            <w:pPr>
              <w:jc w:val="right"/>
              <w:spacing w:after="0"/>
              <w:rPr>
                <w:sz w:val="20"/>
                <w:szCs w:val="20"/>
                <w:color w:val="auto"/>
              </w:rPr>
            </w:pPr>
            <w:r>
              <w:rPr>
                <w:rFonts w:ascii="Arial" w:cs="Arial" w:eastAsia="Arial" w:hAnsi="Arial"/>
                <w:sz w:val="18"/>
                <w:szCs w:val="18"/>
                <w:color w:val="auto"/>
              </w:rPr>
              <w:t>336,619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r>
      <w:tr>
        <w:trPr>
          <w:trHeight w:val="243"/>
        </w:trPr>
        <w:tc>
          <w:tcPr>
            <w:tcW w:w="3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 Substandard</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334,423</w:t>
            </w: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240,316</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195,062</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239,101</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140" w:type="dxa"/>
            <w:vAlign w:val="bottom"/>
          </w:tcPr>
          <w:p>
            <w:pPr>
              <w:jc w:val="right"/>
              <w:spacing w:after="0"/>
              <w:rPr>
                <w:sz w:val="20"/>
                <w:szCs w:val="20"/>
                <w:color w:val="auto"/>
              </w:rPr>
            </w:pPr>
            <w:r>
              <w:rPr>
                <w:rFonts w:ascii="Arial" w:cs="Arial" w:eastAsia="Arial" w:hAnsi="Arial"/>
                <w:sz w:val="18"/>
                <w:szCs w:val="18"/>
                <w:color w:val="auto"/>
              </w:rPr>
              <w:t>266,723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140" w:type="dxa"/>
            <w:vAlign w:val="bottom"/>
          </w:tcPr>
          <w:p>
            <w:pPr>
              <w:jc w:val="right"/>
              <w:spacing w:after="0"/>
              <w:rPr>
                <w:sz w:val="20"/>
                <w:szCs w:val="20"/>
                <w:color w:val="auto"/>
              </w:rPr>
            </w:pPr>
            <w:r>
              <w:rPr>
                <w:rFonts w:ascii="Arial" w:cs="Arial" w:eastAsia="Arial" w:hAnsi="Arial"/>
                <w:sz w:val="18"/>
                <w:szCs w:val="18"/>
                <w:color w:val="auto"/>
              </w:rPr>
              <w:t>184,206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43"/>
        </w:trPr>
        <w:tc>
          <w:tcPr>
            <w:tcW w:w="38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 Loss</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244,931</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142,942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123,158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FFCC"/>
            </w:tcBorders>
            <w:shd w:val="clear" w:color="auto" w:fill="CCFFCC"/>
          </w:tcPr>
          <w:p>
            <w:pPr>
              <w:spacing w:after="0"/>
              <w:rPr>
                <w:sz w:val="21"/>
                <w:szCs w:val="21"/>
                <w:color w:val="auto"/>
              </w:rPr>
            </w:pPr>
          </w:p>
        </w:tc>
      </w:tr>
      <w:tr>
        <w:trPr>
          <w:trHeight w:val="264"/>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2040" w:type="dxa"/>
            <w:vAlign w:val="bottom"/>
            <w:gridSpan w:val="3"/>
            <w:shd w:val="clear" w:color="auto" w:fill="CCFFCC"/>
          </w:tcPr>
          <w:p>
            <w:pPr>
              <w:ind w:left="10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818,455</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649,981</w:t>
            </w:r>
          </w:p>
        </w:tc>
        <w:tc>
          <w:tcPr>
            <w:tcW w:w="1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14.5%   US$</w:t>
            </w:r>
            <w:r>
              <w:rPr>
                <w:rFonts w:ascii="Arial" w:cs="Arial" w:eastAsia="Arial" w:hAnsi="Arial"/>
                <w:sz w:val="17"/>
                <w:szCs w:val="17"/>
                <w:color w:val="auto"/>
              </w:rPr>
              <w:t>502,426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w:t>
            </w:r>
          </w:p>
        </w:tc>
      </w:tr>
      <w:tr>
        <w:trPr>
          <w:trHeight w:val="783"/>
        </w:trPr>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right"/>
              <w:ind w:right="1440"/>
              <w:spacing w:after="0"/>
              <w:rPr>
                <w:sz w:val="20"/>
                <w:szCs w:val="20"/>
                <w:color w:val="auto"/>
              </w:rPr>
            </w:pPr>
            <w:r>
              <w:rPr>
                <w:rFonts w:ascii="Arial" w:cs="Arial" w:eastAsia="Arial" w:hAnsi="Arial"/>
                <w:sz w:val="18"/>
                <w:szCs w:val="18"/>
                <w:b w:val="1"/>
                <w:bCs w:val="1"/>
                <w:color w:val="auto"/>
              </w:rPr>
              <w:t>At December 31,</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3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1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2006</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Level of Risk Classification</w:t>
            </w:r>
          </w:p>
        </w:tc>
        <w:tc>
          <w:tcPr>
            <w:tcW w:w="1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Total</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Total</w:t>
            </w:r>
          </w:p>
        </w:tc>
        <w:tc>
          <w:tcPr>
            <w:tcW w:w="180" w:type="dxa"/>
            <w:vAlign w:val="bottom"/>
          </w:tcPr>
          <w:p>
            <w:pPr>
              <w:spacing w:after="0"/>
              <w:rPr>
                <w:sz w:val="20"/>
                <w:szCs w:val="20"/>
                <w:color w:val="auto"/>
              </w:rPr>
            </w:pPr>
          </w:p>
        </w:tc>
      </w:tr>
      <w:tr>
        <w:trPr>
          <w:trHeight w:val="264"/>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A: Normal (1)</w:t>
            </w:r>
          </w:p>
        </w:tc>
        <w:tc>
          <w:tcPr>
            <w:tcW w:w="15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4,273,719</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85.9%</w:t>
            </w:r>
          </w:p>
        </w:tc>
        <w:tc>
          <w:tcPr>
            <w:tcW w:w="198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5,296,653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90.1%</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B: Potential Problems</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397,387</w:t>
            </w:r>
          </w:p>
        </w:tc>
        <w:tc>
          <w:tcPr>
            <w:tcW w:w="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337,497</w:t>
            </w:r>
          </w:p>
        </w:tc>
        <w:tc>
          <w:tcPr>
            <w:tcW w:w="3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C: Substandard</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82,858</w:t>
            </w: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62,192</w:t>
            </w:r>
          </w:p>
        </w:tc>
        <w:tc>
          <w:tcPr>
            <w:tcW w:w="3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D: Doubtful</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146,898</w:t>
            </w:r>
          </w:p>
        </w:tc>
        <w:tc>
          <w:tcPr>
            <w:tcW w:w="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122,215</w:t>
            </w:r>
          </w:p>
        </w:tc>
        <w:tc>
          <w:tcPr>
            <w:tcW w:w="3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E: Loss</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72,113</w:t>
            </w:r>
          </w:p>
        </w:tc>
        <w:tc>
          <w:tcPr>
            <w:tcW w:w="2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58,804</w:t>
            </w:r>
          </w:p>
        </w:tc>
        <w:tc>
          <w:tcPr>
            <w:tcW w:w="3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3040" w:type="dxa"/>
            <w:vAlign w:val="bottom"/>
            <w:shd w:val="clear" w:color="auto" w:fill="CCFFCC"/>
          </w:tcPr>
          <w:p>
            <w:pPr>
              <w:spacing w:after="0" w:line="20" w:lineRule="exact"/>
              <w:rPr>
                <w:sz w:val="1"/>
                <w:szCs w:val="1"/>
                <w:color w:val="auto"/>
              </w:rPr>
            </w:pPr>
          </w:p>
        </w:tc>
        <w:tc>
          <w:tcPr>
            <w:tcW w:w="15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3040" w:type="dxa"/>
            <w:vAlign w:val="bottom"/>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4,972,975</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1"/>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301,869</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w:t>
            </w:r>
          </w:p>
        </w:tc>
        <w:tc>
          <w:tcPr>
            <w:tcW w:w="198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243,211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7" w:name="page88"/>
    <w:bookmarkEnd w:id="87"/>
    <w:p>
      <w:pPr>
        <w:jc w:val="both"/>
        <w:ind w:firstLine="648"/>
        <w:spacing w:after="0" w:line="255" w:lineRule="auto"/>
        <w:rPr>
          <w:sz w:val="20"/>
          <w:szCs w:val="20"/>
          <w:color w:val="auto"/>
        </w:rPr>
      </w:pPr>
      <w:r>
        <w:rPr>
          <w:rFonts w:ascii="Arial" w:cs="Arial" w:eastAsia="Arial" w:hAnsi="Arial"/>
          <w:sz w:val="18"/>
          <w:szCs w:val="18"/>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considers loans to be past due depending on their type. BCP considers loans past due for consumer mortgage and leasing loans, and loans to micro-businesses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income is suspended when collection of loans becomes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Credicorp does not accrue interest on past due loans. Instead, interest on past due loans is recognized only when and to the extent received. Over the past five years, Credicorp has recognized interest income on these loans of US$15.0 million in 2002, US$11.0 million in 2003, US$6.2 million in 2004, US$5.5 million in 2005 and US$4.8 million in 2006.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At December 31,</w:t>
            </w: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2002</w:t>
            </w:r>
          </w:p>
        </w:tc>
        <w:tc>
          <w:tcPr>
            <w:tcW w:w="18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gridSpan w:val="6"/>
          </w:tcPr>
          <w:p>
            <w:pPr>
              <w:jc w:val="right"/>
              <w:ind w:right="340"/>
              <w:spacing w:after="0"/>
              <w:rPr>
                <w:sz w:val="20"/>
                <w:szCs w:val="20"/>
                <w:color w:val="auto"/>
              </w:rPr>
            </w:pPr>
            <w:r>
              <w:rPr>
                <w:rFonts w:ascii="Arial" w:cs="Arial" w:eastAsia="Arial" w:hAnsi="Arial"/>
                <w:sz w:val="18"/>
                <w:szCs w:val="18"/>
                <w:i w:val="1"/>
                <w:iCs w:val="1"/>
                <w:color w:val="auto"/>
                <w:w w:val="95"/>
              </w:rPr>
              <w:t>(U.S. Dollars in thousands, except percentages)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4,411,528</w:t>
            </w:r>
          </w:p>
        </w:tc>
        <w:tc>
          <w:tcPr>
            <w:tcW w:w="1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4,225,288</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4,399,961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4,877,206</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5,800,591</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Past due:</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Overdue 16-119 days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82,259</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50,981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11,572</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10,860</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20,655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Overdue 120 days or more</w:t>
            </w:r>
          </w:p>
        </w:tc>
        <w:tc>
          <w:tcPr>
            <w:tcW w:w="1160" w:type="dxa"/>
            <w:vAlign w:val="bottom"/>
          </w:tcPr>
          <w:p>
            <w:pPr>
              <w:jc w:val="right"/>
              <w:spacing w:after="0"/>
              <w:rPr>
                <w:sz w:val="20"/>
                <w:szCs w:val="20"/>
                <w:color w:val="auto"/>
              </w:rPr>
            </w:pPr>
            <w:r>
              <w:rPr>
                <w:rFonts w:ascii="Arial" w:cs="Arial" w:eastAsia="Arial" w:hAnsi="Arial"/>
                <w:sz w:val="18"/>
                <w:szCs w:val="18"/>
                <w:color w:val="auto"/>
              </w:rPr>
              <w:t>323,876</w:t>
            </w:r>
          </w:p>
        </w:tc>
        <w:tc>
          <w:tcPr>
            <w:tcW w:w="180" w:type="dxa"/>
            <w:vAlign w:val="bottom"/>
          </w:tcPr>
          <w:p>
            <w:pPr>
              <w:spacing w:after="0"/>
              <w:rPr>
                <w:sz w:val="21"/>
                <w:szCs w:val="21"/>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205,227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147,485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84,909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56,115</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406,135</w:t>
            </w:r>
          </w:p>
        </w:tc>
        <w:tc>
          <w:tcPr>
            <w:tcW w:w="1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256,208</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159,057</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95,769</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76,770</w:t>
            </w:r>
          </w:p>
        </w:tc>
      </w:tr>
      <w:tr>
        <w:trPr>
          <w:trHeight w:val="20"/>
        </w:trPr>
        <w:tc>
          <w:tcPr>
            <w:tcW w:w="47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700" w:type="dxa"/>
            <w:vAlign w:val="bottom"/>
          </w:tcPr>
          <w:p>
            <w:pPr>
              <w:spacing w:after="0"/>
              <w:rPr>
                <w:sz w:val="20"/>
                <w:szCs w:val="20"/>
                <w:color w:val="auto"/>
              </w:rPr>
            </w:pPr>
            <w:r>
              <w:rPr>
                <w:rFonts w:ascii="Arial" w:cs="Arial" w:eastAsia="Arial" w:hAnsi="Arial"/>
                <w:sz w:val="18"/>
                <w:szCs w:val="18"/>
                <w:color w:val="auto"/>
              </w:rPr>
              <w:t>Total loans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4,972,975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r>
      <w:tr>
        <w:trPr>
          <w:trHeight w:val="20"/>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2"/>
        </w:trPr>
        <w:tc>
          <w:tcPr>
            <w:tcW w:w="470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Past due loan amounts as a</w:t>
            </w:r>
          </w:p>
        </w:tc>
        <w:tc>
          <w:tcPr>
            <w:tcW w:w="11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r>
      <w:tr>
        <w:trPr>
          <w:trHeight w:val="230"/>
        </w:trPr>
        <w:tc>
          <w:tcPr>
            <w:tcW w:w="4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percentage of total loans</w:t>
            </w: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3.49%</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1.31%</w:t>
            </w:r>
          </w:p>
        </w:tc>
      </w:tr>
    </w:tbl>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i w:val="1"/>
          <w:iCs w:val="1"/>
          <w:color w:val="auto"/>
        </w:rPr>
        <w:t>Past Due Loan Portfolio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Credicorp’s past due loan portfolio by type of loan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Past due loan amounts: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7"/>
          </w:tcPr>
          <w:p>
            <w:pPr>
              <w:jc w:val="center"/>
              <w:ind w:left="30"/>
              <w:spacing w:after="0"/>
              <w:rPr>
                <w:sz w:val="20"/>
                <w:szCs w:val="20"/>
                <w:color w:val="auto"/>
              </w:rPr>
            </w:pPr>
            <w:r>
              <w:rPr>
                <w:rFonts w:ascii="Arial" w:cs="Arial" w:eastAsia="Arial" w:hAnsi="Arial"/>
                <w:sz w:val="18"/>
                <w:szCs w:val="18"/>
                <w:i w:val="1"/>
                <w:iCs w:val="1"/>
                <w:color w:val="auto"/>
                <w:w w:val="92"/>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3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322,179</w:t>
            </w:r>
          </w:p>
        </w:tc>
        <w:tc>
          <w:tcPr>
            <w:tcW w:w="13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194,761</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85,467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63,889</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57,345</w:t>
            </w: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Discounted notes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4,513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r>
      <w:tr>
        <w:trPr>
          <w:trHeight w:val="202"/>
        </w:trPr>
        <w:tc>
          <w:tcPr>
            <w:tcW w:w="20" w:type="dxa"/>
            <w:vAlign w:val="bottom"/>
          </w:tcPr>
          <w:p>
            <w:pPr>
              <w:spacing w:after="0"/>
              <w:rPr>
                <w:sz w:val="17"/>
                <w:szCs w:val="17"/>
                <w:color w:val="auto"/>
              </w:rPr>
            </w:pPr>
          </w:p>
        </w:tc>
        <w:tc>
          <w:tcPr>
            <w:tcW w:w="48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Advances and overdrafts in demand</w:t>
            </w: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7,892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4,157</w:t>
            </w:r>
          </w:p>
        </w:tc>
        <w:tc>
          <w:tcPr>
            <w:tcW w:w="16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FFCC"/>
          </w:tcPr>
          <w:p>
            <w:pPr>
              <w:spacing w:after="0"/>
              <w:rPr>
                <w:sz w:val="20"/>
                <w:szCs w:val="20"/>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17,231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8,716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9,387</w:t>
            </w: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1240" w:type="dxa"/>
            <w:vAlign w:val="bottom"/>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Refinanced loans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54,320</w:t>
            </w:r>
          </w:p>
        </w:tc>
        <w:tc>
          <w:tcPr>
            <w:tcW w:w="1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47,800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59,270</w:t>
            </w:r>
          </w:p>
        </w:tc>
        <w:tc>
          <w:tcPr>
            <w:tcW w:w="16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20,932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11,748</w:t>
            </w:r>
          </w:p>
        </w:tc>
        <w:tc>
          <w:tcPr>
            <w:tcW w:w="120" w:type="dxa"/>
            <w:vAlign w:val="bottom"/>
            <w:shd w:val="clear" w:color="auto" w:fill="CCFFC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past due portfolio</w:t>
            </w:r>
          </w:p>
        </w:tc>
        <w:tc>
          <w:tcPr>
            <w:tcW w:w="1200" w:type="dxa"/>
            <w:vAlign w:val="bottom"/>
          </w:tcPr>
          <w:p>
            <w:pPr>
              <w:ind w:left="30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406,135</w:t>
            </w:r>
          </w:p>
        </w:tc>
        <w:tc>
          <w:tcPr>
            <w:tcW w:w="100" w:type="dxa"/>
            <w:vAlign w:val="bottom"/>
          </w:tcPr>
          <w:p>
            <w:pPr>
              <w:spacing w:after="0"/>
              <w:rPr>
                <w:sz w:val="22"/>
                <w:szCs w:val="22"/>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256,208</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159,057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95,769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76,770</w:t>
            </w:r>
          </w:p>
        </w:tc>
      </w:tr>
      <w:tr>
        <w:trPr>
          <w:trHeight w:val="270"/>
        </w:trPr>
        <w:tc>
          <w:tcPr>
            <w:tcW w:w="20" w:type="dxa"/>
            <w:vAlign w:val="bottom"/>
          </w:tcPr>
          <w:p>
            <w:pPr>
              <w:spacing w:after="0"/>
              <w:rPr>
                <w:sz w:val="23"/>
                <w:szCs w:val="23"/>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Less: Reserves for loan losses(1)</w:t>
            </w:r>
          </w:p>
        </w:tc>
        <w:tc>
          <w:tcPr>
            <w:tcW w:w="13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3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210,586</w:t>
            </w:r>
          </w:p>
        </w:tc>
      </w:tr>
      <w:tr>
        <w:trPr>
          <w:trHeight w:val="195"/>
        </w:trPr>
        <w:tc>
          <w:tcPr>
            <w:tcW w:w="20" w:type="dxa"/>
            <w:vAlign w:val="bottom"/>
          </w:tcPr>
          <w:p>
            <w:pPr>
              <w:spacing w:after="0"/>
              <w:rPr>
                <w:sz w:val="16"/>
                <w:szCs w:val="16"/>
                <w:color w:val="auto"/>
              </w:rPr>
            </w:pPr>
          </w:p>
        </w:tc>
        <w:tc>
          <w:tcPr>
            <w:tcW w:w="480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Total past due portfolio net of</w:t>
            </w: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w w:val="94"/>
              </w:rPr>
              <w:t>(US$17,896)</w:t>
            </w: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w w:val="94"/>
              </w:rPr>
              <w:t>(US$70,469)</w:t>
            </w:r>
          </w:p>
        </w:tc>
        <w:tc>
          <w:tcPr>
            <w:tcW w:w="1460" w:type="dxa"/>
            <w:vAlign w:val="bottom"/>
            <w:gridSpan w:val="3"/>
          </w:tcPr>
          <w:p>
            <w:pPr>
              <w:ind w:left="240"/>
              <w:spacing w:after="0"/>
              <w:rPr>
                <w:sz w:val="20"/>
                <w:szCs w:val="20"/>
                <w:color w:val="auto"/>
              </w:rPr>
            </w:pPr>
            <w:r>
              <w:rPr>
                <w:rFonts w:ascii="Arial" w:cs="Arial" w:eastAsia="Arial" w:hAnsi="Arial"/>
                <w:sz w:val="18"/>
                <w:szCs w:val="18"/>
                <w:color w:val="auto"/>
              </w:rPr>
              <w:t>(US$112,816)</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(US$122,867)</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4"/>
              </w:rPr>
              <w:t>(US$133,816)</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220980</wp:posOffset>
            </wp:positionV>
            <wp:extent cx="85344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Includes reserves for indirect credits (see -Loan Loss Reserves).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on past due loans and loans in legal collection is recognized when collected. The interest income that would have been recorded for these credits in accordance with the terms of the original contract amount is approximately US$28.1 million and US$25.8 million as of December 31, 2006 and 2005,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Loan Loss Reserves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Credicorp’s reserves for loan losses and movements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8"/>
                <w:szCs w:val="18"/>
                <w:b w:val="1"/>
                <w:bCs w:val="1"/>
                <w:color w:val="auto"/>
                <w:w w:val="88"/>
              </w:rPr>
              <w:t>Year ended December 31,</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398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22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ind w:left="1240"/>
              <w:spacing w:after="0"/>
              <w:rPr>
                <w:sz w:val="20"/>
                <w:szCs w:val="20"/>
                <w:color w:val="auto"/>
              </w:rPr>
            </w:pPr>
            <w:r>
              <w:rPr>
                <w:rFonts w:ascii="Arial" w:cs="Arial" w:eastAsia="Arial" w:hAnsi="Arial"/>
                <w:sz w:val="18"/>
                <w:szCs w:val="18"/>
                <w:i w:val="1"/>
                <w:iCs w:val="1"/>
                <w:color w:val="auto"/>
                <w:w w:val="95"/>
              </w:rPr>
              <w:t>(U.S. Dollars in thousands)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3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Reserves for loan losses at</w:t>
            </w: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the beginning of the year</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344,433</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820" w:type="dxa"/>
            <w:vAlign w:val="bottom"/>
            <w:gridSpan w:val="3"/>
            <w:shd w:val="clear" w:color="auto" w:fill="CCFFCC"/>
          </w:tcPr>
          <w:p>
            <w:pPr>
              <w:ind w:left="3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271,873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99,596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66,421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16,131</w:t>
            </w:r>
          </w:p>
        </w:tc>
        <w:tc>
          <w:tcPr>
            <w:tcW w:w="3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(6,356)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(4,243)</w:t>
            </w:r>
          </w:p>
        </w:tc>
      </w:tr>
      <w:tr>
        <w:trPr>
          <w:trHeight w:val="243"/>
        </w:trPr>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122,841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(9,024)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12,050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17,416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32,287</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35,032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44,284</w:t>
            </w:r>
          </w:p>
        </w:tc>
      </w:tr>
      <w:tr>
        <w:trPr>
          <w:trHeight w:val="243"/>
        </w:trPr>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(150,102)</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(185,688)</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(105,267)</w:t>
            </w:r>
          </w:p>
        </w:tc>
        <w:tc>
          <w:tcPr>
            <w:tcW w:w="32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(71,405)</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(49,859)</w:t>
            </w: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Monetary correction and</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7"/>
        </w:trPr>
        <w:tc>
          <w:tcPr>
            <w:tcW w:w="398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(4,787)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4,497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132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2"/>
                <w:szCs w:val="22"/>
                <w:color w:val="auto"/>
              </w:rPr>
            </w:pPr>
          </w:p>
        </w:tc>
      </w:tr>
      <w:tr>
        <w:trPr>
          <w:trHeight w:val="195"/>
        </w:trPr>
        <w:tc>
          <w:tcPr>
            <w:tcW w:w="398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Total reserves for loan losses</w:t>
            </w: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3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50"/>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at the end of the year</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820" w:type="dxa"/>
            <w:vAlign w:val="bottom"/>
            <w:gridSpan w:val="3"/>
            <w:shd w:val="clear" w:color="auto" w:fill="CCFFCC"/>
          </w:tcPr>
          <w:p>
            <w:pPr>
              <w:ind w:left="3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218,636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210,586</w:t>
            </w: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Reserves for loan losses as of December 31, 2006 include US$190.3 million of reserves for credit losses and US$20.3 million of reserves for indirect or contingent credit losses (US$197.5 million and US$21.1 million as of December 31, 2005, respectively). The reserves for indirect credit losses are included in the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caption of Credicorp’s consolidated balance sheet (see Notes 7(f) and 11(a) to the Credicorp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9" w:name="page90"/>
    <w:bookmarkEnd w:id="89"/>
    <w:p>
      <w:pPr>
        <w:jc w:val="center"/>
        <w:ind w:right="60"/>
        <w:spacing w:after="0"/>
        <w:rPr>
          <w:sz w:val="20"/>
          <w:szCs w:val="20"/>
          <w:color w:val="auto"/>
        </w:rPr>
      </w:pPr>
      <w:r>
        <w:rPr>
          <w:rFonts w:ascii="Arial" w:cs="Arial" w:eastAsia="Arial" w:hAnsi="Arial"/>
          <w:sz w:val="18"/>
          <w:szCs w:val="18"/>
          <w:color w:val="auto"/>
        </w:rPr>
        <w:t>The charge-off process is performed with prior approval of the Board of Directors and of SBS, which is considered on a case-by-case basis.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reserves for loan losses attributable to commercial, consumer and residential mortgage loans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1260"/>
              <w:spacing w:after="0"/>
              <w:rPr>
                <w:sz w:val="20"/>
                <w:szCs w:val="20"/>
                <w:color w:val="auto"/>
              </w:rPr>
            </w:pPr>
            <w:r>
              <w:rPr>
                <w:rFonts w:ascii="Arial" w:cs="Arial" w:eastAsia="Arial" w:hAnsi="Arial"/>
                <w:sz w:val="18"/>
                <w:szCs w:val="18"/>
                <w:i w:val="1"/>
                <w:iCs w:val="1"/>
                <w:color w:val="auto"/>
                <w:w w:val="92"/>
              </w:rPr>
              <w:t>(U.S. Dollars in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44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388,809</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283,470</w:t>
            </w:r>
          </w:p>
        </w:tc>
        <w:tc>
          <w:tcPr>
            <w:tcW w:w="1840" w:type="dxa"/>
            <w:vAlign w:val="bottom"/>
            <w:gridSpan w:val="3"/>
            <w:shd w:val="clear" w:color="auto" w:fill="CCFFCC"/>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228,554</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174,929</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170,755</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Consumer loans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14,879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14,479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14,079</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16,433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16,717</w:t>
            </w: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13,521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24,414</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21,375</w:t>
            </w:r>
          </w:p>
        </w:tc>
        <w:tc>
          <w:tcPr>
            <w:tcW w:w="4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14,291</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Leasing transactions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6,822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4,314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7,865</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12,983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7"/>
        </w:trPr>
        <w:tc>
          <w:tcPr>
            <w:tcW w:w="4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Total reserves</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218,636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210,586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(iv)   Deposits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Credicorp’s deposit base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2"/>
              </w:rPr>
              <w:t>At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1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60" w:type="dxa"/>
            <w:vAlign w:val="bottom"/>
            <w:gridSpan w:val="5"/>
          </w:tcPr>
          <w:p>
            <w:pPr>
              <w:jc w:val="center"/>
              <w:ind w:left="1190"/>
              <w:spacing w:after="0"/>
              <w:rPr>
                <w:sz w:val="20"/>
                <w:szCs w:val="20"/>
                <w:color w:val="auto"/>
              </w:rPr>
            </w:pPr>
            <w:r>
              <w:rPr>
                <w:rFonts w:ascii="Arial" w:cs="Arial" w:eastAsia="Arial" w:hAnsi="Arial"/>
                <w:sz w:val="18"/>
                <w:szCs w:val="18"/>
                <w:i w:val="1"/>
                <w:iCs w:val="1"/>
                <w:color w:val="auto"/>
                <w:w w:val="92"/>
              </w:rPr>
              <w:t>(U.S. Dollars 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Demand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507,924</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725,878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996,246</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1,242,353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1,075,436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1,796,187</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1,750,277</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1,801,314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2,792,433</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Savings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403,579</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483,695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610,292</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1,179,923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1,621,669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1,341,686</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1,583,502</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2,105,364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1,951,978</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Time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431,741</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391,374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862,901</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1,920,459</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2,068,533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2,355,256</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2,352,200</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2,459,907</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3,218,157</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Foreign Currency Bank Certificates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54,310</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46,378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61,539</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Severance Indemnity Deposits (CTS):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47,986</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70,435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103,282</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482,697</w:t>
            </w:r>
          </w:p>
        </w:tc>
        <w:tc>
          <w:tcPr>
            <w:tcW w:w="1380" w:type="dxa"/>
            <w:vAlign w:val="bottom"/>
          </w:tcPr>
          <w:p>
            <w:pPr>
              <w:jc w:val="right"/>
              <w:spacing w:after="0"/>
              <w:rPr>
                <w:sz w:val="20"/>
                <w:szCs w:val="20"/>
                <w:color w:val="auto"/>
              </w:rPr>
            </w:pPr>
            <w:r>
              <w:rPr>
                <w:rFonts w:ascii="Arial" w:cs="Arial" w:eastAsia="Arial" w:hAnsi="Arial"/>
                <w:sz w:val="18"/>
                <w:szCs w:val="18"/>
                <w:color w:val="auto"/>
              </w:rPr>
              <w:t>584,356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671,745</w:t>
            </w:r>
          </w:p>
        </w:tc>
      </w:tr>
      <w:tr>
        <w:trPr>
          <w:trHeight w:val="20"/>
        </w:trPr>
        <w:tc>
          <w:tcPr>
            <w:tcW w:w="4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530,683</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654,791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775,027</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Total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1,391,230</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1,671,382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2,572,721</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4,879,742</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5,396,372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6,226,413</w:t>
            </w:r>
          </w:p>
        </w:tc>
        <w:tc>
          <w:tcPr>
            <w:tcW w:w="100" w:type="dxa"/>
            <w:vAlign w:val="bottom"/>
          </w:tcPr>
          <w:p>
            <w:pPr>
              <w:spacing w:after="0"/>
              <w:rPr>
                <w:sz w:val="21"/>
                <w:szCs w:val="21"/>
                <w:color w:val="auto"/>
              </w:rPr>
            </w:pPr>
          </w:p>
        </w:tc>
      </w:tr>
      <w:tr>
        <w:trPr>
          <w:trHeight w:val="30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6,270,972</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7,067,754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8,799,134</w:t>
            </w:r>
          </w:p>
        </w:tc>
      </w:tr>
      <w:tr>
        <w:trPr>
          <w:trHeight w:val="467"/>
        </w:trPr>
        <w:tc>
          <w:tcPr>
            <w:tcW w:w="4180" w:type="dxa"/>
            <w:vAlign w:val="bottom"/>
            <w:tcBorders>
              <w:top w:val="single" w:sz="8" w:color="CCFFCC"/>
            </w:tcBorders>
          </w:tcPr>
          <w:p>
            <w:pPr>
              <w:spacing w:after="0"/>
              <w:rPr>
                <w:sz w:val="24"/>
                <w:szCs w:val="24"/>
                <w:color w:val="auto"/>
              </w:rPr>
            </w:pPr>
          </w:p>
        </w:tc>
        <w:tc>
          <w:tcPr>
            <w:tcW w:w="2560" w:type="dxa"/>
            <w:vAlign w:val="bottom"/>
            <w:tcBorders>
              <w:top w:val="single" w:sz="8" w:color="CCFFCC"/>
            </w:tcBorders>
          </w:tcPr>
          <w:p>
            <w:pPr>
              <w:jc w:val="right"/>
              <w:ind w:right="850"/>
              <w:spacing w:after="0"/>
              <w:rPr>
                <w:sz w:val="20"/>
                <w:szCs w:val="20"/>
                <w:color w:val="auto"/>
              </w:rPr>
            </w:pPr>
            <w:r>
              <w:rPr>
                <w:rFonts w:ascii="Arial" w:cs="Arial" w:eastAsia="Arial" w:hAnsi="Arial"/>
                <w:sz w:val="18"/>
                <w:szCs w:val="18"/>
                <w:color w:val="auto"/>
              </w:rPr>
              <w:t>85</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0" w:name="page91"/>
    <w:bookmarkEnd w:id="90"/>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the maturity of Credicorp’s time deposits in denominations of US$100,000 or more at December 31, 2006:</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within 30 days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30 but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60 but within 90 days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90 but within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180 but within 360 days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Total certificates of deposits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within 30 days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30 but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60 but within 90 days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90 but within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180 but within 360 days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Total time deposits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Return on Equity and Assets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December 31, 2006</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(U.S. 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-130810</wp:posOffset>
            </wp:positionV>
            <wp:extent cx="12261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w:t>
      </w:r>
    </w:p>
    <w:p>
      <w:pPr>
        <w:spacing w:after="0" w:line="292"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32,474</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876</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5,122</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5.570</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27,184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12261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71,226</w:t>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1,356,792</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378,776</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166,582</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321,409</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300,195</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127,608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29210</wp:posOffset>
            </wp:positionV>
            <wp:extent cx="12261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2,651,362</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2,722,588</w:t>
      </w:r>
    </w:p>
    <w:p>
      <w:pPr>
        <w:spacing w:after="0" w:line="682" w:lineRule="exact"/>
        <w:rPr>
          <w:sz w:val="20"/>
          <w:szCs w:val="20"/>
          <w:color w:val="auto"/>
        </w:rPr>
      </w:pPr>
    </w:p>
    <w:p>
      <w:pPr>
        <w:sectPr>
          <w:pgSz w:w="11900" w:h="16838" w:orient="portrait"/>
          <w:cols w:equalWidth="0" w:num="2">
            <w:col w:w="8840" w:space="720"/>
            <w:col w:w="1860"/>
          </w:cols>
          <w:pgMar w:left="240" w:top="395" w:right="239" w:bottom="1440" w:gutter="0" w:footer="0" w:header="0"/>
          <w:type w:val="continuous"/>
        </w:sectPr>
      </w:pPr>
    </w:p>
    <w:p>
      <w:pPr>
        <w:spacing w:after="0" w:line="210"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864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ind w:left="7340"/>
              <w:spacing w:after="0"/>
              <w:rPr>
                <w:sz w:val="20"/>
                <w:szCs w:val="20"/>
                <w:color w:val="auto"/>
              </w:rPr>
            </w:pPr>
            <w:r>
              <w:rPr>
                <w:rFonts w:ascii="Arial" w:cs="Arial" w:eastAsia="Arial" w:hAnsi="Arial"/>
                <w:sz w:val="18"/>
                <w:szCs w:val="18"/>
                <w:b w:val="1"/>
                <w:bCs w:val="1"/>
                <w:color w:val="auto"/>
                <w:w w:val="84"/>
              </w:rPr>
              <w:t>2004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1.92%</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13.55%</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16.39%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18.47%</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48.80%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48.24%</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45.08%</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Credicorp's equity to assets ratio (4)</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11.29%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11.41%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10.70%</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10.42%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right="26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total assets, computed as the average of period beginning and period ending balances.</w:t>
      </w:r>
    </w:p>
    <w:p>
      <w:pPr>
        <w:spacing w:after="0" w:line="224"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net equity attributable to Credicorp’s equity holders, computed as the average of monthly balances.</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Credicorp’s equity holders per share.</w:t>
      </w:r>
    </w:p>
    <w:p>
      <w:pPr>
        <w:spacing w:after="0" w:line="279"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 equity attributable to Credicorp’s equity holders divided by average total assets, both averages computed as the average of month-ending balances.</w:t>
      </w:r>
    </w:p>
    <w:p>
      <w:pPr>
        <w:spacing w:after="0" w:line="224"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 equity attributable to Credicorp’s equity shareholders divided by average total assets, both averages computed as the average of month-ending balances.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91" w:name="page92"/>
    <w:bookmarkEnd w:id="91"/>
    <w:p>
      <w:pPr>
        <w:ind w:left="1460" w:hanging="804"/>
        <w:spacing w:after="0"/>
        <w:tabs>
          <w:tab w:leader="none" w:pos="1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short-term borrowings, other than deposits, amounted to US$234.0 million, US$878.2 million and US$360.8 million as of December 31, 2004, 2005 and 2006, respectively. Average balances of borrowed amounts remained at relatively low levels during 2004, 2005 and 2006 mostly due to excess liquidity at BCP. The outstanding balance at December, 31 2005 includes BCRP-Repo transactions entered into with the Central Bank, representing US$510.6 million, which earned annual interest rates between 3.23% and 3.32%, with 3 day maturities. As of December 31, 2006, no BCRP-Repo transactions exist in the outstanding balance.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The following table sets forth Credicorp’s short-term borrowings: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4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90"/>
              </w:rPr>
              <w:t>At December 31,</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r>
      <w:tr>
        <w:trPr>
          <w:trHeight w:val="237"/>
        </w:trPr>
        <w:tc>
          <w:tcPr>
            <w:tcW w:w="4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233,951</w:t>
            </w:r>
          </w:p>
        </w:tc>
        <w:tc>
          <w:tcPr>
            <w:tcW w:w="1880" w:type="dxa"/>
            <w:vAlign w:val="bottom"/>
            <w:gridSpan w:val="3"/>
            <w:shd w:val="clear" w:color="auto" w:fill="CCFFCC"/>
          </w:tcPr>
          <w:p>
            <w:pPr>
              <w:ind w:lef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878,237</w:t>
            </w:r>
          </w:p>
        </w:tc>
        <w:tc>
          <w:tcPr>
            <w:tcW w:w="12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360,801</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150,279</w:t>
            </w:r>
          </w:p>
        </w:tc>
        <w:tc>
          <w:tcPr>
            <w:tcW w:w="1880" w:type="dxa"/>
            <w:vAlign w:val="bottom"/>
            <w:gridSpan w:val="3"/>
            <w:shd w:val="clear" w:color="auto" w:fill="CCFFCC"/>
          </w:tcPr>
          <w:p>
            <w:pPr>
              <w:ind w:lef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307,930</w:t>
            </w:r>
          </w:p>
        </w:tc>
        <w:tc>
          <w:tcPr>
            <w:tcW w:w="12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479,657</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233,951</w:t>
            </w:r>
          </w:p>
        </w:tc>
        <w:tc>
          <w:tcPr>
            <w:tcW w:w="1880" w:type="dxa"/>
            <w:vAlign w:val="bottom"/>
            <w:gridSpan w:val="3"/>
            <w:shd w:val="clear" w:color="auto" w:fill="CCFFCC"/>
          </w:tcPr>
          <w:p>
            <w:pPr>
              <w:ind w:lef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878,237</w:t>
            </w:r>
          </w:p>
        </w:tc>
        <w:tc>
          <w:tcPr>
            <w:tcW w:w="12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792,609</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nominal</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Year-end interest rate</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4.22%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4.38%</w:t>
            </w:r>
          </w:p>
        </w:tc>
        <w:tc>
          <w:tcPr>
            <w:tcW w:w="3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5.00%</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nominal</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rate</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3.83%</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4.69%</w:t>
            </w:r>
          </w:p>
        </w:tc>
        <w:tc>
          <w:tcPr>
            <w:tcW w:w="3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4.81%</w:t>
            </w:r>
          </w:p>
        </w:tc>
      </w:tr>
      <w:tr>
        <w:trPr>
          <w:trHeight w:val="486"/>
        </w:trPr>
        <w:tc>
          <w:tcPr>
            <w:tcW w:w="460" w:type="dxa"/>
            <w:vAlign w:val="bottom"/>
          </w:tcPr>
          <w:p>
            <w:pPr>
              <w:spacing w:after="0"/>
              <w:rPr>
                <w:sz w:val="20"/>
                <w:szCs w:val="20"/>
                <w:color w:val="auto"/>
              </w:rPr>
            </w:pPr>
            <w:r>
              <w:rPr>
                <w:rFonts w:ascii="Arial" w:cs="Arial" w:eastAsia="Arial" w:hAnsi="Arial"/>
                <w:sz w:val="18"/>
                <w:szCs w:val="18"/>
                <w:b w:val="1"/>
                <w:bCs w:val="1"/>
                <w:color w:val="auto"/>
              </w:rPr>
              <w:t>(C)</w:t>
            </w:r>
          </w:p>
        </w:tc>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Organizational Structure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historically there has been substantial overlap among the shareholders of BCP, ASHC and PPS, for reasons related to the regulatory, political and economic environment in Peru,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w:t>
      </w:r>
      <w:r>
        <w:rPr>
          <w:rFonts w:ascii="Arial" w:cs="Arial" w:eastAsia="Arial" w:hAnsi="Arial"/>
          <w:sz w:val="11"/>
          <w:szCs w:val="11"/>
          <w:color w:val="auto"/>
        </w:rPr>
        <w:t>.</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Credicorp’s Stock” and “Item 8. Financial Information—Dividend Policy.”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Credicorp, through its subsidiaries, is the largest Peruvian provider of financial services in Peru.</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Peru,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Peru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16.01% of the Common Shares of Credicorp. See “Item 7. Major Shareholders and Related Party Transactions—(A) Major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92" w:name="page93"/>
    <w:bookmarkEnd w:id="92"/>
    <w:p>
      <w:pPr>
        <w:jc w:val="both"/>
        <w:ind w:firstLine="648"/>
        <w:spacing w:after="0" w:line="271" w:lineRule="auto"/>
        <w:rPr>
          <w:sz w:val="20"/>
          <w:szCs w:val="20"/>
          <w:color w:val="auto"/>
        </w:rPr>
      </w:pPr>
      <w:r>
        <w:rPr>
          <w:rFonts w:ascii="Arial" w:cs="Arial" w:eastAsia="Arial" w:hAnsi="Arial"/>
          <w:sz w:val="17"/>
          <w:szCs w:val="17"/>
          <w:color w:val="auto"/>
        </w:rPr>
        <w:t>ASHC was incorporated in December 1981 as a wholly-owned subsidiary of BCP, under the name Crédito del Perú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owns 75.72% of PPS, which was formed in 1992 as a result of a merger between El Pacífico Compañía de Seguros y Reaseguros S.A. and Compañía de Seguros y Reaseguros Peruano-Suiza S.A., and is the second 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owns 99.99% of Grupo Crédito S.A., which is the principal shareholder in Prima AFP and holds equity shares in Peruvian electric utilities and other non-financial companies.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Credileasing conducts lease financing operations and began operating in July 1996, taking over the operations previously managed by Financiera de Crédito, which simultaneously became Solución, specializing in consumer and micro-business lending.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spinned off into two companies, one of which retained only cash and equity which the other was merged into BCP’s Peruvian banking operations in March 2004 after becoming a wholly-owned subsidiary of BCP in March 2003 as a result of BCP acquiring the remaining 45% of Solución’s equity interests.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3" w:name="page94"/>
    <w:bookmarkEnd w:id="93"/>
    <w:p>
      <w:pPr>
        <w:jc w:val="both"/>
        <w:ind w:firstLine="648"/>
        <w:spacing w:after="0" w:line="254" w:lineRule="auto"/>
        <w:rPr>
          <w:sz w:val="20"/>
          <w:szCs w:val="20"/>
          <w:color w:val="auto"/>
        </w:rPr>
      </w:pPr>
      <w:r>
        <w:rPr>
          <w:rFonts w:ascii="Arial" w:cs="Arial" w:eastAsia="Arial" w:hAnsi="Arial"/>
          <w:sz w:val="18"/>
          <w:szCs w:val="18"/>
          <w:color w:val="auto"/>
        </w:rPr>
        <w:t xml:space="preserve">In March 2005, Credicorp completed the sale of Banco Tequendama to a Colombian bank. The effective date of the sale was January 1, 2005, and Credicorp did not record any significant gain as a result of the transaction. At December 31, 2004, Banco Tequendama had US$306.7 million in loans and US$290.5 million in deposits. Banco Tequendama was acquired by Credicorp in January 1997 from the </w:t>
      </w:r>
      <w:r>
        <w:rPr>
          <w:rFonts w:ascii="Arial" w:cs="Arial" w:eastAsia="Arial" w:hAnsi="Arial"/>
          <w:sz w:val="18"/>
          <w:szCs w:val="18"/>
          <w:i w:val="1"/>
          <w:iCs w:val="1"/>
          <w:color w:val="auto"/>
        </w:rPr>
        <w:t>Fondo de Garantía de Depósitos y Protección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Bancaria </w:t>
      </w:r>
      <w:r>
        <w:rPr>
          <w:rFonts w:ascii="Arial" w:cs="Arial" w:eastAsia="Arial" w:hAnsi="Arial"/>
          <w:sz w:val="18"/>
          <w:szCs w:val="18"/>
          <w:color w:val="auto"/>
        </w:rPr>
        <w:t>(“FOGADE”), the Venezuelan government entity responsible for the re-privatization of assets seized by that government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representing 99.97% of its capital stock and made a tender offer to the minority shareholders in order to acquire the remaining 0.03 percent of the capital stock. The total purchase price amounted to approximately US$141.5 million. At the general shareholder’s meeting of Prima AFP, held on September 6, 2006, the merger with AFP Unión Vida S.A. was approved, with effective date of December 1, 2006.</w:t>
      </w:r>
    </w:p>
    <w:p>
      <w:pPr>
        <w:spacing w:after="0" w:line="238"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2006, Credicorp had 339 branches, representative and similar offices, of which 137 were branch offices of BCP in Lima. Credicorp’s principal properties include the headquarters of BCP, at Calle Centenario 156, La Molina, Lima 12, Perú, and the headquarters of PPS at Juan de Arona 830, Lima, Perú. Credicorp owns these properties, with the exception of approximately 186 properties which it holds under leases. There are no material encumbrances on any of Credicorp’s properties.</w:t>
      </w:r>
    </w:p>
    <w:p>
      <w:pPr>
        <w:spacing w:after="0" w:line="27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9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320" w:lineRule="exact"/>
        <w:rPr>
          <w:sz w:val="20"/>
          <w:szCs w:val="20"/>
          <w:color w:val="auto"/>
        </w:rPr>
      </w:pPr>
    </w:p>
    <w:p>
      <w:pPr>
        <w:ind w:left="1400" w:hanging="744"/>
        <w:spacing w:after="0"/>
        <w:tabs>
          <w:tab w:leader="none" w:pos="1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Accounting policies applied by Credicorp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 Additionally, Note 29 to the Credicorp Consolidated Financial Statements describes certain significant differences between IFRS and U.S. GAAP. The following is a summary of those critical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loan losses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4" w:name="page95"/>
    <w:bookmarkEnd w:id="94"/>
    <w:p>
      <w:pPr>
        <w:jc w:val="both"/>
        <w:ind w:firstLine="648"/>
        <w:spacing w:after="0" w:line="290" w:lineRule="auto"/>
        <w:rPr>
          <w:sz w:val="20"/>
          <w:szCs w:val="20"/>
          <w:color w:val="auto"/>
        </w:rPr>
      </w:pPr>
      <w:r>
        <w:rPr>
          <w:rFonts w:ascii="Arial" w:cs="Arial" w:eastAsia="Arial" w:hAnsi="Arial"/>
          <w:sz w:val="16"/>
          <w:szCs w:val="16"/>
          <w:color w:val="auto"/>
        </w:rPr>
        <w:t>An allowance for credit loss is established if there is objective evidence that Credicorp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allowance for credit losses is established based in the risk classifications and taking into consideration the guarantees and collateral obtained by Credicorp.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loans considered impaired (the ones classified as substandard, doubtful and loss) are analyzed by Credicorp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Credicorp in order to reduce any differences between loss estimates and actual loss experience.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also covers the estimated losses for impaired loans not specifically identified.</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purchases and sales of investments are recognized at the date of the negotiation (trade date) that corresponds to the date in which Credicorp commits itself to buy or sell the assets.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5" w:name="page96"/>
    <w:bookmarkEnd w:id="95"/>
    <w:p>
      <w:pPr>
        <w:jc w:val="both"/>
        <w:ind w:firstLine="648"/>
        <w:spacing w:after="0" w:line="312" w:lineRule="auto"/>
        <w:rPr>
          <w:sz w:val="20"/>
          <w:szCs w:val="20"/>
          <w:color w:val="auto"/>
        </w:rPr>
      </w:pPr>
      <w:r>
        <w:rPr>
          <w:rFonts w:ascii="Arial" w:cs="Arial" w:eastAsia="Arial" w:hAnsi="Arial"/>
          <w:sz w:val="16"/>
          <w:szCs w:val="16"/>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financial instruments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transactions with derivatives, while providing effective economic hedges under Credicorp’s risk management positions, do not qualify for hedge accounting under the specific rules of IAS 39 and are therefore treated as trading derivatives.</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income statements.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Hedges: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qualify as a hedge, a derivate must be highly effective in offsetting the risk designated as being hedged. Credicorp documents, at the inception of the transaction, the relationship between hedging instruments and hedged items, as well as its risk management objective and strategy for undertaking the hedge transactions.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6" w:name="page97"/>
    <w:bookmarkEnd w:id="96"/>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has only one derivative that qualifies for hedge purposes, which is an interest rate swap, classified as a cash flow hedge. See Note 20(d) to the Credicorp Financial Statements, which is an interest rate swap, classified as a cash flow hedge. The effective portion of changes in the fair value of this derivative is recognized in equity, and the gain or loss relating to the ineffective portion is recognized immediately in the consolidated income statement. Amounts accumulated in equity are recycled to the income statement in the periods in which the hedged item affects profit or loss.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Embedded derivates: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2006, Credicorp has acquired certificates indexed to its share price that will be settled in cash (see Note 11(c) to the Credicorp Consolidated Financial Statements). These instruments reduce the liability exposure for the stock appreciation rights granted to employees. These instruments have been accounted at their fair value and are presented in the caption “Other assets” of the consolidated balance sheets.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translation</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Credicorp’s principal operations and transactions are established and liquidated in U.S. Dollars, and, as a result, Credicorp considers the U.S. Dollar to be its functional and presentation currency. See Note 3(c) to the Credicorp Consolidated Financial Statements.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of each of Credicorp’s subsidiaries are prepared using the currency of the country in which such subsidiary operates. The financial statements are then translated into U.S. Dollars as follows:</w:t>
      </w:r>
    </w:p>
    <w:p>
      <w:pPr>
        <w:spacing w:after="0" w:line="26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Monetary assets and liabilities for each balance sheet presented are translated at the free market exchange rate at the date of that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w:t>
      </w:r>
    </w:p>
    <w:p>
      <w:pPr>
        <w:spacing w:after="0" w:line="319" w:lineRule="exact"/>
        <w:rPr>
          <w:sz w:val="20"/>
          <w:szCs w:val="20"/>
          <w:color w:val="auto"/>
        </w:rPr>
      </w:pPr>
    </w:p>
    <w:p>
      <w:pPr>
        <w:ind w:left="1420" w:hanging="764"/>
        <w:spacing w:after="0"/>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356" w:lineRule="exact"/>
        <w:rPr>
          <w:rFonts w:ascii="Arial" w:cs="Arial" w:eastAsia="Arial" w:hAnsi="Arial"/>
          <w:sz w:val="16"/>
          <w:szCs w:val="16"/>
          <w:color w:val="auto"/>
        </w:rPr>
      </w:pPr>
    </w:p>
    <w:p>
      <w:pPr>
        <w:ind w:firstLine="656"/>
        <w:spacing w:after="0" w:line="293" w:lineRule="auto"/>
        <w:tabs>
          <w:tab w:leader="none" w:pos="14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and expense recognition from banking activities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and expense are recognized in the income statement for all instruments measured at amortized cost using the effective interest method. The effective interest method is a method of calculating the amortized cost of a financial assets or liability and allocating the interest income or expense over the relevant period on an accrual basis. Interest rates are determined based on negotiations with clients.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 doubtful, such as when overdue by more than 90 days or, if earlier, upon the borrower’s or securities’ issuer’s default, and such income is excluded from interest income until received. Uncollected income on such loans is reversed against income. When the management determines that the debtor’s financial condition has improved, the recording of interest thereon is reestablished on an accrual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7" w:name="page98"/>
    <w:bookmarkEnd w:id="97"/>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Commission income is recognized on an accrual basis when earned. All other revenues and expenses are recognized on an accrual basis as earned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incurred.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Recognition of income and expenses of insurance activities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premiums related to life and other insurance policies, of both long and short duration, are recognized as income when they accrue. A reserve for unearned premiums is recorded for the unexpired portion of the premiums.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case of life insurance products, the claims reserves are calculated based on an estimation of the mortality (for life insurance), survival (for life annuities, death and disability pension system insurance and complementary insurance for work risk), or incidence (for personal injury) adjusting to the interest established when the product was designed. The reserves are calculated at the present value of the probable cash flows for pension payments, using mortality tables for the policyholders, beneficiaries and disabled who are covered at the date of the consolidated balance sheet adjusted based on interest rates determined based on the performance of the corresponding portfolio of investments.</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reserves corresponding to the universal life insurance policies form part of the technical life insurance reserves. The additional benefits granted to the policyholders originating from this type of policy are shown in the footnote to the net premiums earned for life and health insurance contract (See Note 21 to the Credicorp Consolidated Financial Statements) which include the surplus and interest accrued during the period which are credited to the balance of the policyholder.</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insurance claims are recorded when reported. The IBNR are estimated and reflected as provisions (liabilities). The reserves for IBNR at December 31, 2006 and 2005 have been estimated using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considers that the estimated reserve is sufficient to cover liabilities for IBNR occurred during 2006 and 2005.</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determine the reserves for life, property and casualty and health insurance, Credicorp carries out a continuous review of its overall position, its reserving techniques and its reinsurance. The provisions are reviewed periodically by qualified actuaries contracted by Credicorp. In those cases where, upon further consideration it is determined that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Changes to estimated reserves are included in the results of operations for the period.</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The recoverability of these deferred acquisition costs is reviewed annually.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6"/>
          <w:szCs w:val="16"/>
          <w:color w:val="auto"/>
        </w:rPr>
        <w:t>Based on periodic review of the client portfolio, the management determines the provision for bad debt related to premiums and quotas receivable.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estimates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277" w:lineRule="exact"/>
        <w:rPr>
          <w:sz w:val="20"/>
          <w:szCs w:val="20"/>
          <w:color w:val="auto"/>
        </w:rPr>
      </w:pPr>
    </w:p>
    <w:p>
      <w:pPr>
        <w:ind w:left="1400" w:hanging="744"/>
        <w:spacing w:after="0"/>
        <w:tabs>
          <w:tab w:leader="none" w:pos="14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respects from U.S. GAAP. See Note 29, as restated,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and discussion and analysis presented below for 2004, 2005 and 2006 reflect the financial position and results of operations for 2004, 2005 and 2006 of Credicorp’s subsidiaries. See “Item 3. Key Information—(A) Selected Financial Data.”</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2006, approximately 70.8% of Credicorp’s deposits and 74.6%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2006</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2004, 2005 and 2006, the principal components of Credicorp’s net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9"/>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542,842</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612,432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782,002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(160,298)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(173,159)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(283.478)</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382,544</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439,273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498,524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(16,131)</w:t>
            </w:r>
          </w:p>
        </w:tc>
        <w:tc>
          <w:tcPr>
            <w:tcW w:w="1380" w:type="dxa"/>
            <w:vAlign w:val="bottom"/>
          </w:tcPr>
          <w:p>
            <w:pPr>
              <w:jc w:val="right"/>
              <w:spacing w:after="0"/>
              <w:rPr>
                <w:sz w:val="20"/>
                <w:szCs w:val="20"/>
                <w:color w:val="auto"/>
              </w:rPr>
            </w:pPr>
            <w:r>
              <w:rPr>
                <w:rFonts w:ascii="Arial" w:cs="Arial" w:eastAsia="Arial" w:hAnsi="Arial"/>
                <w:sz w:val="18"/>
                <w:szCs w:val="18"/>
                <w:color w:val="auto"/>
              </w:rPr>
              <w:t>6,356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4,243</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income after Provision</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366,413</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445,629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502,767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Noninterest income</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243,879</w:t>
            </w:r>
          </w:p>
        </w:tc>
        <w:tc>
          <w:tcPr>
            <w:tcW w:w="1380" w:type="dxa"/>
            <w:vAlign w:val="bottom"/>
          </w:tcPr>
          <w:p>
            <w:pPr>
              <w:jc w:val="right"/>
              <w:spacing w:after="0"/>
              <w:rPr>
                <w:sz w:val="20"/>
                <w:szCs w:val="20"/>
                <w:color w:val="auto"/>
              </w:rPr>
            </w:pPr>
            <w:r>
              <w:rPr>
                <w:rFonts w:ascii="Arial" w:cs="Arial" w:eastAsia="Arial" w:hAnsi="Arial"/>
                <w:sz w:val="18"/>
                <w:szCs w:val="18"/>
                <w:color w:val="auto"/>
              </w:rPr>
              <w:t>265,985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338,894</w:t>
            </w:r>
          </w:p>
        </w:tc>
      </w:tr>
      <w:tr>
        <w:trPr>
          <w:trHeight w:val="202"/>
        </w:trPr>
        <w:tc>
          <w:tcPr>
            <w:tcW w:w="67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Insurance premiums earned net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claims on insurance activities</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38,347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43,455</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64,739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(459,928)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(477,073)</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(585,058)</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Merger costs</w:t>
            </w:r>
          </w:p>
        </w:tc>
        <w:tc>
          <w:tcPr>
            <w:tcW w:w="16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(3,742)</w:t>
            </w: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(5,706)</w:t>
            </w:r>
          </w:p>
        </w:tc>
      </w:tr>
      <w:tr>
        <w:trPr>
          <w:trHeight w:val="224"/>
        </w:trPr>
        <w:tc>
          <w:tcPr>
            <w:tcW w:w="674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Income before translation result and income tax</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83"/>
        </w:trPr>
        <w:tc>
          <w:tcPr>
            <w:tcW w:w="6740" w:type="dxa"/>
            <w:vAlign w:val="bottom"/>
          </w:tcPr>
          <w:p>
            <w:pPr>
              <w:spacing w:after="0"/>
              <w:rPr>
                <w:sz w:val="24"/>
                <w:szCs w:val="24"/>
                <w:color w:val="auto"/>
              </w:rPr>
            </w:pP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184,969</w:t>
            </w:r>
          </w:p>
        </w:tc>
        <w:tc>
          <w:tcPr>
            <w:tcW w:w="1900" w:type="dxa"/>
            <w:vAlign w:val="bottom"/>
            <w:gridSpan w:val="3"/>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277,996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315,636</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Translation result (loss) gain</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2,040</w:t>
            </w:r>
          </w:p>
        </w:tc>
        <w:tc>
          <w:tcPr>
            <w:tcW w:w="1900" w:type="dxa"/>
            <w:vAlign w:val="bottom"/>
            <w:gridSpan w:val="3"/>
            <w:shd w:val="clear" w:color="auto" w:fill="CCFFCC"/>
          </w:tcPr>
          <w:p>
            <w:pPr>
              <w:ind w:left="6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(9,597</w:t>
            </w: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15,216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(45,497)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(73,546)</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(83,587)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7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141,512</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194,853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247,265</w:t>
            </w:r>
          </w:p>
        </w:tc>
      </w:tr>
      <w:tr>
        <w:trPr>
          <w:trHeight w:val="224"/>
        </w:trPr>
        <w:tc>
          <w:tcPr>
            <w:tcW w:w="6740" w:type="dxa"/>
            <w:vAlign w:val="bottom"/>
            <w:tcBorders>
              <w:top w:val="single" w:sz="8" w:color="CCFFCC"/>
            </w:tcBorders>
          </w:tcPr>
          <w:p>
            <w:pPr>
              <w:ind w:left="180"/>
              <w:spacing w:after="0"/>
              <w:rPr>
                <w:sz w:val="20"/>
                <w:szCs w:val="20"/>
                <w:color w:val="auto"/>
              </w:rPr>
            </w:pPr>
            <w:r>
              <w:rPr>
                <w:rFonts w:ascii="Arial" w:cs="Arial" w:eastAsia="Arial" w:hAnsi="Arial"/>
                <w:sz w:val="18"/>
                <w:szCs w:val="18"/>
                <w:color w:val="auto"/>
              </w:rPr>
              <w:t>Net income attributable to:</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Credicorp´s shareholders</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130,747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Minority interests</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10,765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12,968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17,252</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141,512</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194,853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247,265</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income attributable to Credicorp’s shareholders increased from US$181.9 million in 2005 to US$230.0 million in 2006. Credicorp’s consolidated net income increased from 2005 to 2006 principally due to: (i) higher average volumes in interest-earning assets mainly as a consequence of the strong expansion in the BCP banking business with the robust loan growth and the restructuring of the portfolio; (ii) lower loan loss provisions; (iii) greater commissions for financial services and higher gains on foreign exchange transactions and sale of securities; and (iv) a gain on translation result in 2006 versus a loss in 2005.</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other hand, operating expenses increased 22.6% in 2006 to US$585.1 million, principally as a result of increased expense on salaries and benefits. The increase in personnel expenses during 2006 was principally due to increases in salaries and stock appreciation rights (see Note 19 to the Credicorp Consolidated Financial Statements). The merger between Prima AFP and Unión Vida in December 2006 was another contributor to the rise in expenses.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 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9"/>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Interest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Loans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426,537</w:t>
            </w:r>
          </w:p>
        </w:tc>
        <w:tc>
          <w:tcPr>
            <w:tcW w:w="240" w:type="dxa"/>
            <w:vAlign w:val="bottom"/>
            <w:shd w:val="clear" w:color="auto" w:fill="CCFFCC"/>
          </w:tcPr>
          <w:p>
            <w:pPr>
              <w:spacing w:after="0"/>
              <w:rPr>
                <w:sz w:val="23"/>
                <w:szCs w:val="23"/>
                <w:color w:val="auto"/>
              </w:rPr>
            </w:pP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447,392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537,670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Deposits in banks</w:t>
            </w:r>
          </w:p>
        </w:tc>
        <w:tc>
          <w:tcPr>
            <w:tcW w:w="1380" w:type="dxa"/>
            <w:vAlign w:val="bottom"/>
          </w:tcPr>
          <w:p>
            <w:pPr>
              <w:jc w:val="right"/>
              <w:spacing w:after="0"/>
              <w:rPr>
                <w:sz w:val="20"/>
                <w:szCs w:val="20"/>
                <w:color w:val="auto"/>
              </w:rPr>
            </w:pPr>
            <w:r>
              <w:rPr>
                <w:rFonts w:ascii="Arial" w:cs="Arial" w:eastAsia="Arial" w:hAnsi="Arial"/>
                <w:sz w:val="18"/>
                <w:szCs w:val="18"/>
                <w:color w:val="auto"/>
              </w:rPr>
              <w:t>4,789</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13,073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36,916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Deposits in Central Bank</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15,357</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24,054</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56,970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Investment securities and others</w:t>
            </w:r>
          </w:p>
        </w:tc>
        <w:tc>
          <w:tcPr>
            <w:tcW w:w="1380" w:type="dxa"/>
            <w:vAlign w:val="bottom"/>
          </w:tcPr>
          <w:p>
            <w:pPr>
              <w:jc w:val="right"/>
              <w:spacing w:after="0"/>
              <w:rPr>
                <w:sz w:val="20"/>
                <w:szCs w:val="20"/>
                <w:color w:val="auto"/>
              </w:rPr>
            </w:pPr>
            <w:r>
              <w:rPr>
                <w:rFonts w:ascii="Arial" w:cs="Arial" w:eastAsia="Arial" w:hAnsi="Arial"/>
                <w:sz w:val="18"/>
                <w:szCs w:val="18"/>
                <w:color w:val="auto"/>
              </w:rPr>
              <w:t>93,903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124,360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141,305</w:t>
            </w:r>
          </w:p>
        </w:tc>
      </w:tr>
      <w:tr>
        <w:trPr>
          <w:trHeight w:val="243"/>
        </w:trPr>
        <w:tc>
          <w:tcPr>
            <w:tcW w:w="67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Dividends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3,553</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Total interest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542,842</w:t>
            </w:r>
          </w:p>
        </w:tc>
        <w:tc>
          <w:tcPr>
            <w:tcW w:w="24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612,432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782,002</w:t>
            </w:r>
          </w:p>
        </w:tc>
      </w:tr>
      <w:tr>
        <w:trPr>
          <w:trHeight w:val="243"/>
        </w:trPr>
        <w:tc>
          <w:tcPr>
            <w:tcW w:w="67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Interest expense:</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Saving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6,216</w:t>
            </w:r>
          </w:p>
        </w:tc>
        <w:tc>
          <w:tcPr>
            <w:tcW w:w="240" w:type="dxa"/>
            <w:vAlign w:val="bottom"/>
          </w:tcPr>
          <w:p>
            <w:pPr>
              <w:spacing w:after="0"/>
              <w:rPr>
                <w:sz w:val="23"/>
                <w:szCs w:val="23"/>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9,234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12,836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Time deposits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84,965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101,254</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160,565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Issued bonds</w:t>
            </w:r>
          </w:p>
        </w:tc>
        <w:tc>
          <w:tcPr>
            <w:tcW w:w="1380" w:type="dxa"/>
            <w:vAlign w:val="bottom"/>
          </w:tcPr>
          <w:p>
            <w:pPr>
              <w:jc w:val="right"/>
              <w:spacing w:after="0"/>
              <w:rPr>
                <w:sz w:val="20"/>
                <w:szCs w:val="20"/>
                <w:color w:val="auto"/>
              </w:rPr>
            </w:pPr>
            <w:r>
              <w:rPr>
                <w:rFonts w:ascii="Arial" w:cs="Arial" w:eastAsia="Arial" w:hAnsi="Arial"/>
                <w:sz w:val="18"/>
                <w:szCs w:val="18"/>
                <w:color w:val="auto"/>
              </w:rPr>
              <w:t>27,651</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24,332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25,283</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Borrowing from other financial institutions and others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36,682</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21,422</w:t>
            </w:r>
          </w:p>
        </w:tc>
        <w:tc>
          <w:tcPr>
            <w:tcW w:w="300" w:type="dxa"/>
            <w:vAlign w:val="bottom"/>
            <w:shd w:val="clear" w:color="auto" w:fill="CCFFCC"/>
          </w:tcPr>
          <w:p>
            <w:pPr>
              <w:spacing w:after="0"/>
              <w:rPr>
                <w:sz w:val="23"/>
                <w:szCs w:val="23"/>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60,013</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Demand deposits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24,781</w:t>
            </w:r>
          </w:p>
        </w:tc>
        <w:tc>
          <w:tcPr>
            <w:tcW w:w="100" w:type="dxa"/>
            <w:vAlign w:val="bottom"/>
          </w:tcPr>
          <w:p>
            <w:pPr>
              <w:spacing w:after="0"/>
              <w:rPr>
                <w:sz w:val="21"/>
                <w:szCs w:val="21"/>
                <w:color w:val="auto"/>
              </w:rPr>
            </w:pPr>
          </w:p>
        </w:tc>
      </w:tr>
      <w:tr>
        <w:trPr>
          <w:trHeight w:val="264"/>
        </w:trPr>
        <w:tc>
          <w:tcPr>
            <w:tcW w:w="674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Total interest expense</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160,298</w:t>
            </w:r>
          </w:p>
        </w:tc>
        <w:tc>
          <w:tcPr>
            <w:tcW w:w="2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173,159</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283,478</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64"/>
        </w:trPr>
        <w:tc>
          <w:tcPr>
            <w:tcW w:w="6740" w:type="dxa"/>
            <w:vAlign w:val="bottom"/>
          </w:tcPr>
          <w:p>
            <w:pPr>
              <w:ind w:left="500"/>
              <w:spacing w:after="0"/>
              <w:rPr>
                <w:sz w:val="20"/>
                <w:szCs w:val="20"/>
                <w:color w:val="auto"/>
              </w:rPr>
            </w:pPr>
            <w:r>
              <w:rPr>
                <w:rFonts w:ascii="Arial" w:cs="Arial" w:eastAsia="Arial" w:hAnsi="Arial"/>
                <w:sz w:val="18"/>
                <w:szCs w:val="18"/>
                <w:color w:val="auto"/>
              </w:rPr>
              <w:t>Net interest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382,544</w:t>
            </w:r>
          </w:p>
        </w:tc>
        <w:tc>
          <w:tcPr>
            <w:tcW w:w="24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439,273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498,524</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net interest income increased 13.5% in 2006 compared to 2005, which in turn increased 14.8% compared to 2004.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27.7% in 2006, after increasing 12.8% in 2005 compared to 2004. The increase in 2006 was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averages volumes in loans and deposits in the Central Bank. An important factor that contributed to the increase was higher loan volumes in wholesale banking since companies took loans to assure future liquidity given the uncertainty that preceded the presidential elections. See “Item 4. Information on the Company—(B) Business Overview—(12) Selected Statistical Information.”</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Average nominal interest rates earned by Credicorp on its loans increased to 9.9% in 2006 from 9.5% in both 2005 and 2004. The average nominal interest rate for foreign currency-denominated loans increased from 8.0% in 2004 to 8.1% in 2005 and to 8.8% in 2006. Interest rates for Nuevo Sol-denominated loans decreased from 17.3% in 2004 to 16.0% in 2005 and further to 13.7% in 2006.</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average balance of Credicorp’s foreign currency-denominated loan portfolio increased 5.6% to US$4,104.5 million in 2006 from US$3,888.6 million in 2005, which in turn increased 1.7% from US$3,823.4 million in 2004. The average balance of Credicorp’s Nuevo Sol-denominated loan portfolio increased 20.2% from US$691.7 million in 2004 to US$831.4 million in 2005, and by 57.3% to US$1,307.8 million in 2006. Credicorp’s excess liquidity has continued through 2006. During 2006, an increasing proportion of loans went to commerce, small business, manufacturing and consumer sectors presenting higher risk, but these sectors also yielded higher margins. See “Item 4. Information on the Company—(B) Business Overview—(12) Selected Statistical Information.”</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63.7% in 2006 compared to 2005, and 8.0% in 2005 compared to 2004. Higher interest expense in 2006</w:t>
      </w:r>
      <w:r>
        <w:rPr>
          <w:rFonts w:ascii="Arial" w:cs="Arial" w:eastAsia="Arial" w:hAnsi="Arial"/>
          <w:sz w:val="17"/>
          <w:szCs w:val="17"/>
          <w:i w:val="1"/>
          <w:iCs w:val="1"/>
          <w:color w:val="auto"/>
        </w:rPr>
        <w:t xml:space="preserve"> </w:t>
      </w:r>
      <w:r>
        <w:rPr>
          <w:rFonts w:ascii="Arial" w:cs="Arial" w:eastAsia="Arial" w:hAnsi="Arial"/>
          <w:sz w:val="17"/>
          <w:szCs w:val="17"/>
          <w:color w:val="auto"/>
        </w:rPr>
        <w:t>and 2005 were principally due to increases in the volume of deposits and variable market rates on deposits. Average nominal interest rates paid on foreign currency-denominated deposits increased from 1.8% in 2004 to 1.9% in 2005, and further to 2.6% in 2006. Average nominal interest paid on Nuevo Sol-denominated deposits decreased from 2.1% in 2004 to 2.0% in 2005, but increased to 2.5% in 2006. The higher increase in the average nominal interest rate paid in foreign currency-denominated deposits indicates that there is still greater preference for dollar denominated deposits. See “Item 4. Information on the Company—(B) Business Overview—(8) Competition” and “—(12) Selected Statistical Information.”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1" w:name="page102"/>
    <w:bookmarkEnd w:id="101"/>
    <w:p>
      <w:pPr>
        <w:jc w:val="both"/>
        <w:ind w:firstLine="648"/>
        <w:spacing w:after="0" w:line="259" w:lineRule="auto"/>
        <w:rPr>
          <w:sz w:val="20"/>
          <w:szCs w:val="20"/>
          <w:color w:val="auto"/>
        </w:rPr>
      </w:pPr>
      <w:r>
        <w:rPr>
          <w:rFonts w:ascii="Arial" w:cs="Arial" w:eastAsia="Arial" w:hAnsi="Arial"/>
          <w:sz w:val="18"/>
          <w:szCs w:val="18"/>
          <w:color w:val="auto"/>
        </w:rPr>
        <w:t>Credicorp’s average foreign currency-denominated deposits increased 16.7% to US$5,820.1 million in 2006 from US$4,989.4 million in 2005, which in turn increased 24.9% from US$3,993.8 million in 2004. Credicorp’s average Nuevo Sol-denominated deposits increased 21.0% in 2006 to US$2,005.0 million from US$1,656.9 million in 2005, which in turn increased 57.4% from US$1,052.7 million in 2004. See “Item 4. Information on the Company—(B) Business Overview—(12) Selected Statistical Information.”</w:t>
      </w:r>
    </w:p>
    <w:p>
      <w:pPr>
        <w:spacing w:after="0" w:line="24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 xml:space="preserve">Net interest margin. </w:t>
      </w:r>
      <w:r>
        <w:rPr>
          <w:rFonts w:ascii="Arial" w:cs="Arial" w:eastAsia="Arial" w:hAnsi="Arial"/>
          <w:sz w:val="16"/>
          <w:szCs w:val="16"/>
          <w:color w:val="auto"/>
        </w:rPr>
        <w:t>Credicorp’s net interest margin (net interest income divided by average interest-earning assets) decreased to 4.64% in 2006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4.90% in 2005 and 2004 as returns declined on interest-earning assets, mainly securities and Nuevo Sol-denominated loans, while funding costs remained relatively unchanged. See ”Item 4. Information on the Company—(B) Business Overview—(12) Selected Statistical Information.”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classifies by risk category all of its loans and other credits.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in Credicorp’s reserve for loan losses: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w w:val="86"/>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gridSpan w:val="6"/>
          </w:tcPr>
          <w:p>
            <w:pPr>
              <w:jc w:val="right"/>
              <w:ind w:right="88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at the beginning of the year</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344,433</w:t>
            </w: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99,596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66,421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16,131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(6,356)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(4,243)</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Acquisitions and sales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122,841</w:t>
            </w:r>
          </w:p>
        </w:tc>
        <w:tc>
          <w:tcPr>
            <w:tcW w:w="120" w:type="dxa"/>
            <w:vAlign w:val="bottom"/>
            <w:shd w:val="clear" w:color="auto" w:fill="CCFFCC"/>
          </w:tcPr>
          <w:p>
            <w:pPr>
              <w:spacing w:after="0"/>
              <w:rPr>
                <w:sz w:val="21"/>
                <w:szCs w:val="21"/>
                <w:color w:val="auto"/>
              </w:rPr>
            </w:pP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(9,024)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Recoveries of write-offs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17,416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32,287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35,032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44,284</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Write-offs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(150,102)</w:t>
            </w:r>
          </w:p>
        </w:tc>
        <w:tc>
          <w:tcPr>
            <w:tcW w:w="12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(185,688)</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(105,267)</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(71,405)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(49,859)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Monetary Correction and Other</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(4,787)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4,497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2,045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at the End of the year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20" w:type="dxa"/>
            <w:vAlign w:val="bottom"/>
            <w:shd w:val="clear" w:color="auto" w:fill="CCFFCC"/>
          </w:tcPr>
          <w:p>
            <w:pPr>
              <w:spacing w:after="0"/>
              <w:rPr>
                <w:sz w:val="24"/>
                <w:szCs w:val="24"/>
                <w:color w:val="auto"/>
              </w:rPr>
            </w:pP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US$210,586</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Provisions for loan losses, charged against income net of recoveries, decreased 33.3% in 2006 (US$4.2 million). Total recoveries of write-offs reached US$44.3 and US$49.9 million, respectively, increasing 26.4% and decreasing 30.2% from 2005, respectively. Provision expense in 2006 included US$2.5 million required by BCB (compared to US$2.1 million in 2005). The lower provision expense in 2006 and 2005 was principally due to improved loan quality, particularly with respect to BCP’s loan portfolio, higher recoveries of charged-off accounts (mainly recoveries of clients of the retail group, which are small amounts recoveries) and a substantial improvement in the Peruvian economy. Balance of recoveries of previously charged-off accounts in 2006 amounted to US$44.3 million (compared to US$35.0 million in 2005). The middle market and small business sectors continued to require a majority of the provisions made during 2006 and 2005. Provisions net of recoveries for middle market and small businesses were US$16.8 million in 2006 and US$13.5 million in 2005.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Total reserves, which amounted to US$210.6 million in 2006, include the allowance for direct and indirect credits for approximately US$190.3 million and US$20.3 million, respectively.</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the increase in provisions were partly offset by write-offs of loans amounting to US$49.9 million in 2006, a 30.2% decrease from US$71.4 million in 2005, which in turn decreased 32.2% from US$105.3 million in 2004. The loans charged off are primarily attributable to the removal of loans that were fully provided for and considered unrecoverable (see “Item 4. Information on the Company—(B) Business Overview—(12) Selected Statistical Information—(iii) Loan Portfolio—Loan Loss Reserves”).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i w:val="1"/>
                <w:iCs w:val="1"/>
                <w:color w:val="auto"/>
              </w:rPr>
              <w:t>Noninterest income</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660"/>
              <w:spacing w:after="0"/>
              <w:rPr>
                <w:sz w:val="20"/>
                <w:szCs w:val="20"/>
                <w:color w:val="auto"/>
              </w:rPr>
            </w:pPr>
            <w:r>
              <w:rPr>
                <w:rFonts w:ascii="Arial" w:cs="Arial" w:eastAsia="Arial" w:hAnsi="Arial"/>
                <w:sz w:val="18"/>
                <w:szCs w:val="18"/>
                <w:color w:val="auto"/>
                <w:w w:val="97"/>
              </w:rPr>
              <w:t>The following table reflects the components of Credicorp’s noninterest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740" w:type="dxa"/>
            <w:vAlign w:val="bottom"/>
          </w:tcPr>
          <w:p>
            <w:pPr>
              <w:spacing w:after="0"/>
              <w:rPr>
                <w:sz w:val="24"/>
                <w:szCs w:val="24"/>
                <w:color w:val="auto"/>
              </w:rPr>
            </w:pPr>
          </w:p>
        </w:tc>
        <w:tc>
          <w:tcPr>
            <w:tcW w:w="34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w w:val="98"/>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80" w:type="dxa"/>
            <w:vAlign w:val="bottom"/>
            <w:gridSpan w:val="5"/>
          </w:tcPr>
          <w:p>
            <w:pPr>
              <w:ind w:left="1300"/>
              <w:spacing w:after="0"/>
              <w:rPr>
                <w:sz w:val="20"/>
                <w:szCs w:val="20"/>
                <w:color w:val="auto"/>
              </w:rPr>
            </w:pPr>
            <w:r>
              <w:rPr>
                <w:rFonts w:ascii="Arial" w:cs="Arial" w:eastAsia="Arial" w:hAnsi="Arial"/>
                <w:sz w:val="18"/>
                <w:szCs w:val="18"/>
                <w:i w:val="1"/>
                <w:iCs w:val="1"/>
                <w:color w:val="auto"/>
              </w:rPr>
              <w:t>(U.S. 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162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201,474</w:t>
            </w:r>
          </w:p>
        </w:tc>
        <w:tc>
          <w:tcPr>
            <w:tcW w:w="186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206,163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243,778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10,135</w:t>
            </w:r>
          </w:p>
        </w:tc>
        <w:tc>
          <w:tcPr>
            <w:tcW w:w="1380" w:type="dxa"/>
            <w:vAlign w:val="bottom"/>
          </w:tcPr>
          <w:p>
            <w:pPr>
              <w:jc w:val="right"/>
              <w:spacing w:after="0"/>
              <w:rPr>
                <w:sz w:val="20"/>
                <w:szCs w:val="20"/>
                <w:color w:val="auto"/>
              </w:rPr>
            </w:pPr>
            <w:r>
              <w:rPr>
                <w:rFonts w:ascii="Arial" w:cs="Arial" w:eastAsia="Arial" w:hAnsi="Arial"/>
                <w:sz w:val="18"/>
                <w:szCs w:val="18"/>
                <w:color w:val="auto"/>
              </w:rPr>
              <w:t>8,965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27,281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24,165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29,286</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41,638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8,105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21,571</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26,197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non-interest income</w:t>
            </w:r>
          </w:p>
        </w:tc>
        <w:tc>
          <w:tcPr>
            <w:tcW w:w="162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243,879</w:t>
            </w:r>
          </w:p>
        </w:tc>
        <w:tc>
          <w:tcPr>
            <w:tcW w:w="186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265,985</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338,894</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Credicorp’s noninterest income, without including net premiums earned, increased 27.4% to US$338.9 million in 2006 from US$266.0 million in 2005, which in turn increased 9.1% from US$243.9 million in 2004. Revenue increase in 2006 was principally due to an increase in fees and commissions from banking services, net gains from sales of securities and net gains on foreign exchange transactions.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Fees and commissions income from banking services increased 18.2% to US$243.8 million in 2006 from US$206.2 million in 2005, following a 2.3% increase in 2005 from US$201.5 million in 2004. The increase in fees and commissions income from banking services in 2006 was principally due to growth in account maintenance, credit card and debit card fees, commissions for money orders and transfers and current and saving accounts. In 2005, growth in fees and commissions income was principally due to growth in credit card fees, fund transfer fees and collections.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gains from sales of securities increased 204.3% to US$27.3 million in 2006 from US$9.0 million in 2005, following a decrease in 2005 from US$10.1 million in 2004. The increase in 2006 was principally due to gains from market value fluctuation on sales of investments due to high returns on the Lima Stock Exchange.</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gains on foreign exchange transactions increased 42.2% to US$41.6 million in 2006 from US$29.3 million in 2005, which in turn increased 21.2% from US$24.2 million in 2004. Net gains from foreign exchange transactions are not attributable to proprietary trading on the part of Credicorp. Higher gains in 2006 and 2005 were principally due to an increase in trading volume and higher spreads between buy and sell transactions.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21.4% to US$26.2 million in 2006 from US$21.6 million in 2005, after increasing 166.1% from US$8.1 million in 2004. Other income principally consists of sales of assets seized, recoveries of other accounts receivable and other assets and other income. The increase in other income in 2006 was mainly due to revenues from the sale of assets seized (a gain of US$9.2 million in 2006 compared to a gain of US$6.2 million in 2005), net of recoveries of other accounts receivable and other assets (US$1.8 million in 2006 compared to US$4.5 million in 2005). Other income returned to a more regular level in 2004, mainly due to losses on the sale of foreclosed assets and lower other income. See Note 23 to Credicorp’s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Credicorp’s insurance activities: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680" w:type="dxa"/>
            <w:vAlign w:val="bottom"/>
            <w:gridSpan w:val="5"/>
          </w:tcPr>
          <w:p>
            <w:pPr>
              <w:ind w:left="1380"/>
              <w:spacing w:after="0"/>
              <w:rPr>
                <w:sz w:val="20"/>
                <w:szCs w:val="20"/>
                <w:color w:val="auto"/>
              </w:rPr>
            </w:pPr>
            <w:r>
              <w:rPr>
                <w:rFonts w:ascii="Arial" w:cs="Arial" w:eastAsia="Arial" w:hAnsi="Arial"/>
                <w:sz w:val="18"/>
                <w:szCs w:val="18"/>
                <w:i w:val="1"/>
                <w:iCs w:val="1"/>
                <w:color w:val="auto"/>
              </w:rPr>
              <w:t>(U.S. 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premiums earned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192,672</w:t>
            </w:r>
          </w:p>
        </w:tc>
        <w:tc>
          <w:tcPr>
            <w:tcW w:w="2060" w:type="dxa"/>
            <w:vAlign w:val="bottom"/>
            <w:gridSpan w:val="3"/>
            <w:shd w:val="clear" w:color="auto" w:fill="CCFFCC"/>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218,955</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251,261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claims incurred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(34,791)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(42,569)</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(46,587)</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(119,534)</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(132,931)</w:t>
            </w:r>
          </w:p>
        </w:tc>
        <w:tc>
          <w:tcPr>
            <w:tcW w:w="4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(139,935)</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Total net premiums and claims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38,347</w:t>
            </w: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43,455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64,739</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premiums and claims show significant increases in 2006 compared to 2005 and in turn compared to 2004. See “Item 4. Information on the Company—(B) Business Overview—(6) Pacífico Peruano Suiza.” Net premiums increased 14.8% to US$251.3 million in 2006 from US$219.0 million in 2005.</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Premiums for general insurance lines, which accounted for 48.0% of total premiums, increased 3.2% in 2006 after a 7.8% increase in 2005.</w:t>
      </w:r>
    </w:p>
    <w:p>
      <w:pPr>
        <w:spacing w:after="0" w:line="2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premiums (including premium transfer and reserve adjustments) increased 3.8% to US$372.6 million in 2006 from US$359.0 million in 2005 after increasing 4.2% from 2004. The increase in 2006 was principally due to a 6.1% increase in the life and pension insurance lines which reached US$117.2 of gross premiums in 2006 compared to US$110.1 million in 2005. On the other hand, the increase in 2005 was due to a 7.8% increase in the general insurance lines. Security and property insurance (48.0% of total premiums) increased 3.2% in 2006 after increasing 7.8% in 2005. Furthermore, fire insurance (27.7% of total premiums) decreased 11.9% in 2006 after increasing 1.8% in 2005.</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Life insurance (31.0% of total premiums) increased 6.1% in 2006 after increasing 1.8% in 2005. The higher increase in 2006 was principally due to an increase in the volume in all life insurance branches except life annuities, which decreased 24.0% in 2006 due to conservative investment policies. Provisional insurance increased 28% in 2006, after an increase of 30% in 2005 and a decrease of 7% in 2004.</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2006, claims on insurance activities increased by 6.3% to US$186.5 million from US$175.5 million in 2005, mainly due to an increase in the total gross premiums. In 2005, net claims increased 13.7% from US$154.3 million in 2004 mainly due to an increase in claims in the marine hull business. However, the net loss ratio, defined as net claims paid as a percentage of net premiums earned, decreased to 72.0% in 2006 from 78.9% in 2005, and was similar to that of 2004 (72.4%).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i w:val="1"/>
                <w:iCs w:val="1"/>
                <w:color w:val="auto"/>
              </w:rPr>
              <w:t>Other Expenses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660"/>
              <w:spacing w:after="0"/>
              <w:rPr>
                <w:sz w:val="20"/>
                <w:szCs w:val="20"/>
                <w:color w:val="auto"/>
              </w:rPr>
            </w:pPr>
            <w:r>
              <w:rPr>
                <w:rFonts w:ascii="Arial" w:cs="Arial" w:eastAsia="Arial" w:hAnsi="Arial"/>
                <w:sz w:val="18"/>
                <w:szCs w:val="18"/>
                <w:color w:val="auto"/>
              </w:rPr>
              <w:t>The following table reflects the components of Credicorp’s other expenses: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6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ind w:left="1380"/>
              <w:spacing w:after="0"/>
              <w:rPr>
                <w:sz w:val="20"/>
                <w:szCs w:val="20"/>
                <w:color w:val="auto"/>
              </w:rPr>
            </w:pPr>
            <w:r>
              <w:rPr>
                <w:rFonts w:ascii="Arial" w:cs="Arial" w:eastAsia="Arial" w:hAnsi="Arial"/>
                <w:sz w:val="18"/>
                <w:szCs w:val="18"/>
                <w:i w:val="1"/>
                <w:iCs w:val="1"/>
                <w:color w:val="auto"/>
                <w:w w:val="98"/>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Salaries and employee benefits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202,729</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236,347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303,332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153,096</w:t>
            </w:r>
          </w:p>
        </w:tc>
        <w:tc>
          <w:tcPr>
            <w:tcW w:w="1380" w:type="dxa"/>
            <w:vAlign w:val="bottom"/>
          </w:tcPr>
          <w:p>
            <w:pPr>
              <w:jc w:val="right"/>
              <w:spacing w:after="0"/>
              <w:rPr>
                <w:sz w:val="20"/>
                <w:szCs w:val="20"/>
                <w:color w:val="auto"/>
              </w:rPr>
            </w:pPr>
            <w:r>
              <w:rPr>
                <w:rFonts w:ascii="Arial" w:cs="Arial" w:eastAsia="Arial" w:hAnsi="Arial"/>
                <w:sz w:val="18"/>
                <w:szCs w:val="18"/>
                <w:color w:val="auto"/>
              </w:rPr>
              <w:t>138,294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172,304</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46,595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38,728</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50,317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assets seized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14,639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42,869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46,745</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52,718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Merger costs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3,742</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other expenses and merger costs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463,670</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477,073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US$590,764</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Personnel expenses increased 28.3% in 2006 compared to 2005, after a 16.6% increase in 2005, compared to 2004. The number of Credicorp personnel increased to 11,532 in 2006 from 9,544 in 2005, which in turn increased from 9,558 in 2004. Considering only BCP, the number of personnel increased to 8,243 in 2006 from 7,568 in 2005, which in turn decreased from 7,694 in 2004. The increase in personnel expenses during 2006 was principally due to increases in salaries and stock appreciation rights (see Note 19 to the Credicorp Consolidated Financial Statements). Certain salaries are based on local currency, and therefore a revaluation of Nuevo Soles results in a higher amount when translated into U.S. Dollars.</w:t>
      </w: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Credicorp’s general and administrative expenses (which include taxes other than income taxes) increased 24.6% in 2006 compared to 2005, which in turn decreased 9.7% compared to 2004. Lower expenses in 2005 resulted from decreases in systems, maintenance and institutional expenses, while higher expenses in 2006 were principally the result of increases in marketing expenses for ad campaigns and customer loyalty-building programs, system expenses, such as maintenance, licenses and projects, and transportation expenses. Aditionally, after the merger with Unión Vida, Prima AFP incurred higher expenses in respect of its sales force. It is worth mentioning that Banco Tequendama was not consolidated into Credicorp’s financial statements as of March 2005.</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assets seized decreased 62.3% to US$6.4 million in 2006 from US$17.0 million in 2005. This decrease was due to higher rotation in seizing and sales of assets.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expenses increased 12.8% to US$52.7 million in 2006, after an increase of 9.0% in 2005, compared to 2004. Other expenses increased during 2006 principally due to commissions in insurance (US$25.6 million in 2006 compared to US$19.3 million in 2005) and sundry technical insurance expense (US$10.9 million in 2006 compared to US$8.2 million in 2005). In 2006, Credicorp recorded US$5.7 million as merger costs following the acquisition of AFP Unión Vida by Creditcorp Ltd.’s subsidiary Prima AFP.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translation result reflects exposure to revaluation of net monetary positions in Nuevo Soles. Credicorp recognized a US$15.2 million translation gain in 2006, a US$9.6 million translation loss in 2005 and a US$2.0 million translation loss in 2004. In 2006 translation gain was mainly due to gains recorded from exposure to the Nuevo Sol which strengthened against U.S. Dollar. In 2005, translation loss was the result of Credicorp’s net asset positions in Nuevo Soles weakening against the U.S. Dollar.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Peruvian subsidiaries, including BCP, are subject to corporate taxation on income under the Peruvian tax law. The statutory income tax rate payable in Peru in 2003 was 27% of taxable income, which includes the result of exposure to inflation. Since 2004, the statutory income tax rate payable in Peru is 30% of taxable profits. An additional 4.1% withholding tax is applied on dividends, which Credicorp registers as income tax based on the liquid amount received from BCP and PPS.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Peruvian tax legislation is applicable to legal entities established in Peru, and on an individual (not consolidated) basis. Credicorp’s non-Peruvian subsidiaries are not subject to taxation in Peru and their assets are not included in the calculation of the Peruvian extraordinary tax on net assets.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by Credicorp increased to US$83.6 million in 2006 from US$73.5 million in 2005, which in turn increased from US$45.5 million in 2004. Income tax growth in these periods reflects increases in Credicorp’s taxable income. Since 1994, Credicorp has paid the Peruvian income tax at the statutory rate. The effective tax rates in 2004, 2005 and 2006 were 24.32%, 27.40%, and 25.26%,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Financial Condition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2006, Credicorp had total assets of US$12.9 billion, increasing 16.7% compared to total assets of US$11.0 billion as of December 31, 2005, with cash and due from banks increasing 2.7%, investments increasing 21.7% and loans, net of provisions, increasing 19.1%. From December 31, 2005 through December 31, 2006, the Peruvian financial system grew 15.6% in terms of deposits and 23.9% in terms of total loans, comparing balances translated to U.S. Dollars, while GDP grew 8.0%. The ratio of financial intermediation, as measured by the sum of currency in circulation, bank deposits and other bank obligations to the public, divided by GDP, was 5.2% in 1990 and, although this ratio reached approximately 25.5% in 2001 and 2002, it declined to 23.1% in 2004, and in turn increased to 23.5% in 2005. In 2006, the ratio of financial intermediation decreased slightly to 22.6%. Although the ratio of financial intermediation is still below the 26.7% peak in the early 1970s, Credicorp expects the rate of growth in total assets to remain at moderate levels.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6" w:name="page107"/>
    <w:bookmarkEnd w:id="106"/>
    <w:p>
      <w:pPr>
        <w:jc w:val="both"/>
        <w:ind w:firstLine="648"/>
        <w:spacing w:after="0" w:line="279" w:lineRule="auto"/>
        <w:rPr>
          <w:sz w:val="20"/>
          <w:szCs w:val="20"/>
          <w:color w:val="auto"/>
        </w:rPr>
      </w:pPr>
      <w:r>
        <w:rPr>
          <w:rFonts w:ascii="Arial" w:cs="Arial" w:eastAsia="Arial" w:hAnsi="Arial"/>
          <w:sz w:val="17"/>
          <w:szCs w:val="17"/>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3.7% in 2004 to 1.9% in 2005 and further to 1.3% in 2006. BCP’s coverage ratios also improved significantly in recent years from 159.8% in 2004 to 207.7% in 2005 and further to 249.5% in 2006, despite lower increases in provisions due to improving loan portfolio quality.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2006, Credicorp’s total loans were US$5,927.1 million, which represented 46.0% of total assets, and net of reserves for loan losses, loans were US$5,736.8 million. As of December 31, 2005, Credicorp’s total loans were US$5,014.3 million, which represented 45.4% of total assets, and net of reserves for loan losses, loans were US$4,816.7 million. Credicorp’s total loans increased from December 31, 2005 to December 31, 2006 by 18.2%, and net of loan loss reserves by 19.1% in the same period.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total deposits with the Central Bank decreased from US$1,599.2 million as of December 31, 2005 to US$1,405.9 million as of December 31, 2006. Credicorp’s securities holdings (which include marketable securities and investments) increased 21.7% to US$3,495.8 million at December 31, 2006 from US$2,871.5 million at December 31, 2005. The securities portfolio increase in 2006 was principally due to increased investments in Central Bank certificates, corporate, leasing subordinated bonds and in treasury bonds of various governments.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2006, Credicorp had total liabilities of US$11.3 billion, a 16.5% increase from total liabilities of US$9.7 billion as of December 31, 2005. As of December 31, 2006, Credicorp had total deposits of US$8,839.0 million, a 24.6% increase from total deposits of US$7,093.4 million at December 31, 2005. Credicorp believes that its extensive branch network and reputation in the Peruvian market have allowed it to compete effectively for new deposits and to attract stable, low cost savings deposits.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Credicorp’s funding strategy has been structured around maintaining a diversified deposit base. During 2006, demand deposits grew by 55.0% and time deposits by 30.8%, while saving deposits decreased by 7.3%. As of December 31, 2006, Credicorp, through BCP unconsolidated, had 42.1% of total savings deposits in the Peruvian banking system, 43.6% of demand deposits and 36.2% of total deposits, the highest of any Peruvian bank in all three categories. An important characteristic of Credicorp’s deposit base is that, as of December 31, 2006, it included 57.2% of the entire Peruvian banking system’s CTS deposits, decreasing from 57.9% as of December 31, 2005. Credicorp believes that it traditionally has attracted a high percentage of the savings and CTS deposit market because of its reputation as a sound institution, its extensive branch network and the quality of its service. Credicorp’s core deposits (time, savings, CTS and demand deposits) accounted for 96.7% of its total deposits as of December 31, 2006.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b w:val="1"/>
          <w:bCs w:val="1"/>
          <w:color w:val="auto"/>
        </w:rPr>
        <w:t>(4) Reconciliation of Differences Between IFRS and U.S. GAAP</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Credicorp Consolidated Financial Statements have been prepared in accordance with IFRS, which differ in certain aspects respects from U.S. GAAP, as presented in Note 29, as restated, to the Consolidated Financial Statements. The principal differences between IFRS and U.S. GAAP, insofar as they relate to Credicorp, is that under IFRS changes in amortized cost of debt securities available-for-sale resulting from movements in foreign currency exchange rates are reflected in the income statement. Under U.S. GAAP (EITF 96-15, as amended by SFAS 133), changes in the amortized cost of instruments available-for-sale due to changes in foreign currency exchange rates are considered part of the changes in fair value and, as a result, recorded in “Other comprehensive income” in shareholder’s equity and transferred to income upon the maturity or sale of the instrument.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Another difference is that under IFRS, income tax is recorded in accordance with IAS12, “Income Taxes.” This provision requires the recognition of deferred taxes on income resulting from the differences in measurment of local currency converted into the functional currency, due to changes in exchange rates. Meanwhile, under U.S. GAAP, Credicorp follows guidelines established in SFAS 109 “Accounting for income taxes.” These guidelines do not permit recognition of deferred taxes on differences in assets and liabilities remeasured upon conversion from local currency into the functional currency as a result from changes in exchange rates. In prior years, the differences between IFRS and U.S. GAAP calculations have been immaterial and hence no reconciliation item has been reported for 2004 and 2005. In 2006, however, the amount of these differences amounted to US$5.1 million, as of December 31, 2006 (the amount from previous years amounted to US$1.4 million). This item is presented to reconcile the net income and the shareholder’s equity, see Note 29 (h) and (i) to the Credicorp Consolidated Financial Statements.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Another difference is the disclosure of minority interest in the balance sheet. Under IFRS, minority interest is disclosed as part of net equity while under U.S. GAAP it is disclosed between liabilities and shareholders’ equity. In the profit and loss statement, annual profit is disclosed in profit attributable to equity holders of the parent (US$230,013, US$181,885 and US$130,747 as of December 31, 2006, 2005 and 2004, respectively) and profit attributable to minority interests (US$17,252, US$12,968 and US$10,765 as of December 31, 2006, 2005 and 2004,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360" w:type="dxa"/>
            <w:vAlign w:val="bottom"/>
            <w:gridSpan w:val="5"/>
          </w:tcPr>
          <w:p>
            <w:pPr>
              <w:ind w:left="400"/>
              <w:spacing w:after="0"/>
              <w:rPr>
                <w:sz w:val="20"/>
                <w:szCs w:val="20"/>
                <w:color w:val="auto"/>
              </w:rPr>
            </w:pPr>
            <w:r>
              <w:rPr>
                <w:rFonts w:ascii="Arial" w:cs="Arial" w:eastAsia="Arial" w:hAnsi="Arial"/>
                <w:sz w:val="18"/>
                <w:szCs w:val="18"/>
                <w:b w:val="1"/>
                <w:bCs w:val="1"/>
                <w:color w:val="auto"/>
              </w:rPr>
              <w:t>Liquidity and Capital Resources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gridSpan w:val="5"/>
          </w:tcPr>
          <w:p>
            <w:pPr>
              <w:ind w:left="28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As of December 31,</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539,498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539,498</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539,498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Legal and other reserves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269,527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269,527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479,902</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46,767</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61,251</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37,281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Accepted Provisions for loan losses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43,946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49,169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58,562</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43,891</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31,276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140,086</w:t>
            </w:r>
          </w:p>
        </w:tc>
        <w:tc>
          <w:tcPr>
            <w:tcW w:w="0" w:type="dxa"/>
            <w:vAlign w:val="bottom"/>
          </w:tcPr>
          <w:p>
            <w:pPr>
              <w:spacing w:after="0"/>
              <w:rPr>
                <w:sz w:val="1"/>
                <w:szCs w:val="1"/>
                <w:color w:val="auto"/>
              </w:rPr>
            </w:pPr>
          </w:p>
        </w:tc>
      </w:tr>
      <w:tr>
        <w:trPr>
          <w:trHeight w:val="20"/>
        </w:trPr>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5"/>
          </w:tcPr>
          <w:p>
            <w:pPr>
              <w:ind w:left="12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943,629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950,721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1,255,329</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Less: investment in multilateral organizations, banks and insurance companies</w:t>
            </w:r>
          </w:p>
        </w:tc>
        <w:tc>
          <w:tcPr>
            <w:tcW w:w="16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(32,360)</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(35,697)</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60" w:type="dxa"/>
            <w:vAlign w:val="bottom"/>
            <w:gridSpan w:val="5"/>
          </w:tcPr>
          <w:p>
            <w:pPr>
              <w:ind w:left="120"/>
              <w:spacing w:after="0" w:line="256" w:lineRule="exact"/>
              <w:rPr>
                <w:sz w:val="20"/>
                <w:szCs w:val="20"/>
                <w:color w:val="auto"/>
              </w:rPr>
            </w:pPr>
            <w:r>
              <w:rPr>
                <w:rFonts w:ascii="Arial" w:cs="Arial" w:eastAsia="Arial" w:hAnsi="Arial"/>
                <w:sz w:val="18"/>
                <w:szCs w:val="18"/>
                <w:color w:val="auto"/>
              </w:rPr>
              <w:t>Total Regulatory Capital</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911,269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915,024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1,225,254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FFCC"/>
            </w:tcBorders>
            <w:shd w:val="clear" w:color="auto" w:fill="CCFFCC"/>
          </w:tcPr>
          <w:p>
            <w:pPr>
              <w:spacing w:after="0"/>
              <w:rPr>
                <w:sz w:val="19"/>
                <w:szCs w:val="19"/>
                <w:color w:val="auto"/>
              </w:rPr>
            </w:pPr>
          </w:p>
        </w:tc>
        <w:tc>
          <w:tcPr>
            <w:tcW w:w="2200" w:type="dxa"/>
            <w:vAlign w:val="bottom"/>
            <w:tcBorders>
              <w:bottom w:val="single" w:sz="8" w:color="auto"/>
            </w:tcBorders>
            <w:gridSpan w:val="2"/>
            <w:shd w:val="clear" w:color="auto" w:fill="CCFFCC"/>
          </w:tcPr>
          <w:p>
            <w:pPr>
              <w:spacing w:after="0" w:line="202" w:lineRule="exact"/>
              <w:rPr>
                <w:sz w:val="20"/>
                <w:szCs w:val="20"/>
                <w:color w:val="auto"/>
              </w:rPr>
            </w:pPr>
            <w:r>
              <w:rPr>
                <w:rFonts w:ascii="Arial" w:cs="Arial" w:eastAsia="Arial" w:hAnsi="Arial"/>
                <w:sz w:val="18"/>
                <w:szCs w:val="18"/>
                <w:color w:val="auto"/>
                <w:w w:val="89"/>
              </w:rPr>
              <w:t>Financial Entities Capital Ratio</w:t>
            </w:r>
          </w:p>
        </w:tc>
        <w:tc>
          <w:tcPr>
            <w:tcW w:w="4360" w:type="dxa"/>
            <w:vAlign w:val="bottom"/>
            <w:tcBorders>
              <w:bottom w:val="single" w:sz="8" w:color="CCFFCC"/>
            </w:tcBorders>
            <w:gridSpan w:val="4"/>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right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560" w:type="dxa"/>
            <w:vAlign w:val="bottom"/>
            <w:gridSpan w:val="6"/>
          </w:tcPr>
          <w:p>
            <w:pPr>
              <w:spacing w:after="0" w:line="256" w:lineRule="exact"/>
              <w:rPr>
                <w:sz w:val="20"/>
                <w:szCs w:val="20"/>
                <w:color w:val="auto"/>
              </w:rPr>
            </w:pPr>
            <w:r>
              <w:rPr>
                <w:rFonts w:ascii="Arial" w:cs="Arial" w:eastAsia="Arial" w:hAnsi="Arial"/>
                <w:sz w:val="18"/>
                <w:szCs w:val="18"/>
                <w:color w:val="auto"/>
              </w:rPr>
              <w:t>Regulatory Capital attributable to Financial Entities</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776,202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761,342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871,377</w:t>
            </w:r>
          </w:p>
        </w:tc>
        <w:tc>
          <w:tcPr>
            <w:tcW w:w="0" w:type="dxa"/>
            <w:vAlign w:val="bottom"/>
          </w:tcPr>
          <w:p>
            <w:pPr>
              <w:spacing w:after="0"/>
              <w:rPr>
                <w:sz w:val="1"/>
                <w:szCs w:val="1"/>
                <w:color w:val="auto"/>
              </w:rPr>
            </w:pPr>
          </w:p>
        </w:tc>
      </w:tr>
      <w:tr>
        <w:trPr>
          <w:trHeight w:val="257"/>
        </w:trPr>
        <w:tc>
          <w:tcPr>
            <w:tcW w:w="180" w:type="dxa"/>
            <w:vAlign w:val="bottom"/>
            <w:shd w:val="clear" w:color="auto" w:fill="CCFFCC"/>
          </w:tcPr>
          <w:p>
            <w:pPr>
              <w:spacing w:after="0"/>
              <w:rPr>
                <w:sz w:val="22"/>
                <w:szCs w:val="22"/>
                <w:color w:val="auto"/>
              </w:rPr>
            </w:pPr>
          </w:p>
        </w:tc>
        <w:tc>
          <w:tcPr>
            <w:tcW w:w="656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Risk-weighted Assets From Financial Entities</w:t>
            </w:r>
            <w:r>
              <w:rPr>
                <w:rFonts w:ascii="Arial" w:cs="Arial" w:eastAsia="Arial" w:hAnsi="Arial"/>
                <w:sz w:val="29"/>
                <w:szCs w:val="29"/>
                <w:color w:val="auto"/>
                <w:vertAlign w:val="superscript"/>
              </w:rPr>
              <w:t>(3)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5,529,440</w:t>
            </w:r>
          </w:p>
        </w:tc>
        <w:tc>
          <w:tcPr>
            <w:tcW w:w="220" w:type="dxa"/>
            <w:vAlign w:val="bottom"/>
            <w:tcBorders>
              <w:right w:val="single" w:sz="8" w:color="CCFFCC"/>
            </w:tcBorders>
            <w:shd w:val="clear" w:color="auto" w:fill="CCFFCC"/>
          </w:tcPr>
          <w:p>
            <w:pPr>
              <w:spacing w:after="0"/>
              <w:rPr>
                <w:sz w:val="22"/>
                <w:szCs w:val="22"/>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5,810,046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7,273,023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Capital Ratio for Financial Entities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14.04%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13.10%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2200" w:type="dxa"/>
            <w:vAlign w:val="bottom"/>
            <w:gridSpan w:val="2"/>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8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2"/>
              </w:rPr>
              <w:t>Minimum Regulatory Capital Required (MRCR)</w:t>
            </w:r>
          </w:p>
        </w:tc>
        <w:tc>
          <w:tcPr>
            <w:tcW w:w="1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3"/>
              </w:rPr>
              <w:t>(2)</w:t>
            </w:r>
          </w:p>
        </w:tc>
        <w:tc>
          <w:tcPr>
            <w:tcW w:w="288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3500" w:type="dxa"/>
            <w:vAlign w:val="bottom"/>
            <w:gridSpan w:val="3"/>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88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shd w:val="clear" w:color="auto" w:fill="CCFFCC"/>
          </w:tcPr>
          <w:p>
            <w:pPr>
              <w:spacing w:after="0"/>
              <w:rPr>
                <w:sz w:val="22"/>
                <w:szCs w:val="22"/>
                <w:color w:val="auto"/>
              </w:rPr>
            </w:pPr>
          </w:p>
        </w:tc>
        <w:tc>
          <w:tcPr>
            <w:tcW w:w="656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MRCR for Financial Entities</w:t>
            </w:r>
            <w:r>
              <w:rPr>
                <w:rFonts w:ascii="Arial" w:cs="Arial" w:eastAsia="Arial" w:hAnsi="Arial"/>
                <w:sz w:val="29"/>
                <w:szCs w:val="29"/>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499,512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559,074</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560" w:type="dxa"/>
            <w:vAlign w:val="bottom"/>
            <w:gridSpan w:val="6"/>
          </w:tcPr>
          <w:p>
            <w:pPr>
              <w:spacing w:after="0" w:line="256" w:lineRule="exact"/>
              <w:rPr>
                <w:sz w:val="20"/>
                <w:szCs w:val="20"/>
                <w:color w:val="auto"/>
              </w:rPr>
            </w:pPr>
            <w:r>
              <w:rPr>
                <w:rFonts w:ascii="Arial" w:cs="Arial" w:eastAsia="Arial" w:hAnsi="Arial"/>
                <w:sz w:val="18"/>
                <w:szCs w:val="18"/>
                <w:color w:val="auto"/>
              </w:rPr>
              <w:t>MRCR for Insurance Entities</w:t>
            </w:r>
            <w:r>
              <w:rPr>
                <w:rFonts w:ascii="Arial" w:cs="Arial" w:eastAsia="Arial" w:hAnsi="Arial"/>
                <w:sz w:val="29"/>
                <w:szCs w:val="29"/>
                <w:color w:val="auto"/>
                <w:vertAlign w:val="superscript"/>
              </w:rPr>
              <w:t>(3)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42,110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88,019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100,447</w:t>
            </w:r>
          </w:p>
        </w:tc>
        <w:tc>
          <w:tcPr>
            <w:tcW w:w="0" w:type="dxa"/>
            <w:vAlign w:val="bottom"/>
          </w:tcPr>
          <w:p>
            <w:pPr>
              <w:spacing w:after="0"/>
              <w:rPr>
                <w:sz w:val="1"/>
                <w:szCs w:val="1"/>
                <w:color w:val="auto"/>
              </w:rPr>
            </w:pPr>
          </w:p>
        </w:tc>
      </w:tr>
      <w:tr>
        <w:trPr>
          <w:trHeight w:val="284"/>
        </w:trPr>
        <w:tc>
          <w:tcPr>
            <w:tcW w:w="180" w:type="dxa"/>
            <w:vAlign w:val="bottom"/>
            <w:shd w:val="clear" w:color="auto" w:fill="CCFFCC"/>
          </w:tcPr>
          <w:p>
            <w:pPr>
              <w:spacing w:after="0"/>
              <w:rPr>
                <w:sz w:val="24"/>
                <w:szCs w:val="24"/>
                <w:color w:val="auto"/>
              </w:rPr>
            </w:pPr>
          </w:p>
        </w:tc>
        <w:tc>
          <w:tcPr>
            <w:tcW w:w="6560" w:type="dxa"/>
            <w:vAlign w:val="bottom"/>
            <w:gridSpan w:val="6"/>
            <w:shd w:val="clear" w:color="auto" w:fill="CCFFCC"/>
          </w:tcPr>
          <w:p>
            <w:pPr>
              <w:spacing w:after="0" w:line="284" w:lineRule="exact"/>
              <w:rPr>
                <w:sz w:val="20"/>
                <w:szCs w:val="20"/>
                <w:color w:val="auto"/>
              </w:rPr>
            </w:pPr>
            <w:r>
              <w:rPr>
                <w:rFonts w:ascii="Arial" w:cs="Arial" w:eastAsia="Arial" w:hAnsi="Arial"/>
                <w:sz w:val="18"/>
                <w:szCs w:val="18"/>
                <w:color w:val="auto"/>
              </w:rPr>
              <w:t>MRCR for Other Entities</w:t>
            </w:r>
            <w:r>
              <w:rPr>
                <w:rFonts w:ascii="Arial" w:cs="Arial" w:eastAsia="Arial" w:hAnsi="Arial"/>
                <w:sz w:val="30"/>
                <w:szCs w:val="30"/>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31,536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101,348</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0"/>
        </w:trPr>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Total Minimum Regulatory Capital Required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573,158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748,441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850,959</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160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158.99%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122.26%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224"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Minimum Regulatory Capital Required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3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has a MRCR of 9.09% of the Risk-Weighted Assets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3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Credicorp’s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9" w:name="page110"/>
    <w:bookmarkEnd w:id="109"/>
    <w:p>
      <w:pPr>
        <w:jc w:val="both"/>
        <w:ind w:firstLine="648"/>
        <w:spacing w:after="0" w:line="271" w:lineRule="auto"/>
        <w:rPr>
          <w:sz w:val="20"/>
          <w:szCs w:val="20"/>
          <w:color w:val="auto"/>
        </w:rPr>
      </w:pPr>
      <w:r>
        <w:rPr>
          <w:rFonts w:ascii="Arial" w:cs="Arial" w:eastAsia="Arial" w:hAnsi="Arial"/>
          <w:sz w:val="17"/>
          <w:szCs w:val="17"/>
          <w:color w:val="auto"/>
        </w:rPr>
        <w:t>The growth of Credicorp’s deposit base over the past years has enabled Credicorp to increase significantly its lending activity. BCP is subject to SBS Resolution No. 622-98, enacted in July 1998,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2006 were 56.91% and 51.99% for Nuevos Soles and foreign exchange-based transactions, respectively (45.2% and 57.8%, respectively, in December 2005), demonstrating Credicorp’s continuing excess liquidity. Credicorp has never defaulted on any of its debt or been forced to reschedule any of its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Group and ASHC’s Private Banking Group, and premiums and amounts earned on invested assets at PPS. Credicorp believes that funds from its deposit-taking operations generally will continue to meet Credicorp’s liquidity needs for the foreseeable future.</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Group has developed a diversified and stable deposit base and the Private Banking Group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time deposits and CTS deposits. Other sources of funds and liquidity, mostly short- and long-term borrowings from correspondent banks and other financial institutions, issued bonds and subordinated debt, are of a considerably lower significance compared to Credicorp’s core deposits. See Notes 13 and 14 to Credicorp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0" w:name="page111"/>
    <w:bookmarkEnd w:id="110"/>
    <w:p>
      <w:pPr>
        <w:ind w:left="820"/>
        <w:spacing w:after="0"/>
        <w:rPr>
          <w:sz w:val="20"/>
          <w:szCs w:val="20"/>
          <w:color w:val="auto"/>
        </w:rPr>
      </w:pPr>
      <w:r>
        <w:rPr>
          <w:rFonts w:ascii="Arial" w:cs="Arial" w:eastAsia="Arial" w:hAnsi="Arial"/>
          <w:sz w:val="18"/>
          <w:szCs w:val="18"/>
          <w:color w:val="auto"/>
        </w:rPr>
        <w:t>The following table presents Credicorp’s core deposits, other deposits and other sources of funds: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2"/>
              </w:rPr>
              <w:t>At December 31,</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360" w:type="dxa"/>
            <w:vAlign w:val="bottom"/>
            <w:gridSpan w:val="5"/>
          </w:tcPr>
          <w:p>
            <w:pPr>
              <w:jc w:val="center"/>
              <w:ind w:left="1210"/>
              <w:spacing w:after="0"/>
              <w:rPr>
                <w:sz w:val="20"/>
                <w:szCs w:val="20"/>
                <w:color w:val="auto"/>
              </w:rPr>
            </w:pPr>
            <w:r>
              <w:rPr>
                <w:rFonts w:ascii="Arial" w:cs="Arial" w:eastAsia="Arial" w:hAnsi="Arial"/>
                <w:sz w:val="18"/>
                <w:szCs w:val="18"/>
                <w:i w:val="1"/>
                <w:iCs w:val="1"/>
                <w:color w:val="auto"/>
                <w:w w:val="92"/>
              </w:rPr>
              <w:t>(U.S. Dollars in thousands)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Core Deposits</w:t>
            </w: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Demand deposits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1,750,277</w:t>
            </w: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1,801,314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2,792,433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Savings deposits</w:t>
            </w:r>
          </w:p>
        </w:tc>
        <w:tc>
          <w:tcPr>
            <w:tcW w:w="1360" w:type="dxa"/>
            <w:vAlign w:val="bottom"/>
          </w:tcPr>
          <w:p>
            <w:pPr>
              <w:jc w:val="right"/>
              <w:spacing w:after="0"/>
              <w:rPr>
                <w:sz w:val="20"/>
                <w:szCs w:val="20"/>
                <w:color w:val="auto"/>
              </w:rPr>
            </w:pPr>
            <w:r>
              <w:rPr>
                <w:rFonts w:ascii="Arial" w:cs="Arial" w:eastAsia="Arial" w:hAnsi="Arial"/>
                <w:sz w:val="18"/>
                <w:szCs w:val="18"/>
                <w:color w:val="auto"/>
              </w:rPr>
              <w:t>1,583,502</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2,105,364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1,951,978</w:t>
            </w: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Severance indemnity deposits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530,683</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654,791</w:t>
            </w:r>
          </w:p>
        </w:tc>
        <w:tc>
          <w:tcPr>
            <w:tcW w:w="2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775,027</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Total core deposits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3,864,462</w:t>
            </w:r>
          </w:p>
        </w:tc>
        <w:tc>
          <w:tcPr>
            <w:tcW w:w="1780" w:type="dxa"/>
            <w:vAlign w:val="bottom"/>
            <w:gridSpan w:val="3"/>
          </w:tcPr>
          <w:p>
            <w:pPr>
              <w:ind w:left="3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4,561,469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5,519,438</w:t>
            </w:r>
          </w:p>
        </w:tc>
      </w:tr>
      <w:tr>
        <w:trPr>
          <w:trHeight w:val="243"/>
        </w:trPr>
        <w:tc>
          <w:tcPr>
            <w:tcW w:w="67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Other Deposits</w:t>
            </w: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Time deposits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2,352,200</w:t>
            </w: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2,459,907</w:t>
            </w: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180" w:type="dxa"/>
            <w:vAlign w:val="bottom"/>
            <w:shd w:val="clear" w:color="auto" w:fill="CCFFCC"/>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Bank certificates</w:t>
            </w:r>
          </w:p>
        </w:tc>
        <w:tc>
          <w:tcPr>
            <w:tcW w:w="1360" w:type="dxa"/>
            <w:vAlign w:val="bottom"/>
          </w:tcPr>
          <w:p>
            <w:pPr>
              <w:jc w:val="right"/>
              <w:spacing w:after="0"/>
              <w:rPr>
                <w:sz w:val="20"/>
                <w:szCs w:val="20"/>
                <w:color w:val="auto"/>
              </w:rPr>
            </w:pPr>
            <w:r>
              <w:rPr>
                <w:rFonts w:ascii="Arial" w:cs="Arial" w:eastAsia="Arial" w:hAnsi="Arial"/>
                <w:sz w:val="18"/>
                <w:szCs w:val="18"/>
                <w:color w:val="auto"/>
              </w:rPr>
              <w:t>54,310</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46,378</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61,539</w:t>
            </w:r>
          </w:p>
        </w:tc>
      </w:tr>
      <w:tr>
        <w:trPr>
          <w:trHeight w:val="20"/>
        </w:trPr>
        <w:tc>
          <w:tcPr>
            <w:tcW w:w="6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 deposits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6,270,972</w:t>
            </w:r>
          </w:p>
        </w:tc>
        <w:tc>
          <w:tcPr>
            <w:tcW w:w="220" w:type="dxa"/>
            <w:vAlign w:val="bottom"/>
            <w:shd w:val="clear" w:color="auto" w:fill="CCFFCC"/>
          </w:tcPr>
          <w:p>
            <w:pPr>
              <w:spacing w:after="0"/>
              <w:rPr>
                <w:sz w:val="22"/>
                <w:szCs w:val="22"/>
                <w:color w:val="auto"/>
              </w:rPr>
            </w:pP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7,067,754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8,799,134</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to banks and correspondents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431,052</w:t>
            </w: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1,303,371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941,601</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Issued bonds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423,977</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429,224</w:t>
            </w:r>
          </w:p>
        </w:tc>
        <w:tc>
          <w:tcPr>
            <w:tcW w:w="220" w:type="dxa"/>
            <w:vAlign w:val="bottom"/>
            <w:shd w:val="clear" w:color="auto" w:fill="CCFFCC"/>
          </w:tcPr>
          <w:p>
            <w:pPr>
              <w:spacing w:after="0"/>
              <w:rPr>
                <w:sz w:val="23"/>
                <w:szCs w:val="23"/>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512,572</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 sources of liquid funds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7,126,001</w:t>
            </w: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8,800,349</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w w:val="93"/>
              </w:rPr>
              <w:t>US$</w:t>
            </w:r>
            <w:r>
              <w:rPr>
                <w:rFonts w:ascii="Arial" w:cs="Arial" w:eastAsia="Arial" w:hAnsi="Arial"/>
                <w:sz w:val="17"/>
                <w:szCs w:val="17"/>
                <w:color w:val="auto"/>
                <w:w w:val="93"/>
              </w:rPr>
              <w:t>10,253,307</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Core deposits as a percent of total deposits</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61.6%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64.5%</w:t>
            </w:r>
          </w:p>
        </w:tc>
        <w:tc>
          <w:tcPr>
            <w:tcW w:w="2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62.7%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51.8%</w:t>
            </w: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53.8%</w:t>
            </w:r>
          </w:p>
        </w:tc>
      </w:tr>
    </w:tbl>
    <w:p>
      <w:pPr>
        <w:spacing w:after="0" w:line="200" w:lineRule="exact"/>
        <w:rPr>
          <w:sz w:val="20"/>
          <w:szCs w:val="20"/>
          <w:color w:val="auto"/>
        </w:rPr>
      </w:pPr>
    </w:p>
    <w:p>
      <w:pPr>
        <w:spacing w:after="0" w:line="326" w:lineRule="exact"/>
        <w:rPr>
          <w:sz w:val="20"/>
          <w:szCs w:val="20"/>
          <w:color w:val="auto"/>
        </w:rPr>
      </w:pPr>
    </w:p>
    <w:p>
      <w:pPr>
        <w:jc w:val="both"/>
        <w:ind w:firstLine="693"/>
        <w:spacing w:after="0" w:line="257" w:lineRule="auto"/>
        <w:rPr>
          <w:sz w:val="20"/>
          <w:szCs w:val="20"/>
          <w:color w:val="auto"/>
        </w:rPr>
      </w:pPr>
      <w:r>
        <w:rPr>
          <w:rFonts w:ascii="Arial" w:cs="Arial" w:eastAsia="Arial" w:hAnsi="Arial"/>
          <w:sz w:val="18"/>
          <w:szCs w:val="18"/>
          <w:color w:val="auto"/>
        </w:rPr>
        <w:t>BCP is required to keep deposits with the Central Bank, as legal reserves, determined as a percentage of the deposits and other liabilities owed to its clients. The requirement is currently approximately 6.0% of Nuevos Soles-denominated deposits and approximately 32.7% of U.S. Dollar-denominated deposits.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Credicorp’s deposits at the Central Bank, and its investments in Central Bank certificates: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0"/>
              </w:rPr>
              <w:t>At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20" w:type="dxa"/>
            <w:vAlign w:val="bottom"/>
            <w:gridSpan w:val="5"/>
          </w:tcPr>
          <w:p>
            <w:pPr>
              <w:jc w:val="center"/>
              <w:ind w:left="119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Funds at Central Bank</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Deposits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1,100,450</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1,599,153</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US$</w:t>
            </w:r>
            <w:r>
              <w:rPr>
                <w:rFonts w:ascii="Arial" w:cs="Arial" w:eastAsia="Arial" w:hAnsi="Arial"/>
                <w:sz w:val="17"/>
                <w:szCs w:val="17"/>
                <w:color w:val="auto"/>
                <w:w w:val="97"/>
              </w:rPr>
              <w:t>1,405,853</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Certificates of deposits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682,418</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554,530</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US$</w:t>
            </w:r>
            <w:r>
              <w:rPr>
                <w:rFonts w:ascii="Arial" w:cs="Arial" w:eastAsia="Arial" w:hAnsi="Arial"/>
                <w:sz w:val="17"/>
                <w:szCs w:val="17"/>
                <w:color w:val="auto"/>
                <w:w w:val="97"/>
              </w:rPr>
              <w:t>1,110,002</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BCRP-Repo Transactions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591,285</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167,611</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 funds at Central Bank</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1,782,868</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2,744,968</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w w:val="97"/>
              </w:rPr>
              <w:t>US$</w:t>
            </w:r>
            <w:r>
              <w:rPr>
                <w:rFonts w:ascii="Arial" w:cs="Arial" w:eastAsia="Arial" w:hAnsi="Arial"/>
                <w:sz w:val="17"/>
                <w:szCs w:val="17"/>
                <w:color w:val="auto"/>
                <w:w w:val="97"/>
              </w:rPr>
              <w:t>2,683,466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1" w:name="page112"/>
    <w:bookmarkEnd w:id="111"/>
    <w:p>
      <w:pPr>
        <w:jc w:val="both"/>
        <w:ind w:firstLine="648"/>
        <w:spacing w:after="0" w:line="271" w:lineRule="auto"/>
        <w:rPr>
          <w:sz w:val="20"/>
          <w:szCs w:val="20"/>
          <w:color w:val="auto"/>
        </w:rPr>
      </w:pPr>
      <w:r>
        <w:rPr>
          <w:rFonts w:ascii="Arial" w:cs="Arial" w:eastAsia="Arial" w:hAnsi="Arial"/>
          <w:sz w:val="17"/>
          <w:szCs w:val="17"/>
          <w:color w:val="auto"/>
        </w:rPr>
        <w:t>At December 31, 2006, Credicorp had uncommitted credit lines with various banks, including long-term facilities that are mainly used for project financing, of which no significant amount was drawn down. The long-term facilities include funding from COFIDE, Banco Interamericano de Desarrollo (Inter-American Development Bank or IDB) and other international lenders. The transactions relating to these credit lines include import and export transactions and average annual rates (including Libor) vary from 5.65% to 7.90%. In 1998 and 2001, a total of approximately US$200 million of funding was received through the securitization of certain credit card receivables and diversified payment rights, with BCP as the originator of such assets. As of December 31, 2005, the funding received in 1998 was paid off and the funding received in 2001 was pre-paid with the proceeds of new securitization of diversified payment rights, which amounted to US$280.0 million. See Note 14(b) to the Credicorp Consolidated Financial Statements. As of December 31, 2006, borrowed funds amounted to US$941.6 million as compared to US$1,303.4 million in 2005 and US$429.4 million in 2004.</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2006, BCP had US$23.6 million of outstanding mortgage bonds and notes (US$27.6 million in 2005 and US$28.4 million in 2004). A source of funds specific to leasing operations are leasing bonds issued by lease financing companies, the terms of which are specified in the Peruvian leasing regulations. As of December 31, 2006, BCP had US$178.0 million of outstanding leasing bonds (US$219.6 million in 2005 and US$220.5 million in 2004). These bonds have maturities extending from three to five years and bear the same interest as 360-day time deposits. See Note 16 to the Credicorp Consolidated Financial Statements for a detailed breakdown of Credicorp’s issued bonds.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The following table presents Credicorp’s issued bonds:</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3600" w:type="dxa"/>
            <w:vAlign w:val="bottom"/>
            <w:tcBorders>
              <w:bottom w:val="single" w:sz="8" w:color="auto"/>
            </w:tcBorders>
            <w:gridSpan w:val="6"/>
          </w:tcPr>
          <w:p>
            <w:pPr>
              <w:jc w:val="center"/>
              <w:ind w:left="1050"/>
              <w:spacing w:after="0"/>
              <w:rPr>
                <w:sz w:val="20"/>
                <w:szCs w:val="20"/>
                <w:color w:val="auto"/>
              </w:rPr>
            </w:pPr>
            <w:r>
              <w:rPr>
                <w:rFonts w:ascii="Arial" w:cs="Arial" w:eastAsia="Arial" w:hAnsi="Arial"/>
                <w:sz w:val="18"/>
                <w:szCs w:val="18"/>
                <w:b w:val="1"/>
                <w:bCs w:val="1"/>
                <w:color w:val="auto"/>
                <w:w w:val="88"/>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gridSpan w:val="4"/>
          </w:tcPr>
          <w:p>
            <w:pPr>
              <w:jc w:val="center"/>
              <w:ind w:right="280"/>
              <w:spacing w:after="0"/>
              <w:rPr>
                <w:sz w:val="20"/>
                <w:szCs w:val="20"/>
                <w:color w:val="auto"/>
              </w:rPr>
            </w:pPr>
            <w:r>
              <w:rPr>
                <w:rFonts w:ascii="Arial" w:cs="Arial" w:eastAsia="Arial" w:hAnsi="Arial"/>
                <w:sz w:val="18"/>
                <w:szCs w:val="18"/>
                <w:i w:val="1"/>
                <w:iCs w:val="1"/>
                <w:color w:val="auto"/>
                <w:w w:val="94"/>
              </w:rPr>
              <w:t>(U.S. Dollars 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Issued bonds</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Corporate Bonds</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35.2</w:t>
            </w:r>
          </w:p>
        </w:tc>
        <w:tc>
          <w:tcPr>
            <w:tcW w:w="200" w:type="dxa"/>
            <w:vAlign w:val="bottom"/>
            <w:shd w:val="clear" w:color="auto" w:fill="CCFFCC"/>
          </w:tcPr>
          <w:p>
            <w:pPr>
              <w:spacing w:after="0"/>
              <w:rPr>
                <w:sz w:val="23"/>
                <w:szCs w:val="23"/>
                <w:color w:val="auto"/>
              </w:rPr>
            </w:pPr>
          </w:p>
        </w:tc>
        <w:tc>
          <w:tcPr>
            <w:tcW w:w="1980" w:type="dxa"/>
            <w:vAlign w:val="bottom"/>
            <w:gridSpan w:val="3"/>
            <w:shd w:val="clear" w:color="auto" w:fill="CCFFCC"/>
          </w:tcPr>
          <w:p>
            <w:pPr>
              <w:ind w:left="7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35.0</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Leasing Bonds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Subordinated debt</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Total issuance</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49.3</w:t>
            </w:r>
          </w:p>
        </w:tc>
        <w:tc>
          <w:tcPr>
            <w:tcW w:w="200" w:type="dxa"/>
            <w:vAlign w:val="bottom"/>
          </w:tcPr>
          <w:p>
            <w:pPr>
              <w:spacing w:after="0"/>
              <w:rPr>
                <w:sz w:val="23"/>
                <w:szCs w:val="23"/>
                <w:color w:val="auto"/>
              </w:rPr>
            </w:pPr>
          </w:p>
        </w:tc>
        <w:tc>
          <w:tcPr>
            <w:tcW w:w="1980" w:type="dxa"/>
            <w:vAlign w:val="bottom"/>
            <w:gridSpan w:val="3"/>
          </w:tcPr>
          <w:p>
            <w:pPr>
              <w:ind w:left="74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75.0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167.2</w:t>
            </w:r>
          </w:p>
        </w:tc>
      </w:tr>
    </w:tbl>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August, 2006, the Board or Directors of BCP approved the issuance on local and international markets of subordinated debt of up to US$175 million, with a view to meeting the requirement of the regulatory capital of BCP in Peru. The issuance was partly realized in 2006 and will continue in 2007.</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Thus, in November 2006, BCP, through its Panama branch, issued on the international market subordinated negotiable certificates notes due 2021 in the aggregate amount of US$120 million. These Notes accrue a fixed annual interest rate of 6.95% for the first 10 years (until November 2016), with interest payments every six months. After the first 10 years, the interest rate will change to a variable interest rate, established as Libor plus 2.79%, with quarterly interest payments. At the end of the first 10 years, the Bank can redeem 100% of the debt without penalty. This subordinated debt certificates include certain financial and operating covenants. In Credicorp management’s opinion, BCP is not in violation of any of these covenants as of the date of the consolidated balance sheet date.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2" w:name="page113"/>
    <w:bookmarkEnd w:id="112"/>
    <w:p>
      <w:pPr>
        <w:jc w:val="both"/>
        <w:ind w:firstLine="648"/>
        <w:spacing w:after="0" w:line="277" w:lineRule="auto"/>
        <w:rPr>
          <w:sz w:val="20"/>
          <w:szCs w:val="20"/>
          <w:color w:val="auto"/>
        </w:rPr>
      </w:pPr>
      <w:r>
        <w:rPr>
          <w:rFonts w:ascii="Arial" w:cs="Arial" w:eastAsia="Arial" w:hAnsi="Arial"/>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38" w:lineRule="exact"/>
        <w:rPr>
          <w:sz w:val="20"/>
          <w:szCs w:val="20"/>
          <w:color w:val="auto"/>
        </w:rPr>
      </w:pPr>
    </w:p>
    <w:p>
      <w:pPr>
        <w:ind w:left="660" w:right="6580" w:hanging="652"/>
        <w:spacing w:after="0" w:line="563" w:lineRule="auto"/>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expects that 2007 will continue the positive trend in light of the trust in the current government’s economic and monetary policies, the strengthening domestic demand and the positive international environment. In particular, Credicorp expects that financial income will increase, mainly as a result of prioritizing retail operations with individuals and small companies. In addition, credit risk is expected to remain low and provision expense from loan losses is expected to remain low due to continued improvement of portfolio quality. See “Item 4. Information on the Company—(B) Business Overview—(1) Introduction - Review of 2006” and “—(2) Strategy.”</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Bolivia, Credicorp expects that BCB will continue to increase its profitability as a result of increased deposits and loans and the expansion into the personal banking niche. The economic policies of the new Bolivian government, however, may impair business conditions in the country and negatively affect BCB’s financial results.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expects that in 2007, ASHC will maintain its low-risk investment strategy. Credicorp expects continued growth of the assets under management.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its insurance business, Credicorp expects to complete the restructuring started in 2006. In addition, new mass products are expected to be launched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2007.</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Prima AFP is expected to continue to grow in terms of customers and affiliations. In 2006, such growth was reflected in 115,000 new customers from transfers and 23,000 customers for affiliations due to the merger with AFP Unión.</w:t>
      </w:r>
    </w:p>
    <w:p>
      <w:pPr>
        <w:spacing w:after="0" w:line="22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the notional amount of short-term market movements in the equity and bond markets and in currency and interest rates, in the case of derivatives and swaps.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The following table reflects Credicorp’s off-balance sheet arrangements as of December 31, 2004, 2005 and 2006:</w:t>
      </w:r>
    </w:p>
    <w:p>
      <w:pPr>
        <w:spacing w:after="0" w:line="31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3" w:lineRule="exact"/>
        <w:rPr>
          <w:sz w:val="20"/>
          <w:szCs w:val="20"/>
          <w:color w:val="auto"/>
        </w:rPr>
      </w:pPr>
    </w:p>
    <w:p>
      <w:pPr>
        <w:jc w:val="both"/>
        <w:ind w:left="7320"/>
        <w:spacing w:after="0"/>
        <w:tabs>
          <w:tab w:leader="none" w:pos="8900" w:val="left"/>
          <w:tab w:leader="none" w:pos="10500" w:val="left"/>
        </w:tabs>
        <w:rPr>
          <w:sz w:val="20"/>
          <w:szCs w:val="20"/>
          <w:color w:val="auto"/>
        </w:rPr>
      </w:pPr>
      <w:r>
        <w:rPr>
          <w:rFonts w:ascii="Arial" w:cs="Arial" w:eastAsia="Arial" w:hAnsi="Arial"/>
          <w:sz w:val="18"/>
          <w:szCs w:val="18"/>
          <w:b w:val="1"/>
          <w:bCs w:val="1"/>
          <w:color w:val="auto"/>
        </w:rPr>
        <w:t>2004</w:t>
      </w:r>
      <w:r>
        <w:rPr>
          <w:sz w:val="20"/>
          <w:szCs w:val="20"/>
          <w:color w:val="auto"/>
        </w:rPr>
        <w:tab/>
      </w:r>
      <w:r>
        <w:rPr>
          <w:rFonts w:ascii="Arial" w:cs="Arial" w:eastAsia="Arial" w:hAnsi="Arial"/>
          <w:sz w:val="18"/>
          <w:szCs w:val="18"/>
          <w:b w:val="1"/>
          <w:bCs w:val="1"/>
          <w:color w:val="auto"/>
        </w:rPr>
        <w:t>2005</w:t>
      </w:r>
      <w:r>
        <w:rPr>
          <w:sz w:val="20"/>
          <w:szCs w:val="20"/>
          <w:color w:val="auto"/>
        </w:rPr>
        <w:tab/>
      </w:r>
      <w:r>
        <w:rPr>
          <w:rFonts w:ascii="Arial" w:cs="Arial" w:eastAsia="Arial" w:hAnsi="Arial"/>
          <w:sz w:val="16"/>
          <w:szCs w:val="16"/>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26035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1" w:lineRule="exact"/>
        <w:rPr>
          <w:sz w:val="20"/>
          <w:szCs w:val="20"/>
          <w:color w:val="auto"/>
        </w:rPr>
      </w:pPr>
    </w:p>
    <w:p>
      <w:pPr>
        <w:ind w:left="8100"/>
        <w:spacing w:after="0"/>
        <w:rPr>
          <w:sz w:val="20"/>
          <w:szCs w:val="20"/>
          <w:color w:val="auto"/>
        </w:rPr>
      </w:pPr>
      <w:r>
        <w:rPr>
          <w:rFonts w:ascii="Arial" w:cs="Arial" w:eastAsia="Arial" w:hAnsi="Arial"/>
          <w:sz w:val="18"/>
          <w:szCs w:val="18"/>
          <w:i w:val="1"/>
          <w:iCs w:val="1"/>
          <w:color w:val="auto"/>
        </w:rPr>
        <w:t>(U.S. Dollars in thousands)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Contingent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Guarantees and stand by letters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Import and export letters of credit</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Sub Total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655,313</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982,044</w:t>
            </w:r>
          </w:p>
        </w:tc>
        <w:tc>
          <w:tcPr>
            <w:tcW w:w="22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w w:val="97"/>
              </w:rPr>
              <w:t>US$1,204,500</w:t>
            </w:r>
          </w:p>
        </w:tc>
      </w:tr>
      <w:tr>
        <w:trPr>
          <w:trHeight w:val="24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233,806</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238,902</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250,876</w:t>
            </w:r>
          </w:p>
        </w:tc>
        <w:tc>
          <w:tcPr>
            <w:tcW w:w="100" w:type="dxa"/>
            <w:vAlign w:val="bottom"/>
          </w:tcPr>
          <w:p>
            <w:pPr>
              <w:spacing w:after="0"/>
              <w:rPr>
                <w:sz w:val="21"/>
                <w:szCs w:val="21"/>
                <w:color w:val="auto"/>
              </w:rPr>
            </w:pPr>
          </w:p>
        </w:tc>
      </w:tr>
      <w:tr>
        <w:trPr>
          <w:trHeight w:val="237"/>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889,119</w:t>
            </w:r>
          </w:p>
        </w:tc>
        <w:tc>
          <w:tcPr>
            <w:tcW w:w="24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1,220,946</w:t>
            </w:r>
          </w:p>
        </w:tc>
        <w:tc>
          <w:tcPr>
            <w:tcW w:w="22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1,455,376</w:t>
            </w:r>
          </w:p>
        </w:tc>
        <w:tc>
          <w:tcPr>
            <w:tcW w:w="100" w:type="dxa"/>
            <w:vAlign w:val="bottom"/>
            <w:tcBorders>
              <w:bottom w:val="single" w:sz="8" w:color="CCFFC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-162560</wp:posOffset>
            </wp:positionV>
            <wp:extent cx="72466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436"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Responsibilities under credit line agreements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569,332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814,746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Financial derivative contracts, net</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211,520</w:t>
            </w:r>
          </w:p>
        </w:tc>
        <w:tc>
          <w:tcPr>
            <w:tcW w:w="1380" w:type="dxa"/>
            <w:vAlign w:val="bottom"/>
          </w:tcPr>
          <w:p>
            <w:pPr>
              <w:jc w:val="right"/>
              <w:spacing w:after="0"/>
              <w:rPr>
                <w:sz w:val="20"/>
                <w:szCs w:val="20"/>
                <w:color w:val="auto"/>
              </w:rPr>
            </w:pPr>
            <w:r>
              <w:rPr>
                <w:rFonts w:ascii="Arial" w:cs="Arial" w:eastAsia="Arial" w:hAnsi="Arial"/>
                <w:sz w:val="18"/>
                <w:szCs w:val="18"/>
                <w:color w:val="auto"/>
              </w:rPr>
              <w:t>310,944</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(30,970)</w:t>
            </w:r>
          </w:p>
        </w:tc>
      </w:tr>
      <w:tr>
        <w:trPr>
          <w:trHeight w:val="243"/>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Swap contracts</w:t>
            </w:r>
          </w:p>
        </w:tc>
        <w:tc>
          <w:tcPr>
            <w:tcW w:w="22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212,417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572,160</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543,041</w:t>
            </w:r>
          </w:p>
        </w:tc>
      </w:tr>
      <w:tr>
        <w:trPr>
          <w:trHeight w:val="237"/>
        </w:trPr>
        <w:tc>
          <w:tcPr>
            <w:tcW w:w="65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90"/>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1,882,388</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2,635,866</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US$2,782,193</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normal course of its business, Credicorp’s banking subsidiaries are party to transactions with off-balance sheet risk. These transactions expose Credicorp’s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Credicorp is under no commitment to extend credit. Credicorp applies the same credit policies in making commitments and conditional obligations as it does for on-balance sheet instruments, including the requirement to obtain collateral to support off-balance sheet financial instruments (see Note 7(a) to the Credicorp Consolidated Financial Statement) when it is deemed necessary. Collateral held varies, but may include deposits held in financial institutions, securities or other assets.</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fact that many of the contingent transactions are expected to expire without any payment being required from Credicorp, the total committed amounts do not necessarily represent future cash requirements.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2006 and 2005, Credicorp had foreign currency forward derivatives.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2006, Credicorp has a minor position on options for exchange rates totaling US$8.7 million. As of December 31, 2006 and 2005, forward foreign currency purchase and sale agreements referred to above included nominal amounts of approximately US$1,153.2 million and US$998.7 million, respectively, which have maturities of less than a year. These agreements are executed to satisfy client requirements and are recorded by Credicorp in the financial statements at fair market value. The forward contracts net position as of December 31, 2006 and 2005 was an overbuy of approximately US$31.0 million and an oversell of approximately US$310.9 million, respectively.</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2006, the notional amount of outstanding interest rate swap contracts was approximately US$543.0 million (approximately US$572.2 million as of December 31, 2005). These contracts are recorded by Credicorp at fair market value, recording both realized and unrealized gains and losses in the consolidated income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type w:val="continuous"/>
        </w:sectPr>
      </w:pPr>
    </w:p>
    <w:bookmarkStart w:id="114" w:name="page115"/>
    <w:bookmarkEnd w:id="114"/>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held one interest rate swap contract for a notional amount of US$196.0 million designated as a cash flow hedge, because it reduces the exposure to the variable interest rate risk of a portion of the loan transaction entered into by Credicorp in November 2005 (See Note 14(b) to the Credicorp Consolidated Financial Statements). In accordance with the hedge operation, which matures in November 2012, Credicorp pays a fixed rate of 4.57% and receives a variable rate equal to the monthly Libor interest rate over the notional amount and the settlements are made on a monthly basis. The loan and the interest rate swap have the same critical terms.</w:t>
      </w: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asset and liability forward contracts and swaps as of December 31, 2006 amounted to approximately US$19.1 million and US$7.8 million, respectively (approximately US$8.8 million and US$8.0 million as of December 31, 2005), and are included under the caption “Other assets and other liabilities” of the consolidated balance sheet, respectively, see Note 11 to Credicorp Consolidated Financial Statements. As of December 31, 2006 and 2005, the fair value of the cash flow hedge amounted to US$2.9 and US$1.6 million, respectively, and it is included in the net equity.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responsibilities under credit line agreements do not correspond to commitment to grant credit and include credit lines and other consumer loans that are cancelable upon notification to the consumer.</w:t>
      </w:r>
    </w:p>
    <w:p>
      <w:pPr>
        <w:spacing w:after="0" w:line="22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Credicorp enters into various contractual obligations that may require future cash payments. The following table summarizes Credicorp’s contractual obligations by remaining maturity as of December 31, 2006. See ”Item 4. Information on the Company—(B) Business Overview—(1) Introduction - Review</w:t>
      </w:r>
    </w:p>
    <w:p>
      <w:pPr>
        <w:spacing w:after="0"/>
        <w:rPr>
          <w:sz w:val="20"/>
          <w:szCs w:val="20"/>
          <w:color w:val="auto"/>
        </w:rPr>
      </w:pPr>
      <w:r>
        <w:rPr>
          <w:rFonts w:ascii="Arial" w:cs="Arial" w:eastAsia="Arial" w:hAnsi="Arial"/>
          <w:sz w:val="18"/>
          <w:szCs w:val="18"/>
          <w:color w:val="auto"/>
        </w:rPr>
        <w:t>of 2006.”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4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3"/>
              </w:rPr>
              <w:t>Total at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16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Less than</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1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More than</w:t>
            </w: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2"/>
                <w:szCs w:val="22"/>
                <w:color w:val="auto"/>
              </w:rPr>
            </w:pPr>
          </w:p>
        </w:tc>
      </w:tr>
      <w:tr>
        <w:trPr>
          <w:trHeight w:val="243"/>
        </w:trPr>
        <w:tc>
          <w:tcPr>
            <w:tcW w:w="5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20" w:type="dxa"/>
            <w:vAlign w:val="bottom"/>
            <w:gridSpan w:val="6"/>
          </w:tcPr>
          <w:p>
            <w:pPr>
              <w:jc w:val="right"/>
              <w:ind w:right="90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Borrowed funds</w:t>
            </w:r>
          </w:p>
        </w:tc>
        <w:tc>
          <w:tcPr>
            <w:tcW w:w="140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717,557</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343,101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65,061</w:t>
            </w:r>
          </w:p>
        </w:tc>
        <w:tc>
          <w:tcPr>
            <w:tcW w:w="124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166,817</w:t>
            </w:r>
          </w:p>
        </w:tc>
        <w:tc>
          <w:tcPr>
            <w:tcW w:w="124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142,578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Promotional credit lines</w:t>
            </w:r>
          </w:p>
        </w:tc>
        <w:tc>
          <w:tcPr>
            <w:tcW w:w="1160" w:type="dxa"/>
            <w:vAlign w:val="bottom"/>
          </w:tcPr>
          <w:p>
            <w:pPr>
              <w:jc w:val="right"/>
              <w:spacing w:after="0"/>
              <w:rPr>
                <w:sz w:val="20"/>
                <w:szCs w:val="20"/>
                <w:color w:val="auto"/>
              </w:rPr>
            </w:pPr>
            <w:r>
              <w:rPr>
                <w:rFonts w:ascii="Arial" w:cs="Arial" w:eastAsia="Arial" w:hAnsi="Arial"/>
                <w:sz w:val="18"/>
                <w:szCs w:val="18"/>
                <w:color w:val="auto"/>
              </w:rPr>
              <w:t>177,900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19,613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22,001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114,215</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Interbank funds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41,077</w:t>
            </w: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41,077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160" w:type="dxa"/>
            <w:vAlign w:val="bottom"/>
          </w:tcPr>
          <w:p>
            <w:pPr>
              <w:jc w:val="right"/>
              <w:spacing w:after="0"/>
              <w:rPr>
                <w:sz w:val="20"/>
                <w:szCs w:val="20"/>
                <w:color w:val="auto"/>
              </w:rPr>
            </w:pPr>
            <w:r>
              <w:rPr>
                <w:rFonts w:ascii="Arial" w:cs="Arial" w:eastAsia="Arial" w:hAnsi="Arial"/>
                <w:sz w:val="18"/>
                <w:szCs w:val="18"/>
                <w:color w:val="auto"/>
              </w:rPr>
              <w:t>3,218,157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3,019,532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163,283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29,226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6,116</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Operating lease obligations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12,243</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5,323</w:t>
            </w:r>
          </w:p>
        </w:tc>
      </w:tr>
      <w:tr>
        <w:trPr>
          <w:trHeight w:val="20"/>
        </w:trPr>
        <w:tc>
          <w:tcPr>
            <w:tcW w:w="5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4,166,934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US$</w:t>
            </w:r>
            <w:r>
              <w:rPr>
                <w:rFonts w:ascii="Arial" w:cs="Arial" w:eastAsia="Arial" w:hAnsi="Arial"/>
                <w:sz w:val="17"/>
                <w:szCs w:val="17"/>
                <w:color w:val="auto"/>
                <w:w w:val="90"/>
              </w:rPr>
              <w:t>3,428,371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250,914</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219,417</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268,232</w:t>
            </w: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the “Borrowed funds” caption in the table above corresponds to “borrowed funds” and “International funds and others”:</w:t>
      </w:r>
    </w:p>
    <w:p>
      <w:pPr>
        <w:spacing w:after="0" w:line="279" w:lineRule="exact"/>
        <w:rPr>
          <w:sz w:val="20"/>
          <w:szCs w:val="20"/>
          <w:color w:val="auto"/>
        </w:rPr>
      </w:pPr>
    </w:p>
    <w:p>
      <w:pPr>
        <w:jc w:val="both"/>
        <w:ind w:left="660" w:hanging="328"/>
        <w:spacing w:after="0" w:line="270"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November 2005 BCP entered into a loan transaction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the corresponding bank to make payments to beneficiaries that are not financial institutions. In this transaction, Wilmington Trust Company acted as trustee under the trust agreement and The Bank of New York acted as indenture trustee and administrator of the contract. The certificates bear a variable interest rate of one month Libor plus 0.21% for the 2005-A Series and one month Libor plus 0.60% for the Series 2005-B. As of December 31, 2006 and 2005, the balance of this obligation amounted to US$280.0 million. A portion (70%), of the loan, subject to variable interest rate risk, has been hedged through an interest rate swap hedge operation for a notional amount of US$196.0 million (see Note 20(d) to the Credicorp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5" w:name="page116"/>
    <w:bookmarkEnd w:id="115"/>
    <w:p>
      <w:pPr>
        <w:jc w:val="both"/>
        <w:ind w:left="660"/>
        <w:spacing w:after="0" w:line="255" w:lineRule="auto"/>
        <w:rPr>
          <w:sz w:val="20"/>
          <w:szCs w:val="20"/>
          <w:color w:val="auto"/>
        </w:rPr>
      </w:pPr>
      <w:r>
        <w:rPr>
          <w:rFonts w:ascii="Arial" w:cs="Arial" w:eastAsia="Arial" w:hAnsi="Arial"/>
          <w:sz w:val="18"/>
          <w:szCs w:val="18"/>
          <w:color w:val="auto"/>
        </w:rPr>
        <w:t>In March 2006, BCP entered into a loan transaction for US$100.0 million, related to Series 2006-A Floating Rate Certificates due 2016. Like the November 2005 loan, the loan is secured by the future inflows from electronic messages sent through the Society for Worldwide Interbank Financial Telecommunications network instruct the corresponding bank to make payments to beneficiaries that are not financial institutions. Wilmington Trust Company acted as Trustee under the trust agreement and The Bank of New York acted as indenture trustee and administrator of the contract. The certificates bear a variable interest rate of one month Libor plus 0.29%, as of December 31, 2006, and the balance of this obligation amounts to US$90.6 million.</w:t>
      </w:r>
    </w:p>
    <w:p>
      <w:pPr>
        <w:spacing w:after="0" w:line="2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the US$100.0 million loan related to the Series 2006-A and the US$230.0 million related to the Series 2005-A, BCP has signed an insurance policy with AMBAC Assurance Corporation which guarantees the timely payment of scheduled principal and certain interest monthly payments through November 2016 and November 2012, respectively. The insurance policy cost is equivalent to an annual fixed interest rate of 0.80% and 0.75% of the principal that is recorded as part of interest costs. In management’s opinion, as of the date of the consolidated balance sheet Credicorp is not in violation of the covenants included in these loan agreements.</w:t>
      </w:r>
    </w:p>
    <w:p>
      <w:pPr>
        <w:spacing w:after="0" w:line="242"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“international funds and others” received by Credicorp are loans used mainly for financing foreign trade operations and working capital. As of December 31, 2006, these loans have maturities between January 2007 and May 2007. The interest rates range between 3.73% and 5.76%. As of December 31, 2006, the balance of these obligations is US$346.9 million (See Note 14 (a) to the Credicorp Consolidated Financial Statements).</w:t>
      </w:r>
    </w:p>
    <w:p>
      <w:pPr>
        <w:spacing w:after="0" w:line="201" w:lineRule="exact"/>
        <w:rPr>
          <w:sz w:val="20"/>
          <w:szCs w:val="20"/>
          <w:color w:val="auto"/>
        </w:rPr>
      </w:pPr>
    </w:p>
    <w:p>
      <w:pPr>
        <w:jc w:val="both"/>
        <w:ind w:left="660" w:hanging="328"/>
        <w:spacing w:after="0" w:line="273"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promotional credit lines represent loans granted to BCP by Corporación Financiera de Desarrollo (COFIDE) and Banco Interamericano de Desarrollo (Inter-American Development Bank or IDB), to promote the development of Peru, have maturities between January 2007 and December 2021 and their interest rates range between 5.65 and 7.90%. These credit lines are secured by a loan portfolio totaling US$177.9 million and US$212.1 million as of December 31, 2006 and December 31, 2005, respectively. These lines include covenants specifying the use of the funds, financial conditions that the borrower must maintain and other administrative matters. In Management’s opinion, these covenants do not limit Credicorp’s operations and at the balance sheet date, Credicorp is not in violation of these covenants.</w:t>
      </w:r>
    </w:p>
    <w:p>
      <w:pPr>
        <w:spacing w:after="0" w:line="200" w:lineRule="exact"/>
        <w:rPr>
          <w:sz w:val="20"/>
          <w:szCs w:val="20"/>
          <w:color w:val="auto"/>
        </w:rPr>
      </w:pP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79" w:lineRule="exact"/>
        <w:rPr>
          <w:sz w:val="20"/>
          <w:szCs w:val="20"/>
          <w:color w:val="auto"/>
        </w:rPr>
      </w:pPr>
    </w:p>
    <w:p>
      <w:pPr>
        <w:ind w:left="660" w:right="8120" w:hanging="652"/>
        <w:spacing w:after="0" w:line="632" w:lineRule="auto"/>
        <w:tabs>
          <w:tab w:leader="none" w:pos="66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Senior Management </w:t>
      </w:r>
      <w:r>
        <w:rPr>
          <w:rFonts w:ascii="Arial" w:cs="Arial" w:eastAsia="Arial" w:hAnsi="Arial"/>
          <w:sz w:val="17"/>
          <w:szCs w:val="17"/>
          <w:b w:val="1"/>
          <w:bCs w:val="1"/>
          <w:i w:val="1"/>
          <w:iCs w:val="1"/>
          <w:color w:val="auto"/>
        </w:rPr>
        <w:t>Board of Directors</w:t>
      </w: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sets forth the current Directors of Credicorp.</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4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1"/>
                <w:szCs w:val="21"/>
                <w:color w:val="auto"/>
              </w:rPr>
            </w:pPr>
          </w:p>
        </w:tc>
        <w:tc>
          <w:tcPr>
            <w:tcW w:w="570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18"/>
                <w:szCs w:val="18"/>
                <w:color w:val="auto"/>
              </w:rPr>
              <w:t>(1)</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Dionisio Romero</w:t>
            </w:r>
          </w:p>
        </w:tc>
        <w:tc>
          <w:tcPr>
            <w:tcW w:w="14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Chairman</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Luis Nicolini</w:t>
            </w: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Deputy Chairman</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31</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Fernando Fort</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25</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Reynaldo Llosa</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24</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Juan Carlos Verme</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17</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Luis Enrique Yarur</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Felipe Ortiz de Zevallos</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2(2)</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Germán Suárez</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8877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2006.</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Elected at the Annual General Shareholders’ Meeting on March 31, 2005.</w:t>
      </w:r>
    </w:p>
    <w:p>
      <w:pPr>
        <w:spacing w:after="0" w:line="3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Dionisio Romero </w:t>
      </w:r>
      <w:r>
        <w:rPr>
          <w:rFonts w:ascii="Arial" w:cs="Arial" w:eastAsia="Arial" w:hAnsi="Arial"/>
          <w:sz w:val="17"/>
          <w:szCs w:val="17"/>
          <w:color w:val="auto"/>
        </w:rPr>
        <w:t>is an economist with a Masters degree in Business Administration from Stanford University in the United States of America. Mr.</w:t>
      </w:r>
      <w:r>
        <w:rPr>
          <w:rFonts w:ascii="Arial" w:cs="Arial" w:eastAsia="Arial" w:hAnsi="Arial"/>
          <w:sz w:val="17"/>
          <w:szCs w:val="17"/>
          <w:i w:val="1"/>
          <w:iCs w:val="1"/>
          <w:color w:val="auto"/>
        </w:rPr>
        <w:t xml:space="preserve"> </w:t>
      </w:r>
      <w:r>
        <w:rPr>
          <w:rFonts w:ascii="Arial" w:cs="Arial" w:eastAsia="Arial" w:hAnsi="Arial"/>
          <w:sz w:val="17"/>
          <w:szCs w:val="17"/>
          <w:color w:val="auto"/>
        </w:rPr>
        <w:t>Romero was the Chairman of Banco de Crédito del Perú from 1966 to 1987 and has served as a Board Member from December 1990 to the present. He is the Chairman of Credicorp and has held this position since August 1995. He is also Chairman of ASCH, BCB, Grupo Crédito, BCP’s subsidiaries and Deputy Chairman of PPS. Additionally, he serves as a Director on the Board of Banco de Crédito e Inversiones Chile.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Luis Nicolini</w:t>
      </w:r>
      <w:r>
        <w:rPr>
          <w:rFonts w:ascii="Arial" w:cs="Arial" w:eastAsia="Arial" w:hAnsi="Arial"/>
          <w:sz w:val="17"/>
          <w:szCs w:val="17"/>
          <w:color w:val="auto"/>
        </w:rPr>
        <w:t>, an industrial banker by profession, has served as Vice Chairman of Banco de Crédito del Perú since August 1995, is also a Director on</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Boards of Inversiones Centenario, Alicorp, PPS, and is Chairman of the textile company Fábrica de Tejidos La Bellota. He has been Deputy Chairman of Credicorp since August 1995 and of ASB. He is also Deputy Chairman and Director of BCB and BCP’s subsidiaries.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has served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Banco de Crédito del Perú from 1979 to 1987 and from March 1990 to the present. He is a Director of Credicorp (since March 1999), ASB, BCB and BCP’s subsidiaries. Additionally, Mr. Fort serves as a Director on the Board of Inversiones Centenario and the Boards of various other companies.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Reynaldo Llosa </w:t>
      </w:r>
      <w:r>
        <w:rPr>
          <w:rFonts w:ascii="Arial" w:cs="Arial" w:eastAsia="Arial" w:hAnsi="Arial"/>
          <w:sz w:val="18"/>
          <w:szCs w:val="18"/>
          <w:color w:val="auto"/>
        </w:rPr>
        <w:t>is a business manager and has served as a Director of Banco de Crédito del Perú’s from 1980 to October 1987 and from March 1990</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present. He has been a Director of Credicorp since August 1995, Atlantic Security Bank, Banco de Crédito de Bolivia and BCP’s subsidiaries. Mr. Llosa is also the main partner and general manager of the company F.N. Jones S.R. Ltda., and serves as a Director on the Boards of various other companies.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as Director of Banco de Crédito del Perú since March 1990 and as a Director of Credicorp since</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1995. He is also Director, Banco de Crédito de Bolivia, Atlantic Security Bank and BCP’s subsidiaries. Mr. Verme is a Chairman of Inversiones Antencinio and also serves as a Director on the Boards of various other companies. He is a member of the Asamblea General de Asociados del Patronato del Museo de Arte de Lima and Vice President of Asociación Cultural Filarmonía.</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Banco de Crédito del Perú since February 1995 and as a Director of Credicorp on October 31, 2002.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7" w:name="page118"/>
    <w:bookmarkEnd w:id="117"/>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Rochester University and 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degree from Harvard Business School. Mr. Ortiz de Zevallos became a Director of Credicorp on March 31, 2005. Mr. Ortiz de Zevallos serves as Director on the Boards of various other companies, among which are Grupo Apoyo (Chairman), Compañía de Minas Buenaventura S.A. and Universia. Felipe Ortiz de Zevallos is currently Peru’s Ambassador to the United States. Until he was appointed as Peru’s Ambassador to the United States, Mr. Zevallos served as the President of Universidad del Pacífico in Lima (elected for the period 2004-2009).</w:t>
      </w: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Germán Suárez </w:t>
      </w:r>
      <w:r>
        <w:rPr>
          <w:rFonts w:ascii="Arial" w:cs="Arial" w:eastAsia="Arial" w:hAnsi="Arial"/>
          <w:sz w:val="17"/>
          <w:szCs w:val="17"/>
          <w:color w:val="auto"/>
        </w:rPr>
        <w:t>is an economist, and received his Masters degree in economics from Columbia University. Mr. Suárez became a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Credicorp on March 31, 2005. Mr. Suárez was President and Chairman of the Board of Banco Central de Reserva del Perú from 1992 to 2001, and serves as Director on the Boards of various other companies, among which are Compañía de Minas Buenaventura S.A. and Refinería La Pampilla.</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Secretary of Credicorp is Dawna L. Ferguson. The Assistant Secretary of Credicorp is Fernando Palao. The Resident Representative of Credicorp in Bermuda is Nicholas G. Trollope.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4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6"/>
              </w:rPr>
              <w:t>Years Served as</w:t>
            </w:r>
          </w:p>
        </w:tc>
      </w:tr>
      <w:tr>
        <w:trPr>
          <w:trHeight w:val="234"/>
        </w:trPr>
        <w:tc>
          <w:tcPr>
            <w:tcW w:w="2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an Officer</w:t>
            </w:r>
            <w:r>
              <w:rPr>
                <w:rFonts w:ascii="Arial" w:cs="Arial" w:eastAsia="Arial" w:hAnsi="Arial"/>
                <w:sz w:val="18"/>
                <w:szCs w:val="18"/>
                <w:color w:val="auto"/>
                <w:w w:val="94"/>
              </w:rPr>
              <w:t>(1)</w:t>
            </w:r>
          </w:p>
        </w:tc>
      </w:tr>
      <w:tr>
        <w:trPr>
          <w:trHeight w:val="249"/>
        </w:trPr>
        <w:tc>
          <w:tcPr>
            <w:tcW w:w="2480" w:type="dxa"/>
            <w:vAlign w:val="bottom"/>
          </w:tcPr>
          <w:p>
            <w:pPr>
              <w:spacing w:after="0"/>
              <w:rPr>
                <w:sz w:val="20"/>
                <w:szCs w:val="20"/>
                <w:color w:val="auto"/>
              </w:rPr>
            </w:pPr>
            <w:r>
              <w:rPr>
                <w:rFonts w:ascii="Arial" w:cs="Arial" w:eastAsia="Arial" w:hAnsi="Arial"/>
                <w:sz w:val="18"/>
                <w:szCs w:val="18"/>
                <w:color w:val="auto"/>
              </w:rPr>
              <w:t>Dionisio Romero</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4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37(2)</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Raimundo Morales</w:t>
            </w:r>
          </w:p>
        </w:tc>
        <w:tc>
          <w:tcPr>
            <w:tcW w:w="1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27</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Carlos Muñoz</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26</w:t>
            </w:r>
          </w:p>
        </w:tc>
      </w:tr>
      <w:tr>
        <w:trPr>
          <w:trHeight w:val="256"/>
        </w:trPr>
        <w:tc>
          <w:tcPr>
            <w:tcW w:w="2480" w:type="dxa"/>
            <w:vAlign w:val="bottom"/>
          </w:tcPr>
          <w:p>
            <w:pPr>
              <w:spacing w:after="0"/>
              <w:rPr>
                <w:sz w:val="20"/>
                <w:szCs w:val="20"/>
                <w:color w:val="auto"/>
              </w:rPr>
            </w:pPr>
            <w:r>
              <w:rPr>
                <w:rFonts w:ascii="Arial" w:cs="Arial" w:eastAsia="Arial" w:hAnsi="Arial"/>
                <w:sz w:val="18"/>
                <w:szCs w:val="18"/>
                <w:color w:val="auto"/>
              </w:rPr>
              <w:t>Walter Bayly</w:t>
            </w:r>
          </w:p>
        </w:tc>
        <w:tc>
          <w:tcPr>
            <w:tcW w:w="140" w:type="dxa"/>
            <w:vAlign w:val="bottom"/>
          </w:tcPr>
          <w:p>
            <w:pPr>
              <w:spacing w:after="0"/>
              <w:rPr>
                <w:sz w:val="22"/>
                <w:szCs w:val="22"/>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14</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José Luis Gagliardi</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Senior Vice President, Administration and Human Resources</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26(3)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David Saettone</w:t>
            </w:r>
          </w:p>
        </w:tc>
        <w:tc>
          <w:tcPr>
            <w:tcW w:w="1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Senior Vice President, Insurance</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255270</wp:posOffset>
            </wp:positionV>
            <wp:extent cx="81851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215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60" w:hanging="266"/>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2006.</w:t>
      </w:r>
    </w:p>
    <w:p>
      <w:pPr>
        <w:spacing w:after="0" w:line="63" w:lineRule="exact"/>
        <w:rPr>
          <w:rFonts w:ascii="Arial" w:cs="Arial" w:eastAsia="Arial" w:hAnsi="Arial"/>
          <w:sz w:val="18"/>
          <w:szCs w:val="18"/>
          <w:color w:val="auto"/>
        </w:rPr>
      </w:pPr>
    </w:p>
    <w:p>
      <w:pPr>
        <w:ind w:left="760" w:hanging="266"/>
        <w:spacing w:after="0"/>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Romero served as an officer of BCP from 1966 through 1987 and from 1990 to the present. Mr. Romero has been an officer of PPS since 1972.</w:t>
      </w:r>
    </w:p>
    <w:p>
      <w:pPr>
        <w:spacing w:after="0" w:line="86" w:lineRule="exact"/>
        <w:rPr>
          <w:rFonts w:ascii="Arial" w:cs="Arial" w:eastAsia="Arial" w:hAnsi="Arial"/>
          <w:sz w:val="16"/>
          <w:szCs w:val="16"/>
          <w:color w:val="auto"/>
        </w:rPr>
      </w:pPr>
    </w:p>
    <w:p>
      <w:pPr>
        <w:ind w:left="760" w:hanging="266"/>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i w:val="1"/>
          <w:iCs w:val="1"/>
          <w:color w:val="auto"/>
        </w:rPr>
        <w:t>Dionisio Romero</w:t>
      </w:r>
      <w:r>
        <w:rPr>
          <w:rFonts w:ascii="Arial" w:cs="Arial" w:eastAsia="Arial" w:hAnsi="Arial"/>
          <w:sz w:val="18"/>
          <w:szCs w:val="18"/>
          <w:color w:val="auto"/>
        </w:rPr>
        <w:t>, the Chief Executive Officer of Credicorp, also serves on Credicorp’s Board of Directors. See “—Directors.”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Raimundo Morales</w:t>
      </w:r>
      <w:r>
        <w:rPr>
          <w:rFonts w:ascii="Arial" w:cs="Arial" w:eastAsia="Arial" w:hAnsi="Arial"/>
          <w:sz w:val="17"/>
          <w:szCs w:val="17"/>
          <w:color w:val="auto"/>
        </w:rPr>
        <w:t>, the Chief Operating Officer of Credicorp, is also the General Manager of Banco de Crédito del Perú, having joined BCP in</w:t>
      </w:r>
      <w:r>
        <w:rPr>
          <w:rFonts w:ascii="Arial" w:cs="Arial" w:eastAsia="Arial" w:hAnsi="Arial"/>
          <w:sz w:val="17"/>
          <w:szCs w:val="17"/>
          <w:i w:val="1"/>
          <w:iCs w:val="1"/>
          <w:color w:val="auto"/>
        </w:rPr>
        <w:t xml:space="preserve"> </w:t>
      </w:r>
      <w:r>
        <w:rPr>
          <w:rFonts w:ascii="Arial" w:cs="Arial" w:eastAsia="Arial" w:hAnsi="Arial"/>
          <w:sz w:val="17"/>
          <w:szCs w:val="17"/>
          <w:color w:val="auto"/>
        </w:rPr>
        <w:t>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Carlos Muñoz</w:t>
      </w:r>
      <w:r>
        <w:rPr>
          <w:rFonts w:ascii="Arial" w:cs="Arial" w:eastAsia="Arial" w:hAnsi="Arial"/>
          <w:sz w:val="18"/>
          <w:szCs w:val="18"/>
          <w:color w:val="auto"/>
        </w:rPr>
        <w:t>, the Executive Vice President of Credicorp, is also the Deputy General Manager of Banco de Crédito del Perú and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ASB. He previously served as Senior Vice President and Manager of BCP’s Metropolitan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Walter Bayly </w:t>
      </w:r>
      <w:r>
        <w:rPr>
          <w:rFonts w:ascii="Arial" w:cs="Arial" w:eastAsia="Arial" w:hAnsi="Arial"/>
          <w:sz w:val="18"/>
          <w:szCs w:val="18"/>
          <w:color w:val="auto"/>
        </w:rPr>
        <w:t>was appointed Chief Financial and Accounting Officer of Credicorp and Executive Vice President of Planning and Finance of Banco de</w:t>
      </w:r>
      <w:r>
        <w:rPr>
          <w:rFonts w:ascii="Arial" w:cs="Arial" w:eastAsia="Arial" w:hAnsi="Arial"/>
          <w:sz w:val="18"/>
          <w:szCs w:val="18"/>
          <w:i w:val="1"/>
          <w:iCs w:val="1"/>
          <w:color w:val="auto"/>
        </w:rPr>
        <w:t xml:space="preserve"> </w:t>
      </w:r>
      <w:r>
        <w:rPr>
          <w:rFonts w:ascii="Arial" w:cs="Arial" w:eastAsia="Arial" w:hAnsi="Arial"/>
          <w:sz w:val="18"/>
          <w:szCs w:val="18"/>
          <w:color w:val="auto"/>
        </w:rPr>
        <w:t>Crédito del Perú in April 2004. Previously, Mr. Bayly held various other management positions within BCP, having managed the Wholesale Banking Group as well as various Areas of BCP.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Banco de Crédito del Perú, first joined BCP in 1981. From March 1981 until December 1988 he served as the Manager of Human Resources and Central Manager of Resources and Administration. In 1988, Mr. Gagliardi left BCP to manage Human Resources for Bank of America’s Latin American Group. He rejoined BCP in November 1990.</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David Saettone </w:t>
      </w:r>
      <w:r>
        <w:rPr>
          <w:rFonts w:ascii="Arial" w:cs="Arial" w:eastAsia="Arial" w:hAnsi="Arial"/>
          <w:sz w:val="17"/>
          <w:szCs w:val="17"/>
          <w:color w:val="auto"/>
        </w:rPr>
        <w:t>is the Senior Vice President, Insurance of Credicorp and the General Manager of PPS. He is an economist with a Masters degree and</w:t>
      </w:r>
      <w:r>
        <w:rPr>
          <w:rFonts w:ascii="Arial" w:cs="Arial" w:eastAsia="Arial" w:hAnsi="Arial"/>
          <w:sz w:val="17"/>
          <w:szCs w:val="17"/>
          <w:i w:val="1"/>
          <w:iCs w:val="1"/>
          <w:color w:val="auto"/>
        </w:rPr>
        <w:t xml:space="preserve"> </w:t>
      </w:r>
      <w:r>
        <w:rPr>
          <w:rFonts w:ascii="Arial" w:cs="Arial" w:eastAsia="Arial" w:hAnsi="Arial"/>
          <w:sz w:val="17"/>
          <w:szCs w:val="17"/>
          <w:color w:val="auto"/>
        </w:rPr>
        <w:t>PhD from Princeton University in the United States. He was the General Manager of BCB and Chief of the Gabinete de Asesores y Unidad de Coordinación de Préstamos Sectoriales of the Economy and Finance Office, Perú. He was also Manager of the Corporate Finance Area of BCP.</w:t>
      </w:r>
    </w:p>
    <w:p>
      <w:pPr>
        <w:spacing w:after="0" w:line="216" w:lineRule="exact"/>
        <w:rPr>
          <w:sz w:val="20"/>
          <w:szCs w:val="20"/>
          <w:color w:val="auto"/>
        </w:rPr>
      </w:pPr>
    </w:p>
    <w:p>
      <w:pPr>
        <w:ind w:left="660" w:hanging="607"/>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aggregate amount of compensation paid by Credicorp to all Directors and executive officers for 2006 was US$36.2 million. Credicorp does not disclose to its shareholders or otherwise make available to the public information as to the compensation of its individual directors or executive officers.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Credicorp Stock Appreciation Rights (SARs) Plan (the “Plan”) which Credicorp instituted beginning in fiscal year 1999, Credicorp granted SARs to certain key executives and employees (Directors and administrative, supervisory and management personnel) who have at least one year’s service in Credicorp or any of its subsidiaries during each year since 1999 and through 2006. Each SAR expires eight years after the date of grant. The rights vest in 25% increments during the first four years following the date of grant. From the end of the fourth year after the grant of a SAR until the expiration date of it, all or a portion of such right still outstanding under the Plan may be exercised at any time. The following table shows the number of SARs granted and corresponding exercise price for each 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35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Number of Outstanding SARs granted</w:t>
            </w:r>
          </w:p>
        </w:tc>
        <w:tc>
          <w:tcPr>
            <w:tcW w:w="220" w:type="dxa"/>
            <w:vAlign w:val="bottom"/>
          </w:tcPr>
          <w:p>
            <w:pPr>
              <w:spacing w:after="0"/>
              <w:rPr>
                <w:sz w:val="20"/>
                <w:szCs w:val="20"/>
                <w:color w:val="auto"/>
              </w:rPr>
            </w:pPr>
          </w:p>
        </w:tc>
        <w:tc>
          <w:tcPr>
            <w:tcW w:w="36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Exercise price in US$</w:t>
            </w:r>
          </w:p>
        </w:tc>
        <w:tc>
          <w:tcPr>
            <w:tcW w:w="100" w:type="dxa"/>
            <w:vAlign w:val="bottom"/>
          </w:tcPr>
          <w:p>
            <w:pPr>
              <w:spacing w:after="0"/>
              <w:rPr>
                <w:sz w:val="20"/>
                <w:szCs w:val="20"/>
                <w:color w:val="auto"/>
              </w:rPr>
            </w:pPr>
          </w:p>
        </w:tc>
      </w:tr>
      <w:tr>
        <w:trPr>
          <w:trHeight w:val="237"/>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2000</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509,000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FFCC"/>
          </w:tcPr>
          <w:p>
            <w:pPr>
              <w:spacing w:after="0"/>
              <w:rPr>
                <w:sz w:val="20"/>
                <w:szCs w:val="20"/>
                <w:color w:val="auto"/>
              </w:rPr>
            </w:pPr>
          </w:p>
        </w:tc>
      </w:tr>
      <w:tr>
        <w:trPr>
          <w:trHeight w:val="243"/>
        </w:trPr>
        <w:tc>
          <w:tcPr>
            <w:tcW w:w="3540" w:type="dxa"/>
            <w:vAlign w:val="bottom"/>
          </w:tcPr>
          <w:p>
            <w:pPr>
              <w:ind w:left="1600"/>
              <w:spacing w:after="0"/>
              <w:rPr>
                <w:sz w:val="20"/>
                <w:szCs w:val="20"/>
                <w:color w:val="auto"/>
              </w:rPr>
            </w:pPr>
            <w:r>
              <w:rPr>
                <w:rFonts w:ascii="Arial" w:cs="Arial" w:eastAsia="Arial" w:hAnsi="Arial"/>
                <w:sz w:val="18"/>
                <w:szCs w:val="18"/>
                <w:color w:val="auto"/>
              </w:rPr>
              <w:t>2001</w:t>
            </w:r>
          </w:p>
        </w:tc>
        <w:tc>
          <w:tcPr>
            <w:tcW w:w="3900" w:type="dxa"/>
            <w:vAlign w:val="bottom"/>
            <w:gridSpan w:val="2"/>
          </w:tcPr>
          <w:p>
            <w:pPr>
              <w:jc w:val="right"/>
              <w:ind w:right="1390"/>
              <w:spacing w:after="0"/>
              <w:rPr>
                <w:sz w:val="20"/>
                <w:szCs w:val="20"/>
                <w:color w:val="auto"/>
              </w:rPr>
            </w:pPr>
            <w:r>
              <w:rPr>
                <w:rFonts w:ascii="Arial" w:cs="Arial" w:eastAsia="Arial" w:hAnsi="Arial"/>
                <w:sz w:val="18"/>
                <w:szCs w:val="18"/>
                <w:color w:val="auto"/>
              </w:rPr>
              <w:t>555,000</w:t>
            </w: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2002</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558,750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FFCC"/>
          </w:tcPr>
          <w:p>
            <w:pPr>
              <w:spacing w:after="0"/>
              <w:rPr>
                <w:sz w:val="21"/>
                <w:szCs w:val="21"/>
                <w:color w:val="auto"/>
              </w:rPr>
            </w:pPr>
          </w:p>
        </w:tc>
      </w:tr>
      <w:tr>
        <w:trPr>
          <w:trHeight w:val="243"/>
        </w:trPr>
        <w:tc>
          <w:tcPr>
            <w:tcW w:w="3540" w:type="dxa"/>
            <w:vAlign w:val="bottom"/>
          </w:tcPr>
          <w:p>
            <w:pPr>
              <w:ind w:left="1600"/>
              <w:spacing w:after="0"/>
              <w:rPr>
                <w:sz w:val="20"/>
                <w:szCs w:val="20"/>
                <w:color w:val="auto"/>
              </w:rPr>
            </w:pPr>
            <w:r>
              <w:rPr>
                <w:rFonts w:ascii="Arial" w:cs="Arial" w:eastAsia="Arial" w:hAnsi="Arial"/>
                <w:sz w:val="18"/>
                <w:szCs w:val="18"/>
                <w:color w:val="auto"/>
              </w:rPr>
              <w:t>2003</w:t>
            </w:r>
          </w:p>
        </w:tc>
        <w:tc>
          <w:tcPr>
            <w:tcW w:w="3900" w:type="dxa"/>
            <w:vAlign w:val="bottom"/>
            <w:gridSpan w:val="2"/>
          </w:tcPr>
          <w:p>
            <w:pPr>
              <w:jc w:val="right"/>
              <w:ind w:right="1390"/>
              <w:spacing w:after="0"/>
              <w:rPr>
                <w:sz w:val="20"/>
                <w:szCs w:val="20"/>
                <w:color w:val="auto"/>
              </w:rPr>
            </w:pPr>
            <w:r>
              <w:rPr>
                <w:rFonts w:ascii="Arial" w:cs="Arial" w:eastAsia="Arial" w:hAnsi="Arial"/>
                <w:sz w:val="18"/>
                <w:szCs w:val="18"/>
                <w:color w:val="auto"/>
              </w:rPr>
              <w:t>562,500</w:t>
            </w: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2004</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570,000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FFCC"/>
          </w:tcPr>
          <w:p>
            <w:pPr>
              <w:spacing w:after="0"/>
              <w:rPr>
                <w:sz w:val="21"/>
                <w:szCs w:val="21"/>
                <w:color w:val="auto"/>
              </w:rPr>
            </w:pPr>
          </w:p>
        </w:tc>
      </w:tr>
      <w:tr>
        <w:trPr>
          <w:trHeight w:val="243"/>
        </w:trPr>
        <w:tc>
          <w:tcPr>
            <w:tcW w:w="3540" w:type="dxa"/>
            <w:vAlign w:val="bottom"/>
          </w:tcPr>
          <w:p>
            <w:pPr>
              <w:ind w:left="1600"/>
              <w:spacing w:after="0"/>
              <w:rPr>
                <w:sz w:val="20"/>
                <w:szCs w:val="20"/>
                <w:color w:val="auto"/>
              </w:rPr>
            </w:pPr>
            <w:r>
              <w:rPr>
                <w:rFonts w:ascii="Arial" w:cs="Arial" w:eastAsia="Arial" w:hAnsi="Arial"/>
                <w:sz w:val="18"/>
                <w:szCs w:val="18"/>
                <w:color w:val="auto"/>
              </w:rPr>
              <w:t>2005</w:t>
            </w:r>
          </w:p>
        </w:tc>
        <w:tc>
          <w:tcPr>
            <w:tcW w:w="3900" w:type="dxa"/>
            <w:vAlign w:val="bottom"/>
            <w:gridSpan w:val="2"/>
          </w:tcPr>
          <w:p>
            <w:pPr>
              <w:jc w:val="right"/>
              <w:ind w:right="1390"/>
              <w:spacing w:after="0"/>
              <w:rPr>
                <w:sz w:val="20"/>
                <w:szCs w:val="20"/>
                <w:color w:val="auto"/>
              </w:rPr>
            </w:pPr>
            <w:r>
              <w:rPr>
                <w:rFonts w:ascii="Arial" w:cs="Arial" w:eastAsia="Arial" w:hAnsi="Arial"/>
                <w:sz w:val="18"/>
                <w:szCs w:val="18"/>
                <w:color w:val="auto"/>
              </w:rPr>
              <w:t>585,000</w:t>
            </w: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2006</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621,000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2003, 2004, 2005 and 2006, prices of the SARs were modified. The exercise prices of the SARs are reduced by an amount equal to the excess over US$0.70 of total dividends paid per share in a given year. As of December 31, 2006, Options on 948,925 Common Shares had been exercised (662,200 as of December 31, 2005) for an approximate amount of US$29.3 million in 2006 (US$9.6 million in 2005). See Note 19 to Credicorp Consolidated Financial Statements.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2006, Credicorp has signed a contract to acquire certificates indexed to the performance of Credicorp’s stocks as a means to hedging the SARs delivered to the executives of Credicorp. See Note 11 to Credicorp Consolidated Financial Statements.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90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00" w:type="dxa"/>
            <w:vAlign w:val="bottom"/>
          </w:tcPr>
          <w:p>
            <w:pPr>
              <w:spacing w:after="0"/>
              <w:rPr>
                <w:sz w:val="20"/>
                <w:szCs w:val="20"/>
                <w:color w:val="auto"/>
              </w:rPr>
            </w:pPr>
          </w:p>
        </w:tc>
      </w:tr>
      <w:tr>
        <w:trPr>
          <w:trHeight w:val="264"/>
        </w:trPr>
        <w:tc>
          <w:tcPr>
            <w:tcW w:w="390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2"/>
                <w:szCs w:val="22"/>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r>
      <w:tr>
        <w:trPr>
          <w:trHeight w:val="257"/>
        </w:trPr>
        <w:tc>
          <w:tcPr>
            <w:tcW w:w="390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9"/>
                <w:szCs w:val="29"/>
                <w:b w:val="1"/>
                <w:bCs w:val="1"/>
                <w:color w:val="auto"/>
                <w:vertAlign w:val="superscript"/>
              </w:rPr>
              <w:t>st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1,658,932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22,813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2,278,475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1,759,601</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11,700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Granted and vested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621,000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600,046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12,838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585,000</w:t>
            </w:r>
          </w:p>
        </w:tc>
        <w:tc>
          <w:tcPr>
            <w:tcW w:w="1120" w:type="dxa"/>
            <w:vAlign w:val="bottom"/>
          </w:tcPr>
          <w:p>
            <w:pPr>
              <w:jc w:val="right"/>
              <w:spacing w:after="0"/>
              <w:rPr>
                <w:sz w:val="20"/>
                <w:szCs w:val="20"/>
                <w:color w:val="auto"/>
              </w:rPr>
            </w:pPr>
            <w:r>
              <w:rPr>
                <w:rFonts w:ascii="Arial" w:cs="Arial" w:eastAsia="Arial" w:hAnsi="Arial"/>
                <w:sz w:val="18"/>
                <w:szCs w:val="18"/>
                <w:color w:val="auto"/>
              </w:rPr>
              <w:t>561,531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(29,292)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(9,614)</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Decrease</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32,634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13,279</w:t>
            </w:r>
          </w:p>
        </w:tc>
      </w:tr>
      <w:tr>
        <w:trPr>
          <w:trHeight w:val="20"/>
        </w:trPr>
        <w:tc>
          <w:tcPr>
            <w:tcW w:w="39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1160" w:type="dxa"/>
            <w:vAlign w:val="bottom"/>
          </w:tcPr>
          <w:p>
            <w:pPr>
              <w:jc w:val="right"/>
              <w:spacing w:after="0"/>
              <w:rPr>
                <w:sz w:val="20"/>
                <w:szCs w:val="20"/>
                <w:color w:val="auto"/>
              </w:rPr>
            </w:pPr>
            <w:r>
              <w:rPr>
                <w:rFonts w:ascii="Arial" w:cs="Arial" w:eastAsia="Arial" w:hAnsi="Arial"/>
                <w:sz w:val="18"/>
                <w:szCs w:val="18"/>
                <w:color w:val="auto"/>
              </w:rPr>
              <w:t>1,858,350</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1,301,928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38,761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2,201,275</w:t>
            </w:r>
          </w:p>
        </w:tc>
        <w:tc>
          <w:tcPr>
            <w:tcW w:w="1120" w:type="dxa"/>
            <w:vAlign w:val="bottom"/>
          </w:tcPr>
          <w:p>
            <w:pPr>
              <w:jc w:val="right"/>
              <w:spacing w:after="0"/>
              <w:rPr>
                <w:sz w:val="20"/>
                <w:szCs w:val="20"/>
                <w:color w:val="auto"/>
              </w:rPr>
            </w:pPr>
            <w:r>
              <w:rPr>
                <w:rFonts w:ascii="Arial" w:cs="Arial" w:eastAsia="Arial" w:hAnsi="Arial"/>
                <w:sz w:val="18"/>
                <w:szCs w:val="18"/>
                <w:color w:val="auto"/>
              </w:rPr>
              <w:t>1,658,932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22,813</w:t>
            </w:r>
          </w:p>
        </w:tc>
      </w:tr>
      <w:tr>
        <w:trPr>
          <w:trHeight w:val="20"/>
        </w:trPr>
        <w:tc>
          <w:tcPr>
            <w:tcW w:w="3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ind w:left="4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9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outstanding</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SARs as of</w:t>
            </w:r>
          </w:p>
        </w:tc>
        <w:tc>
          <w:tcPr>
            <w:tcW w:w="3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Number of Vested SARs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Insurance</w:t>
            </w:r>
          </w:p>
        </w:tc>
        <w:tc>
          <w:tcPr>
            <w:tcW w:w="22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2006</w:t>
            </w:r>
          </w:p>
        </w:tc>
        <w:tc>
          <w:tcPr>
            <w:tcW w:w="32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as of December 31</w:t>
            </w:r>
          </w:p>
        </w:tc>
        <w:tc>
          <w:tcPr>
            <w:tcW w:w="102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Exercise price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2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2006</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2005</w:t>
            </w:r>
          </w:p>
        </w:tc>
        <w:tc>
          <w:tcPr>
            <w:tcW w:w="120" w:type="dxa"/>
            <w:vAlign w:val="bottom"/>
          </w:tcPr>
          <w:p>
            <w:pPr>
              <w:spacing w:after="0"/>
              <w:rPr>
                <w:sz w:val="22"/>
                <w:szCs w:val="22"/>
                <w:color w:val="auto"/>
              </w:rPr>
            </w:pPr>
          </w:p>
        </w:tc>
      </w:tr>
      <w:tr>
        <w:trPr>
          <w:trHeight w:val="237"/>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US$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US$</w:t>
            </w:r>
          </w:p>
        </w:tc>
      </w:tr>
      <w:tr>
        <w:trPr>
          <w:trHeight w:val="243"/>
        </w:trPr>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1999</w:t>
            </w:r>
          </w:p>
        </w:tc>
        <w:tc>
          <w:tcPr>
            <w:tcW w:w="1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110,000</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7.64</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8.34</w:t>
            </w:r>
          </w:p>
        </w:tc>
      </w:tr>
      <w:tr>
        <w:trPr>
          <w:trHeight w:val="243"/>
        </w:trPr>
        <w:tc>
          <w:tcPr>
            <w:tcW w:w="296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68,750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68,750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187,250</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r>
      <w:tr>
        <w:trPr>
          <w:trHeight w:val="243"/>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2001</w:t>
            </w:r>
          </w:p>
        </w:tc>
        <w:tc>
          <w:tcPr>
            <w:tcW w:w="18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192,550</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6.30</w:t>
            </w:r>
          </w:p>
        </w:tc>
      </w:tr>
      <w:tr>
        <w:trPr>
          <w:trHeight w:val="243"/>
        </w:trPr>
        <w:tc>
          <w:tcPr>
            <w:tcW w:w="29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117,500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117,500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285,225</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r>
      <w:tr>
        <w:trPr>
          <w:trHeight w:val="243"/>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8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220,000</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220,000</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359,844</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8.47</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9.17</w:t>
            </w:r>
          </w:p>
        </w:tc>
      </w:tr>
      <w:tr>
        <w:trPr>
          <w:trHeight w:val="243"/>
        </w:trPr>
        <w:tc>
          <w:tcPr>
            <w:tcW w:w="29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352,750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317,984</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294,375</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11.99</w:t>
            </w:r>
          </w:p>
        </w:tc>
      </w:tr>
      <w:tr>
        <w:trPr>
          <w:trHeight w:val="202"/>
        </w:trPr>
        <w:tc>
          <w:tcPr>
            <w:tcW w:w="29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2005</w:t>
            </w:r>
          </w:p>
        </w:tc>
        <w:tc>
          <w:tcPr>
            <w:tcW w:w="186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457,600</w:t>
            </w:r>
          </w:p>
        </w:tc>
        <w:tc>
          <w:tcPr>
            <w:tcW w:w="16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281,038</w:t>
            </w:r>
          </w:p>
        </w:tc>
        <w:tc>
          <w:tcPr>
            <w:tcW w:w="162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229,688</w:t>
            </w:r>
          </w:p>
        </w:tc>
        <w:tc>
          <w:tcPr>
            <w:tcW w:w="102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16.30</w:t>
            </w:r>
          </w:p>
        </w:tc>
        <w:tc>
          <w:tcPr>
            <w:tcW w:w="54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17.00</w:t>
            </w:r>
          </w:p>
        </w:tc>
        <w:tc>
          <w:tcPr>
            <w:tcW w:w="120" w:type="dxa"/>
            <w:vAlign w:val="bottom"/>
            <w:shd w:val="clear" w:color="auto" w:fill="CCFFCC"/>
          </w:tcPr>
          <w:p>
            <w:pPr>
              <w:spacing w:after="0"/>
              <w:rPr>
                <w:sz w:val="17"/>
                <w:szCs w:val="17"/>
                <w:color w:val="auto"/>
              </w:rPr>
            </w:pPr>
          </w:p>
        </w:tc>
      </w:tr>
      <w:tr>
        <w:trPr>
          <w:trHeight w:val="257"/>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560,250</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215,156</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spacing w:after="0"/>
              <w:rPr>
                <w:sz w:val="22"/>
                <w:szCs w:val="22"/>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25.62</w:t>
            </w:r>
          </w:p>
        </w:tc>
        <w:tc>
          <w:tcPr>
            <w:tcW w:w="54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r>
      <w:tr>
        <w:trPr>
          <w:trHeight w:val="20"/>
        </w:trPr>
        <w:tc>
          <w:tcPr>
            <w:tcW w:w="29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2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1,858,350</w:t>
            </w:r>
          </w:p>
        </w:tc>
        <w:tc>
          <w:tcPr>
            <w:tcW w:w="12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1,301,928</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1,658,932</w:t>
            </w: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The date of expiration of the current Board is March 31, 2008. Credicorp’s current Directors have no benefits in addition to the remuneration agreed at the Annual General Shareholders’ Meetings, nor benefits that could be enjoyed at the termination of their service terms.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Credicorp’s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1" w:name="page122"/>
    <w:bookmarkEnd w:id="121"/>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3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At December 31, 2006, Credicorp had 13,090 full time employees, distributed as set forth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0"/>
              </w:rPr>
              <w:t>At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9"/>
        </w:trPr>
        <w:tc>
          <w:tcPr>
            <w:tcW w:w="6740" w:type="dxa"/>
            <w:vAlign w:val="bottom"/>
          </w:tcPr>
          <w:p>
            <w:pPr>
              <w:spacing w:after="0"/>
              <w:rPr>
                <w:sz w:val="23"/>
                <w:szCs w:val="23"/>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r>
      <w:tr>
        <w:trPr>
          <w:trHeight w:val="258"/>
        </w:trPr>
        <w:tc>
          <w:tcPr>
            <w:tcW w:w="67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i w:val="1"/>
                <w:iCs w:val="1"/>
                <w:color w:val="auto"/>
                <w:w w:val="91"/>
              </w:rPr>
              <w:t>(Full-time employees)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BCP</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7,694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7,568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Banco Tequendama</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PPS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1,093</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ASHC</w:t>
            </w: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02"/>
        </w:trPr>
        <w:tc>
          <w:tcPr>
            <w:tcW w:w="67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Prima AFP</w:t>
            </w:r>
          </w:p>
        </w:tc>
        <w:tc>
          <w:tcPr>
            <w:tcW w:w="15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720" w:type="dxa"/>
            <w:vAlign w:val="bottom"/>
            <w:gridSpan w:val="3"/>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457</w:t>
            </w:r>
          </w:p>
        </w:tc>
        <w:tc>
          <w:tcPr>
            <w:tcW w:w="14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1,729</w:t>
            </w:r>
          </w:p>
        </w:tc>
      </w:tr>
      <w:tr>
        <w:trPr>
          <w:trHeight w:val="257"/>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363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Credicorp</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9,558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9,544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11,532</w:t>
            </w: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All employees of banks in Peru are given the option of belonging to an employee union, and such employee unions are collectively represented by the </w:t>
      </w:r>
      <w:r>
        <w:rPr>
          <w:rFonts w:ascii="Arial" w:cs="Arial" w:eastAsia="Arial" w:hAnsi="Arial"/>
          <w:sz w:val="17"/>
          <w:szCs w:val="17"/>
          <w:i w:val="1"/>
          <w:iCs w:val="1"/>
          <w:color w:val="auto"/>
        </w:rPr>
        <w:t>Federación de Empleados Bancarios</w:t>
      </w:r>
      <w:r>
        <w:rPr>
          <w:rFonts w:ascii="Arial" w:cs="Arial" w:eastAsia="Arial" w:hAnsi="Arial"/>
          <w:sz w:val="17"/>
          <w:szCs w:val="17"/>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2006, no BCP employees belonged to a union. The last strike by union employees occurred in 1991 and did not interfere with BCP’s operations.</w:t>
      </w:r>
    </w:p>
    <w:p>
      <w:pPr>
        <w:spacing w:after="0" w:line="231"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2006, Grupo Romero owned 15.1 million (16.0%)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79"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2006,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6"/>
          <w:szCs w:val="16"/>
          <w:color w:val="auto"/>
        </w:rPr>
        <w:t>The table below provides details about the percentage of Common Shares owned by holders of 5% or more of Common Shares, of April 30, 2007.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Common</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67"/>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79"/>
              </w:rPr>
              <w:t>Class</w:t>
            </w:r>
            <w:r>
              <w:rPr>
                <w:rFonts w:ascii="Arial" w:cs="Arial" w:eastAsia="Arial" w:hAnsi="Arial"/>
                <w:sz w:val="30"/>
                <w:szCs w:val="30"/>
                <w:color w:val="auto"/>
                <w:w w:val="79"/>
                <w:vertAlign w:val="superscript"/>
              </w:rPr>
              <w:t>(1)</w:t>
            </w:r>
          </w:p>
        </w:tc>
        <w:tc>
          <w:tcPr>
            <w:tcW w:w="160" w:type="dxa"/>
            <w:vAlign w:val="bottom"/>
          </w:tcPr>
          <w:p>
            <w:pPr>
              <w:spacing w:after="0"/>
              <w:rPr>
                <w:sz w:val="23"/>
                <w:szCs w:val="23"/>
                <w:color w:val="auto"/>
              </w:rPr>
            </w:pPr>
          </w:p>
        </w:tc>
      </w:tr>
      <w:tr>
        <w:trPr>
          <w:trHeight w:val="250"/>
        </w:trPr>
        <w:tc>
          <w:tcPr>
            <w:tcW w:w="8120" w:type="dxa"/>
            <w:vAlign w:val="bottom"/>
            <w:shd w:val="clear" w:color="auto" w:fill="CCFFCC"/>
          </w:tcPr>
          <w:p>
            <w:pPr>
              <w:ind w:left="340"/>
              <w:spacing w:after="0" w:line="250" w:lineRule="exact"/>
              <w:rPr>
                <w:sz w:val="20"/>
                <w:szCs w:val="20"/>
                <w:color w:val="auto"/>
              </w:rPr>
            </w:pPr>
            <w:r>
              <w:rPr>
                <w:rFonts w:ascii="Arial" w:cs="Arial" w:eastAsia="Arial" w:hAnsi="Arial"/>
                <w:sz w:val="17"/>
                <w:szCs w:val="17"/>
                <w:color w:val="auto"/>
              </w:rPr>
              <w:t>Romero family</w:t>
            </w:r>
            <w:r>
              <w:rPr>
                <w:rFonts w:ascii="Arial" w:cs="Arial" w:eastAsia="Arial" w:hAnsi="Arial"/>
                <w:sz w:val="28"/>
                <w:szCs w:val="28"/>
                <w:color w:val="auto"/>
                <w:vertAlign w:val="superscript"/>
              </w:rPr>
              <w:t>(2)</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15,106,752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16.01%</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Atlantic Security Holding Corporation</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14,620,842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AFP Integra</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9,439,882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AFP Horizonte</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6,583,769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AFP Prima</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8,810,060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8877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BCP, ASHC and PPS).</w:t>
      </w:r>
    </w:p>
    <w:p>
      <w:pPr>
        <w:spacing w:after="0" w:line="27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and his family or companies owned or controlled by him. Mr. Romero is the Chairman and Chief Executive Officer of Credicorp.</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29.14% of the total issued and outstanding Common Shares of Credicorp are currently held in 1,984 individual accounts with Cavali, a Peruvian securities clearing company.</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April 30, 2007, 79,761,475 Common Shares of Credicorp (excluding the 14,620,842 shares held by ASHC) were outstanding, of which approximately 55% were held in the United States. As of such date, there were 112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Credicorp is not directly or indirectly controlled by another corporation or by any foreign government.</w:t>
      </w:r>
    </w:p>
    <w:p>
      <w:pPr>
        <w:spacing w:after="0" w:line="208"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83" w:lineRule="exact"/>
        <w:rPr>
          <w:rFonts w:ascii="Arial" w:cs="Arial" w:eastAsia="Arial" w:hAnsi="Arial"/>
          <w:sz w:val="18"/>
          <w:szCs w:val="18"/>
          <w:b w:val="1"/>
          <w:bCs w:val="1"/>
          <w:color w:val="auto"/>
        </w:rPr>
      </w:pPr>
    </w:p>
    <w:p>
      <w:pPr>
        <w:ind w:left="1500" w:hanging="844"/>
        <w:spacing w:after="0"/>
        <w:tabs>
          <w:tab w:leader="none" w:pos="1500" w:val="left"/>
        </w:tabs>
        <w:numPr>
          <w:ilvl w:val="1"/>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Credicorp</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Credicorp as of December 31, 2006 and 2005 include the transactions with related parties of the companies mentioned in Note 3(b) to Credicorp Consolidated Financial Statements. For its 2006 and 2005 financial statements, Credicorp defines related parties as related companies, the members of the Board of Directors, Credicorp’s key executives (</w:t>
      </w:r>
      <w:r>
        <w:rPr>
          <w:rFonts w:ascii="Arial" w:cs="Arial" w:eastAsia="Arial" w:hAnsi="Arial"/>
          <w:sz w:val="17"/>
          <w:szCs w:val="17"/>
          <w:i w:val="1"/>
          <w:iCs w:val="1"/>
          <w:color w:val="auto"/>
        </w:rPr>
        <w:t>i.e.</w:t>
      </w:r>
      <w:r>
        <w:rPr>
          <w:rFonts w:ascii="Arial" w:cs="Arial" w:eastAsia="Arial" w:hAnsi="Arial"/>
          <w:sz w:val="17"/>
          <w:szCs w:val="17"/>
          <w:color w:val="auto"/>
        </w:rPr>
        <w:t>, the management of Credicorp Ltd.) and enterprises that are controlled by these individuals or entities through majority shareholding or their role as chairman or principal executive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The following table shows the main transactions with related companies as of December 31, 2006 and 2005:</w:t>
      </w:r>
    </w:p>
    <w:p>
      <w:pPr>
        <w:spacing w:after="0" w:line="329"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Related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886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Arial" w:cs="Arial" w:eastAsia="Arial" w:hAnsi="Arial"/>
                <w:sz w:val="18"/>
                <w:szCs w:val="18"/>
                <w:i w:val="1"/>
                <w:iCs w:val="1"/>
                <w:color w:val="auto"/>
              </w:rPr>
              <w:t>(In U.S. Dollars in thousands)</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Direct loans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70,636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48,533</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Unrealized gain from investments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34,226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23,393</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Investments available por sale</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27,899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21,815</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Deposits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25,074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21,305</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Contingent operations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13,925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8,379</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Interest income related to loans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Interest expense related to deposits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991</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Derivatives (market value)</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Other income</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546</w:t>
            </w:r>
          </w:p>
        </w:tc>
      </w:tr>
    </w:tbl>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loans, contingent operations and derivative contracts with related parties were made in the ordinary course of business, on substantially the same terms prevailing at the time they were made for comparable transactions with other persons, including with respect to interest and collateral, and did not involve more than the normal risk of collectability or present other unfavorable features. The loans to related companies as of December 31, 2006 had a maturity between January 2007 and August 2012 and an accrued interest average of 7.71%. As of December 31, 2006, the provision for doubtful debts due to related parties amounts to US$0.1 million (US$1.4 million as of December 31, 2005). This amount is calculated based on a continuous assessment of the financial position of the related party and the market in which it operates.</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2006 and 2005, directors, officers and employees of Credicorp have been involved, directly and indirectly, in credit transactions with certain subsidiaries of Credicorp, as permitted by Peruvian Law Nº26702, which regulates certain transactions with employees, directors and officers of banks and insurance companies in Peru. As of December 31, 2006 and 2005, direct loans to employees, directors and officers amounted to US$59.5 and US$25.1 million, respectively. These loans are repaid monthly and accrue interest at market rates. Credicorp does not grant loans to the directors and key personnel where shares of Credicorp or other companies within the Group are used as guarantee.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2"/>
          </w:tcPr>
          <w:p>
            <w:pPr>
              <w:ind w:left="660"/>
              <w:spacing w:after="0"/>
              <w:rPr>
                <w:sz w:val="20"/>
                <w:szCs w:val="20"/>
                <w:color w:val="auto"/>
              </w:rPr>
            </w:pPr>
            <w:r>
              <w:rPr>
                <w:rFonts w:ascii="Arial" w:cs="Arial" w:eastAsia="Arial" w:hAnsi="Arial"/>
                <w:sz w:val="18"/>
                <w:szCs w:val="18"/>
                <w:color w:val="auto"/>
                <w:w w:val="95"/>
              </w:rPr>
              <w:t>The following reflects Credicorp’s subsidiaries key executives compensation as of December 31, 2006 and 2005:</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3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Arial" w:cs="Arial" w:eastAsia="Arial" w:hAnsi="Arial"/>
                <w:sz w:val="18"/>
                <w:szCs w:val="18"/>
                <w:i w:val="1"/>
                <w:iCs w:val="1"/>
                <w:color w:val="auto"/>
              </w:rPr>
              <w:t>(In U.S. Dollars in thousands)</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Stock appreciation rights</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23,206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Salaries</w:t>
            </w:r>
          </w:p>
        </w:tc>
        <w:tc>
          <w:tcPr>
            <w:tcW w:w="500" w:type="dxa"/>
            <w:vAlign w:val="bottom"/>
          </w:tcPr>
          <w:p>
            <w:pPr>
              <w:jc w:val="right"/>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Directors compensations</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1,115</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3"/>
                <w:szCs w:val="23"/>
                <w:color w:val="auto"/>
              </w:rPr>
            </w:pPr>
          </w:p>
        </w:tc>
      </w:tr>
      <w:tr>
        <w:trPr>
          <w:trHeight w:val="264"/>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36,165</w:t>
            </w:r>
          </w:p>
        </w:tc>
        <w:tc>
          <w:tcPr>
            <w:tcW w:w="2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14,941</w:t>
            </w:r>
          </w:p>
        </w:tc>
      </w:tr>
      <w:tr>
        <w:trPr>
          <w:trHeight w:val="480"/>
        </w:trPr>
        <w:tc>
          <w:tcPr>
            <w:tcW w:w="8340" w:type="dxa"/>
            <w:vAlign w:val="bottom"/>
          </w:tcPr>
          <w:p>
            <w:pPr>
              <w:ind w:left="5580"/>
              <w:spacing w:after="0"/>
              <w:rPr>
                <w:sz w:val="20"/>
                <w:szCs w:val="20"/>
                <w:color w:val="auto"/>
              </w:rPr>
            </w:pPr>
            <w:r>
              <w:rPr>
                <w:rFonts w:ascii="Arial" w:cs="Arial" w:eastAsia="Arial" w:hAnsi="Arial"/>
                <w:sz w:val="18"/>
                <w:szCs w:val="18"/>
                <w:color w:val="auto"/>
              </w:rPr>
              <w:t>119</w:t>
            </w: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6"/>
          <w:szCs w:val="16"/>
          <w:color w:val="auto"/>
        </w:rPr>
        <w:t>Credicorp’s subsidiaries key executives compensation comprises all the payments received by them, including taxes, which are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61" w:lineRule="exact"/>
        <w:rPr>
          <w:sz w:val="20"/>
          <w:szCs w:val="20"/>
          <w:color w:val="auto"/>
        </w:rPr>
      </w:pPr>
    </w:p>
    <w:p>
      <w:pPr>
        <w:ind w:left="660" w:right="8260" w:hanging="652"/>
        <w:spacing w:after="0" w:line="563" w:lineRule="auto"/>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79" w:lineRule="exact"/>
        <w:rPr>
          <w:sz w:val="20"/>
          <w:szCs w:val="20"/>
          <w:color w:val="auto"/>
        </w:rPr>
      </w:pPr>
    </w:p>
    <w:p>
      <w:pPr>
        <w:ind w:left="660" w:right="6260" w:hanging="652"/>
        <w:spacing w:after="0" w:line="566" w:lineRule="auto"/>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b w:val="1"/>
          <w:bCs w:val="1"/>
          <w:i w:val="1"/>
          <w:iCs w:val="1"/>
          <w:color w:val="auto"/>
        </w:rPr>
        <w:t>Consolidated Financial Statements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“Item 19. Exhibits” for a list of financial statements filed under Item 18.</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businesses. In addition, Credicorp was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and its subsidiaries are not involved in 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The following table shows cash and stock dividends paid by Credicorp in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Shares Entitled</w:t>
            </w:r>
          </w:p>
        </w:tc>
        <w:tc>
          <w:tcPr>
            <w:tcW w:w="2160" w:type="dxa"/>
            <w:vAlign w:val="bottom"/>
          </w:tcPr>
          <w:p>
            <w:pPr>
              <w:ind w:left="480"/>
              <w:spacing w:after="0"/>
              <w:rPr>
                <w:sz w:val="20"/>
                <w:szCs w:val="20"/>
                <w:color w:val="auto"/>
              </w:rPr>
            </w:pPr>
            <w:r>
              <w:rPr>
                <w:rFonts w:ascii="Arial" w:cs="Arial" w:eastAsia="Arial" w:hAnsi="Arial"/>
                <w:sz w:val="18"/>
                <w:szCs w:val="18"/>
                <w:b w:val="1"/>
                <w:bCs w:val="1"/>
                <w:color w:val="auto"/>
              </w:rPr>
              <w:t>Cash Dividends</w:t>
            </w:r>
          </w:p>
        </w:tc>
        <w:tc>
          <w:tcPr>
            <w:tcW w:w="220" w:type="dxa"/>
            <w:vAlign w:val="bottom"/>
          </w:tcPr>
          <w:p>
            <w:pPr>
              <w:spacing w:after="0"/>
              <w:rPr>
                <w:sz w:val="18"/>
                <w:szCs w:val="18"/>
                <w:color w:val="auto"/>
              </w:rPr>
            </w:pPr>
          </w:p>
        </w:tc>
        <w:tc>
          <w:tcPr>
            <w:tcW w:w="2260" w:type="dxa"/>
            <w:vAlign w:val="bottom"/>
            <w:gridSpan w:val="2"/>
          </w:tcPr>
          <w:p>
            <w:pPr>
              <w:ind w:left="440"/>
              <w:spacing w:after="0"/>
              <w:rPr>
                <w:sz w:val="20"/>
                <w:szCs w:val="20"/>
                <w:color w:val="auto"/>
              </w:rPr>
            </w:pPr>
            <w:r>
              <w:rPr>
                <w:rFonts w:ascii="Arial" w:cs="Arial" w:eastAsia="Arial" w:hAnsi="Arial"/>
                <w:sz w:val="18"/>
                <w:szCs w:val="18"/>
                <w:b w:val="1"/>
                <w:bCs w:val="1"/>
                <w:color w:val="auto"/>
              </w:rPr>
              <w:t>Stock Dividends</w:t>
            </w: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Dividends</w:t>
            </w:r>
          </w:p>
        </w:tc>
        <w:tc>
          <w:tcPr>
            <w:tcW w:w="240" w:type="dxa"/>
            <w:vAlign w:val="bottom"/>
          </w:tcPr>
          <w:p>
            <w:pPr>
              <w:spacing w:after="0"/>
              <w:rPr>
                <w:sz w:val="20"/>
                <w:szCs w:val="20"/>
                <w:color w:val="auto"/>
              </w:rPr>
            </w:pPr>
          </w:p>
        </w:tc>
        <w:tc>
          <w:tcPr>
            <w:tcW w:w="21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r>
      <w:tr>
        <w:trPr>
          <w:trHeight w:val="264"/>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1999</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US$0.20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2000</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US$0.10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2001</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US$0.10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2002</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US$0.40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US$0.30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2004</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US$0.40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US$0.80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2006</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US$1.10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February 28, 2007, the Board declared a cash dividend of US$1.30 per Common Share held at the close of business on April 9, 2007, which was distributed on May 7, 2007 and approved by the Annual General Meeting held on March 30, 2007.</w:t>
      </w:r>
    </w:p>
    <w:p>
      <w:pPr>
        <w:spacing w:after="0" w:line="220"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2005, Credicorp’s Board of Directors adopted amendments to the policies of the Audit Committee in response to the requirements of the U.S. Sarbanes-Oxley Act of 2002. The amended policies include a detailed description of the Audit Committee’s oversight role in ensuring the integrity of Credicorp’s financial statements, compliance with legal requirements, the independence and qualifications of auditors, and sufficiency of Credicorp’s disclosure controls and procedures and internal controls over financial reporting. The policies were also updated to reflect the independence requirements and the financial expert requirements of the Audit Committee pursuant to the U.S. Sarbanes-Oxley Act of 2002.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6" w:name="page127"/>
    <w:bookmarkEnd w:id="126"/>
    <w:p>
      <w:pPr>
        <w:spacing w:after="0"/>
        <w:tabs>
          <w:tab w:leader="none" w:pos="15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93"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Price History of Credicorp’s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High</w:t>
            </w: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2002</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10.10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US$6.91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38,371</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2003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US$13.38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US$9.35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41,931</w:t>
            </w: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US$15.87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US$12.00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22,184</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2005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US$28.81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82,338</w:t>
            </w: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US$45.42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176,388</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US$17.71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18,500</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US$19.09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US$16.70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32,672</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US$27.43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US$19.00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46,200</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US$28.81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231,554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2006</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145,969</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US$29.21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US$24.81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178.809</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US$41.17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US$28.13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206,243</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US$45.42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US$38.42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154,515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US$51.68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US$38.80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283,922</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 (through June 8)</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US$61.95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US$47.92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Source : Bloomberg</w:t>
      </w:r>
    </w:p>
    <w:p>
      <w:pPr>
        <w:spacing w:after="0" w:line="279" w:lineRule="exact"/>
        <w:rPr>
          <w:sz w:val="20"/>
          <w:szCs w:val="20"/>
          <w:color w:val="auto"/>
        </w:rPr>
      </w:pPr>
    </w:p>
    <w:p>
      <w:pPr>
        <w:jc w:val="both"/>
        <w:ind w:left="660" w:hanging="652"/>
        <w:spacing w:after="0" w:line="26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7" w:name="page128"/>
    <w:bookmarkEnd w:id="127"/>
    <w:p>
      <w:pPr>
        <w:ind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the Common Shares on the Lima Stock Exchange.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r>
      <w:tr>
        <w:trPr>
          <w:trHeight w:val="234"/>
        </w:trPr>
        <w:tc>
          <w:tcPr>
            <w:tcW w:w="6740" w:type="dxa"/>
            <w:vAlign w:val="bottom"/>
          </w:tcPr>
          <w:p>
            <w:pPr>
              <w:spacing w:after="0"/>
              <w:rPr>
                <w:sz w:val="20"/>
                <w:szCs w:val="20"/>
                <w:color w:val="auto"/>
              </w:rPr>
            </w:pPr>
          </w:p>
        </w:tc>
        <w:tc>
          <w:tcPr>
            <w:tcW w:w="1620" w:type="dxa"/>
            <w:vAlign w:val="bottom"/>
            <w:gridSpan w:val="2"/>
          </w:tcPr>
          <w:p>
            <w:pPr>
              <w:ind w:left="400"/>
              <w:spacing w:after="0"/>
              <w:rPr>
                <w:sz w:val="20"/>
                <w:szCs w:val="20"/>
                <w:color w:val="auto"/>
              </w:rPr>
            </w:pPr>
            <w:r>
              <w:rPr>
                <w:rFonts w:ascii="Arial" w:cs="Arial" w:eastAsia="Arial" w:hAnsi="Arial"/>
                <w:sz w:val="18"/>
                <w:szCs w:val="18"/>
                <w:b w:val="1"/>
                <w:bCs w:val="1"/>
                <w:color w:val="auto"/>
              </w:rPr>
              <w:t>High</w:t>
            </w:r>
            <w:r>
              <w:rPr>
                <w:rFonts w:ascii="Arial" w:cs="Arial" w:eastAsia="Arial" w:hAnsi="Arial"/>
                <w:sz w:val="18"/>
                <w:szCs w:val="18"/>
                <w:color w:val="auto"/>
              </w:rPr>
              <w:t>(1)</w:t>
            </w:r>
          </w:p>
        </w:tc>
        <w:tc>
          <w:tcPr>
            <w:tcW w:w="1600" w:type="dxa"/>
            <w:vAlign w:val="bottom"/>
            <w:gridSpan w:val="2"/>
          </w:tcPr>
          <w:p>
            <w:pPr>
              <w:ind w:left="400"/>
              <w:spacing w:after="0"/>
              <w:rPr>
                <w:sz w:val="20"/>
                <w:szCs w:val="20"/>
                <w:color w:val="auto"/>
              </w:rPr>
            </w:pPr>
            <w:r>
              <w:rPr>
                <w:rFonts w:ascii="Arial" w:cs="Arial" w:eastAsia="Arial" w:hAnsi="Arial"/>
                <w:sz w:val="18"/>
                <w:szCs w:val="18"/>
                <w:b w:val="1"/>
                <w:bCs w:val="1"/>
                <w:color w:val="auto"/>
              </w:rPr>
              <w:t>Low</w:t>
            </w:r>
            <w:r>
              <w:rPr>
                <w:rFonts w:ascii="Arial" w:cs="Arial" w:eastAsia="Arial" w:hAnsi="Arial"/>
                <w:sz w:val="18"/>
                <w:szCs w:val="18"/>
                <w:color w:val="auto"/>
              </w:rPr>
              <w:t>(1)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r>
      <w:tr>
        <w:trPr>
          <w:trHeight w:val="237"/>
        </w:trPr>
        <w:tc>
          <w:tcPr>
            <w:tcW w:w="67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2002</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US$10.06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US$7.01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39,355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2003</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US$12.60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US$9.38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29,701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US$15.70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US$12.08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21,564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2005</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US$28.99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US$14.33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15,744</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US$45.58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US$38.27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16,950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US$17.62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US$14.33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11,153</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US$19.01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US$15.97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19,616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US$27.45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US$18.74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10,742</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US$21.90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21,472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2006</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US$22.41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9,277</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US$28.96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US$24.83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19,336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US$40.95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US$27.96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11,625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US$45.58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US$38.27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27,562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US$51.68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US$39.00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14,553</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 (through June 8)</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US$61.80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US$47.93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jc w:val="both"/>
        <w:ind w:left="660" w:hanging="652"/>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the Common Shares on the New York Stock Exchange.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0" w:type="dxa"/>
            <w:vAlign w:val="bottom"/>
            <w:gridSpan w:val="2"/>
          </w:tcPr>
          <w:p>
            <w:pPr>
              <w:ind w:left="500"/>
              <w:spacing w:after="0"/>
              <w:rPr>
                <w:sz w:val="20"/>
                <w:szCs w:val="20"/>
                <w:color w:val="auto"/>
              </w:rPr>
            </w:pPr>
            <w:r>
              <w:rPr>
                <w:rFonts w:ascii="Arial" w:cs="Arial" w:eastAsia="Arial" w:hAnsi="Arial"/>
                <w:sz w:val="18"/>
                <w:szCs w:val="18"/>
                <w:b w:val="1"/>
                <w:bCs w:val="1"/>
                <w:color w:val="auto"/>
              </w:rPr>
              <w:t>High</w:t>
            </w:r>
          </w:p>
        </w:tc>
        <w:tc>
          <w:tcPr>
            <w:tcW w:w="1480" w:type="dxa"/>
            <w:vAlign w:val="bottom"/>
            <w:gridSpan w:val="2"/>
          </w:tcPr>
          <w:p>
            <w:pPr>
              <w:ind w:left="520"/>
              <w:spacing w:after="0"/>
              <w:rPr>
                <w:sz w:val="20"/>
                <w:szCs w:val="20"/>
                <w:color w:val="auto"/>
              </w:rPr>
            </w:pPr>
            <w:r>
              <w:rPr>
                <w:rFonts w:ascii="Arial" w:cs="Arial" w:eastAsia="Arial" w:hAnsi="Arial"/>
                <w:sz w:val="18"/>
                <w:szCs w:val="18"/>
                <w:b w:val="1"/>
                <w:bCs w:val="1"/>
                <w:color w:val="auto"/>
              </w:rPr>
              <w:t>Low</w:t>
            </w:r>
          </w:p>
        </w:tc>
      </w:tr>
      <w:tr>
        <w:trPr>
          <w:trHeight w:val="480"/>
        </w:trPr>
        <w:tc>
          <w:tcPr>
            <w:tcW w:w="1120" w:type="dxa"/>
            <w:vAlign w:val="bottom"/>
          </w:tcPr>
          <w:p>
            <w:pPr>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12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1"/>
              </w:rPr>
              <w:t>December</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US$42.00</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US$39.04</w:t>
            </w:r>
          </w:p>
        </w:tc>
      </w:tr>
      <w:tr>
        <w:trPr>
          <w:trHeight w:val="243"/>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FFCC"/>
          </w:tcPr>
          <w:p>
            <w:pPr>
              <w:spacing w:after="0"/>
              <w:rPr>
                <w:sz w:val="21"/>
                <w:szCs w:val="21"/>
                <w:color w:val="auto"/>
              </w:rPr>
            </w:pPr>
          </w:p>
        </w:tc>
        <w:tc>
          <w:tcPr>
            <w:tcW w:w="2360" w:type="dxa"/>
            <w:vAlign w:val="bottom"/>
            <w:shd w:val="clear" w:color="auto" w:fill="CCFFCC"/>
          </w:tcPr>
          <w:p>
            <w:pPr>
              <w:spacing w:after="0"/>
              <w:rPr>
                <w:sz w:val="21"/>
                <w:szCs w:val="21"/>
                <w:color w:val="auto"/>
              </w:rPr>
            </w:pPr>
          </w:p>
        </w:tc>
        <w:tc>
          <w:tcPr>
            <w:tcW w:w="45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1120" w:type="dxa"/>
            <w:vAlign w:val="bottom"/>
          </w:tcPr>
          <w:p>
            <w:pPr>
              <w:ind w:left="340"/>
              <w:spacing w:after="0"/>
              <w:rPr>
                <w:sz w:val="20"/>
                <w:szCs w:val="20"/>
                <w:color w:val="auto"/>
              </w:rPr>
            </w:pPr>
            <w:r>
              <w:rPr>
                <w:rFonts w:ascii="Arial" w:cs="Arial" w:eastAsia="Arial" w:hAnsi="Arial"/>
                <w:sz w:val="18"/>
                <w:szCs w:val="18"/>
                <w:color w:val="auto"/>
              </w:rPr>
              <w:t>January</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US$41.67</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US$38.80</w:t>
            </w:r>
          </w:p>
        </w:tc>
      </w:tr>
      <w:tr>
        <w:trPr>
          <w:trHeight w:val="270"/>
        </w:trPr>
        <w:tc>
          <w:tcPr>
            <w:tcW w:w="1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February</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US$51.68</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US$42.45</w:t>
            </w:r>
          </w:p>
        </w:tc>
      </w:tr>
      <w:tr>
        <w:trPr>
          <w:trHeight w:val="270"/>
        </w:trPr>
        <w:tc>
          <w:tcPr>
            <w:tcW w:w="1120" w:type="dxa"/>
            <w:vAlign w:val="bottom"/>
          </w:tcPr>
          <w:p>
            <w:pPr>
              <w:ind w:left="340"/>
              <w:spacing w:after="0"/>
              <w:rPr>
                <w:sz w:val="20"/>
                <w:szCs w:val="20"/>
                <w:color w:val="auto"/>
              </w:rPr>
            </w:pPr>
            <w:r>
              <w:rPr>
                <w:rFonts w:ascii="Arial" w:cs="Arial" w:eastAsia="Arial" w:hAnsi="Arial"/>
                <w:sz w:val="18"/>
                <w:szCs w:val="18"/>
                <w:color w:val="auto"/>
              </w:rPr>
              <w:t>March</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US$48.17</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US$43.02</w:t>
            </w:r>
          </w:p>
        </w:tc>
      </w:tr>
      <w:tr>
        <w:trPr>
          <w:trHeight w:val="270"/>
        </w:trPr>
        <w:tc>
          <w:tcPr>
            <w:tcW w:w="1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April</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US$52.61</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US$47.92</w:t>
            </w:r>
          </w:p>
        </w:tc>
      </w:tr>
      <w:tr>
        <w:trPr>
          <w:trHeight w:val="270"/>
        </w:trPr>
        <w:tc>
          <w:tcPr>
            <w:tcW w:w="1120" w:type="dxa"/>
            <w:vAlign w:val="bottom"/>
          </w:tcPr>
          <w:p>
            <w:pPr>
              <w:ind w:left="340"/>
              <w:spacing w:after="0"/>
              <w:rPr>
                <w:sz w:val="20"/>
                <w:szCs w:val="20"/>
                <w:color w:val="auto"/>
              </w:rPr>
            </w:pPr>
            <w:r>
              <w:rPr>
                <w:rFonts w:ascii="Arial" w:cs="Arial" w:eastAsia="Arial" w:hAnsi="Arial"/>
                <w:sz w:val="18"/>
                <w:szCs w:val="18"/>
                <w:color w:val="auto"/>
              </w:rPr>
              <w:t>May</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US$61.95</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US$53.15</w:t>
            </w:r>
          </w:p>
        </w:tc>
      </w:tr>
      <w:tr>
        <w:trPr>
          <w:trHeight w:val="270"/>
        </w:trPr>
        <w:tc>
          <w:tcPr>
            <w:tcW w:w="376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June (through June 8)</w:t>
            </w: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US$58.04</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US$55.49</w:t>
            </w:r>
          </w:p>
        </w:tc>
      </w:tr>
      <w:tr>
        <w:trPr>
          <w:trHeight w:val="388"/>
        </w:trPr>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120" w:type="dxa"/>
            <w:vAlign w:val="bottom"/>
          </w:tcPr>
          <w:p>
            <w:pPr>
              <w:ind w:left="60"/>
              <w:spacing w:after="0"/>
              <w:rPr>
                <w:sz w:val="20"/>
                <w:szCs w:val="20"/>
                <w:color w:val="auto"/>
              </w:rPr>
            </w:pPr>
            <w:r>
              <w:rPr>
                <w:rFonts w:ascii="Arial" w:cs="Arial" w:eastAsia="Arial" w:hAnsi="Arial"/>
                <w:sz w:val="18"/>
                <w:szCs w:val="18"/>
                <w:color w:val="auto"/>
              </w:rPr>
              <w:t>Source:</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Bloomberg</w:t>
            </w:r>
          </w:p>
        </w:tc>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jc w:val="right"/>
              <w:ind w:right="2410"/>
              <w:spacing w:after="0"/>
              <w:rPr>
                <w:sz w:val="20"/>
                <w:szCs w:val="20"/>
                <w:color w:val="auto"/>
              </w:rPr>
            </w:pPr>
            <w:r>
              <w:rPr>
                <w:rFonts w:ascii="Arial" w:cs="Arial" w:eastAsia="Arial" w:hAnsi="Arial"/>
                <w:sz w:val="18"/>
                <w:szCs w:val="18"/>
                <w:color w:val="auto"/>
              </w:rPr>
              <w:t>123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-648970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Lima Stock Exchange.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0" w:type="dxa"/>
            <w:vAlign w:val="bottom"/>
            <w:gridSpan w:val="2"/>
          </w:tcPr>
          <w:p>
            <w:pPr>
              <w:ind w:left="580"/>
              <w:spacing w:after="0"/>
              <w:rPr>
                <w:sz w:val="20"/>
                <w:szCs w:val="20"/>
                <w:color w:val="auto"/>
              </w:rPr>
            </w:pPr>
            <w:r>
              <w:rPr>
                <w:rFonts w:ascii="Arial" w:cs="Arial" w:eastAsia="Arial" w:hAnsi="Arial"/>
                <w:sz w:val="18"/>
                <w:szCs w:val="18"/>
                <w:b w:val="1"/>
                <w:bCs w:val="1"/>
                <w:color w:val="auto"/>
              </w:rPr>
              <w:t>High</w:t>
            </w:r>
          </w:p>
        </w:tc>
        <w:tc>
          <w:tcPr>
            <w:tcW w:w="1480" w:type="dxa"/>
            <w:vAlign w:val="bottom"/>
            <w:gridSpan w:val="2"/>
          </w:tcPr>
          <w:p>
            <w:pPr>
              <w:ind w:left="600"/>
              <w:spacing w:after="0"/>
              <w:rPr>
                <w:sz w:val="20"/>
                <w:szCs w:val="20"/>
                <w:color w:val="auto"/>
              </w:rPr>
            </w:pPr>
            <w:r>
              <w:rPr>
                <w:rFonts w:ascii="Arial" w:cs="Arial" w:eastAsia="Arial" w:hAnsi="Arial"/>
                <w:sz w:val="18"/>
                <w:szCs w:val="18"/>
                <w:b w:val="1"/>
                <w:bCs w:val="1"/>
                <w:color w:val="auto"/>
              </w:rPr>
              <w:t>Low</w:t>
            </w:r>
          </w:p>
        </w:tc>
      </w:tr>
      <w:tr>
        <w:trPr>
          <w:trHeight w:val="480"/>
        </w:trPr>
        <w:tc>
          <w:tcPr>
            <w:tcW w:w="83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December</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US$41.83</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US$39.00</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January</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US$41.15</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US$39.00</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February</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US$51.68</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US$42.07</w:t>
            </w: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March</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US$48.26</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US$43.10</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April</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US$52.81</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US$47.93</w:t>
            </w: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May</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US$61.80</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US$54.50</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June (through June 9)</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US$58.15</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US$55.50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27, 2007, the last sale price of the Common Shares on the New York Stock Exchange was US$59.63 per share. On June 27, 2007, the closing price of the Common Shares on the Lima Stock Exchange was US$59.80.</w:t>
      </w:r>
    </w:p>
    <w:p>
      <w:pPr>
        <w:spacing w:after="0" w:line="220" w:lineRule="exact"/>
        <w:rPr>
          <w:sz w:val="20"/>
          <w:szCs w:val="20"/>
          <w:color w:val="auto"/>
        </w:rPr>
      </w:pPr>
    </w:p>
    <w:p>
      <w:pPr>
        <w:ind w:left="660" w:right="9240" w:hanging="652"/>
        <w:spacing w:after="0" w:line="634" w:lineRule="auto"/>
        <w:tabs>
          <w:tab w:leader="none" w:pos="66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Lima Stock Exchange</w:t>
      </w:r>
    </w:p>
    <w:p>
      <w:pPr>
        <w:spacing w:after="0" w:line="275"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3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of December 2006, there were 241 companies listed on the </w:t>
      </w:r>
      <w:r>
        <w:rPr>
          <w:rFonts w:ascii="Arial" w:cs="Arial" w:eastAsia="Arial" w:hAnsi="Arial"/>
          <w:sz w:val="16"/>
          <w:szCs w:val="16"/>
          <w:i w:val="1"/>
          <w:iCs w:val="1"/>
          <w:color w:val="auto"/>
        </w:rPr>
        <w:t>Bolsa de Valores de Lima</w:t>
      </w:r>
      <w:r>
        <w:rPr>
          <w:rFonts w:ascii="Arial" w:cs="Arial" w:eastAsia="Arial" w:hAnsi="Arial"/>
          <w:sz w:val="16"/>
          <w:szCs w:val="16"/>
          <w:color w:val="auto"/>
        </w:rPr>
        <w:t xml:space="preserve"> (Lima Stock Exchange), Peru’s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Peruvian stock market capitalization increased, in U.S. Dollar terms, by 15.9% in 2002, 27.7% in 2003, 25.0% in 2004, 80.0% in 2005 and 65.8% in 2006. Volume in the Peruvian market is highly concentrated, with the 10 most actively traded companies representing approximately 65.95% of total traded value of equity securities during 2005. Total traded volume was US$2.9 billion in 2002, and declined to US$2.3 billion in 2003, but increased to US$2.5 billion in 2004, to US$3.6 billion in 2005 and further to US$6.3 billion in 2006. Average daily traded volume was US$11.7 million in 2002, declined to US$9.0 million in 2003, but increased to US$9.9 million in 2004, to US$14.5 million in 2005 and further to US$25.1 million in 2006.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9" w:name="page130"/>
    <w:bookmarkEnd w:id="129"/>
    <w:p>
      <w:pPr>
        <w:jc w:val="both"/>
        <w:ind w:firstLine="648"/>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Indice General de la Bolsa de Valores de Lima</w:t>
      </w:r>
      <w:r>
        <w:rPr>
          <w:rFonts w:ascii="Arial" w:cs="Arial" w:eastAsia="Arial" w:hAnsi="Arial"/>
          <w:sz w:val="18"/>
          <w:szCs w:val="18"/>
          <w:color w:val="auto"/>
        </w:rPr>
        <w:t xml:space="preserve"> (the General Index of the Lima Stock Exchange (IGBVL)) increased, in U.S. Dollar terms, 16.3% in 2002, 76.3% in 2003, 52.4% in 2004, 29.4% in 2005 and 186.9% in 2006. The 2006 results make the Lima Stock Exchange the most profitable stock market in the world in terms of growth in U.S. Dollar terms.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(ii)Market Regulation</w:t>
      </w: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Peru’s old securities law. The Securities Market Law addresses such matters as transparency and disclosure, takeovers and corporate actions, capital market instruments and operations, the securities markets and broker-dealers, and risk rating agencies.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CONASEV, a public entity reporting to Peru’s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including supervision of all companies incorporated in Peru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Peru by entities organized outside of Peru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S/.19 million (US$5.98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208" w:lineRule="exact"/>
        <w:rPr>
          <w:sz w:val="20"/>
          <w:szCs w:val="20"/>
          <w:color w:val="auto"/>
        </w:rPr>
      </w:pPr>
    </w:p>
    <w:p>
      <w:pPr>
        <w:ind w:left="660" w:right="9180" w:hanging="652"/>
        <w:spacing w:after="0" w:line="679" w:lineRule="auto"/>
        <w:tabs>
          <w:tab w:leader="none" w:pos="660"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0" w:name="page131"/>
    <w:bookmarkEnd w:id="130"/>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b w:val="1"/>
          <w:bCs w:val="1"/>
          <w:color w:val="auto"/>
        </w:rPr>
      </w:pPr>
    </w:p>
    <w:p>
      <w:pPr>
        <w:ind w:left="660" w:right="9160" w:hanging="652"/>
        <w:spacing w:after="0" w:line="634" w:lineRule="auto"/>
        <w:tabs>
          <w:tab w:leader="none" w:pos="66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79" w:lineRule="exact"/>
        <w:rPr>
          <w:sz w:val="20"/>
          <w:szCs w:val="20"/>
          <w:color w:val="auto"/>
        </w:rPr>
      </w:pPr>
    </w:p>
    <w:p>
      <w:pPr>
        <w:jc w:val="both"/>
        <w:ind w:left="660" w:right="9660" w:hanging="652"/>
        <w:spacing w:after="0" w:line="634" w:lineRule="auto"/>
        <w:tabs>
          <w:tab w:leader="none" w:pos="66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Credicorp’s Annual Report on Form 20-F dated June 27, 2003 is incorporated herein by reference.</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28"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there are no material contracts entered into by Credicorp and/or its subsidiaries.</w:t>
      </w:r>
    </w:p>
    <w:p>
      <w:pPr>
        <w:spacing w:after="0" w:line="275" w:lineRule="exact"/>
        <w:rPr>
          <w:rFonts w:ascii="Arial" w:cs="Arial" w:eastAsia="Arial" w:hAnsi="Arial"/>
          <w:sz w:val="18"/>
          <w:szCs w:val="18"/>
          <w:b w:val="1"/>
          <w:bCs w:val="1"/>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8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20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1" w:name="page132"/>
    <w:bookmarkEnd w:id="131"/>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2006, approximately 73% of BCP’s loan portfolio, 100% of ASHC’s loan portfolio and 61.6%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Among the economic circumstances that could lead to a devaluation would be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 denominated obligations or that Peru will not devalue its currency should its foreign reserves decline. See “Item 4. Information on the Company—(B) Business Overview—(9) Peruvian Government and Economy.”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March 1991, there have been no exchange controls in Peru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Peru has consequently adopted and operated under various exchange rate control practices and exchange rate determination policies, ranging from strict control over exchange rates to market 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23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an exempted company, Credicorp is liable to pay in Bermuda an annual government fee based upon its authorized share capital and the premium on its issued Common Shares, which amounted to the approximate equivalent of US$16,695 in 2006, remaining unchanged from the amount paid in 2005.</w:t>
      </w:r>
    </w:p>
    <w:p>
      <w:pPr>
        <w:spacing w:after="0" w:line="174" w:lineRule="exact"/>
        <w:rPr>
          <w:sz w:val="20"/>
          <w:szCs w:val="20"/>
          <w:color w:val="auto"/>
        </w:rPr>
      </w:pPr>
    </w:p>
    <w:p>
      <w:pPr>
        <w:ind w:left="660" w:right="8500" w:hanging="652"/>
        <w:spacing w:after="0" w:line="563" w:lineRule="auto"/>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9100" w:hanging="652"/>
        <w:spacing w:after="0" w:line="636" w:lineRule="auto"/>
        <w:tabs>
          <w:tab w:leader="none" w:pos="66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2" w:name="page133"/>
    <w:bookmarkEnd w:id="132"/>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the Registered Office of the Company.</w:t>
      </w:r>
    </w:p>
    <w:p>
      <w:pPr>
        <w:spacing w:after="0" w:line="275" w:lineRule="exact"/>
        <w:rPr>
          <w:rFonts w:ascii="Arial" w:cs="Arial" w:eastAsia="Arial" w:hAnsi="Arial"/>
          <w:sz w:val="18"/>
          <w:szCs w:val="18"/>
          <w:b w:val="1"/>
          <w:bCs w:val="1"/>
          <w:color w:val="auto"/>
        </w:rPr>
      </w:pPr>
    </w:p>
    <w:p>
      <w:pPr>
        <w:ind w:left="660" w:right="8940" w:hanging="652"/>
        <w:spacing w:after="0" w:line="660" w:lineRule="auto"/>
        <w:tabs>
          <w:tab w:leader="none" w:pos="66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 Management of Operational Risk”).</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 risk is the risk of loss to future earnings, to fair values, or to future cash flows, related to financial instruments registered or not on Credicorp’s balance sheet, arising from adverse changes in market factors that affect their valuation,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objective of market risk management is to avoid excessive exposure of earnings and equity to loss and to reduce the volatility inherent in financial instruments.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and Liability Management</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Credicorp’s exposure to market risk is a function of its investment and trading activities, as well as the structure and composition of its assets and liabilities. Credicorp’s Asset and Liability Management (“ALM”) policy seeks to ensure sufficient liquidity to meet operational funding requirements, as well as to supervise, measure and control interest rate risks, exchange risks, and market risks on securities trading positions. Credicorp, through its various operating areas, applies non-statistical and statistical models, such as the Value-at-Risk (“VaR”) methodology, for the ALM tasks.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BCP, decisions regarding management of liquidity, interest rate policy, foreign exchange position and other significant ALM matters are made by the Market Risk Committee which is composed of seven members, including the five members of the Executive Committee of the Board of Directors, BCP’s General Manager and the Head of the Market Risk Area. The Market Risk Committee meets monthly. Additionally BCP has an Asset and Liability Committee (“ALCO”) that meets monthly to review the overall risk exposure and to decide on strategies to improve its financial structure. Also, BCP’s Capital Markets Group has an Investment Committee, that makes decisions on positions held on all possible types of securities.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3" w:name="page134"/>
    <w:bookmarkEnd w:id="133"/>
    <w:p>
      <w:pPr>
        <w:jc w:val="both"/>
        <w:ind w:firstLine="648"/>
        <w:spacing w:after="0" w:line="308" w:lineRule="auto"/>
        <w:rPr>
          <w:sz w:val="20"/>
          <w:szCs w:val="20"/>
          <w:color w:val="auto"/>
        </w:rPr>
      </w:pPr>
      <w:r>
        <w:rPr>
          <w:rFonts w:ascii="Arial" w:cs="Arial" w:eastAsia="Arial" w:hAnsi="Arial"/>
          <w:sz w:val="17"/>
          <w:szCs w:val="17"/>
          <w:color w:val="auto"/>
        </w:rPr>
        <w:t>Day-to-day ALM decisions are made by the Central Manager of Finance and the Treasury Department and reviewed in the weekly senior management meeting. The Market Risk Area is in charge of the measurement, control and follow-up of all positions that involve market risk exposure.</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ASHC, decisions regarding asset and liability management are made by the President, Senior Vice President, Manager of Operations and Administration, and the Chief Financial Officer. ASHC has an Investment Committee in charge of putting forward possible limits by type of exposure and to monitor the risk profile of ASHC’s various investment portfolios.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marking of all positions to market, profit and loss statements, position reports, and independent verification of the pricing of positions. The statistical estimation of potential losses under adverse market conditions is considered an important tool in the market risk measurement at Credicorp, and for that purpose the VaR methodology is used for certain market risks in its historic simulation version at a 99% confidence level. Testing exercises are performed periodically by which VaR estimates are compared with actual results.</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VaR, in its historical simulation version, is applied to products managed by the Capital Markets Group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Additionally, the risk analysis of the investment portfolio is complemented by various indicators including the </w:t>
      </w:r>
      <w:r>
        <w:rPr>
          <w:rFonts w:ascii="Arial" w:cs="Arial" w:eastAsia="Arial" w:hAnsi="Arial"/>
          <w:sz w:val="17"/>
          <w:szCs w:val="17"/>
          <w:i w:val="1"/>
          <w:iCs w:val="1"/>
          <w:color w:val="auto"/>
        </w:rPr>
        <w:t>Degree of Portfolio Diversification</w:t>
      </w:r>
      <w:r>
        <w:rPr>
          <w:rFonts w:ascii="Arial" w:cs="Arial" w:eastAsia="Arial" w:hAnsi="Arial"/>
          <w:sz w:val="17"/>
          <w:szCs w:val="17"/>
          <w:color w:val="auto"/>
        </w:rPr>
        <w:t>, which measures the concentration of investments taking into account their risk factors, and VaR as a percentage of the investment, which measures the risk level assumed in a specific segment of the portfolio. As of year-end 2006, BCP maintains a Degree of Portfolio Diversification of 45% (36% in 2005) and a ratio of VaR over total portfolio of 0.13% (0.25% in 2005). BCP has established VaR limits and Stop-loss limit alerts as a function of the maximum potential losses in unfavorable market scenarios that it is willing to assume in the portfolio of each type of security.</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Market Risk Area issues, on a daily basis to the Treasurer and trading managers and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Area and senior management, are important elements of the risk management process.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7"/>
          <w:szCs w:val="17"/>
          <w:color w:val="auto"/>
        </w:rPr>
        <w:t>The following table sets forth the maturities of Credicorp’s trading securities by type at December 31, 2006. See ”Item 4. Information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Company—(B) Business Overview—(12) Selected Statistical Information—(ii) Investment Portfolio”:</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After 3 months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Within</w:t>
            </w:r>
          </w:p>
        </w:tc>
        <w:tc>
          <w:tcPr>
            <w:tcW w:w="220" w:type="dxa"/>
            <w:vAlign w:val="bottom"/>
          </w:tcPr>
          <w:p>
            <w:pPr>
              <w:spacing w:after="0"/>
              <w:rPr>
                <w:sz w:val="18"/>
                <w:szCs w:val="18"/>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But within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 months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1 year</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20" w:type="dxa"/>
            <w:vAlign w:val="bottom"/>
            <w:gridSpan w:val="6"/>
          </w:tcPr>
          <w:p>
            <w:pPr>
              <w:ind w:left="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U.S. Dollars in thousands, except percentages)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Nuevo Sol-denominated:</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Peruvian Government Bonds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220" w:type="dxa"/>
            <w:vAlign w:val="bottom"/>
            <w:tcBorders>
              <w:left w:val="single" w:sz="8" w:color="CCFFCC"/>
            </w:tcBorders>
            <w:shd w:val="clear" w:color="auto" w:fill="CCFFCC"/>
          </w:tcPr>
          <w:p>
            <w:pPr>
              <w:spacing w:after="0"/>
              <w:rPr>
                <w:sz w:val="23"/>
                <w:szCs w:val="23"/>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30,800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30,800</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30,800</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Bonds and debentures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Peruvian Central Bank certificates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investments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380" w:type="dxa"/>
            <w:vAlign w:val="bottom"/>
          </w:tcPr>
          <w:p>
            <w:pPr>
              <w:jc w:val="right"/>
              <w:spacing w:after="0"/>
              <w:rPr>
                <w:sz w:val="20"/>
                <w:szCs w:val="20"/>
                <w:color w:val="auto"/>
              </w:rPr>
            </w:pPr>
            <w:r>
              <w:rPr>
                <w:rFonts w:ascii="Arial" w:cs="Arial" w:eastAsia="Arial" w:hAnsi="Arial"/>
                <w:sz w:val="18"/>
                <w:szCs w:val="18"/>
                <w:color w:val="auto"/>
              </w:rPr>
              <w:t>US$30,800</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US$—</w:t>
            </w:r>
          </w:p>
        </w:tc>
        <w:tc>
          <w:tcPr>
            <w:tcW w:w="22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US$30,800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380" w:type="dxa"/>
            <w:vAlign w:val="bottom"/>
            <w:shd w:val="clear" w:color="auto" w:fill="CCFFCC"/>
          </w:tcPr>
          <w:p>
            <w:pPr>
              <w:spacing w:after="0"/>
              <w:rPr>
                <w:sz w:val="21"/>
                <w:szCs w:val="21"/>
                <w:color w:val="auto"/>
              </w:rPr>
            </w:pP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3,892</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3,892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3,892</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Bonds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w:t>
            </w:r>
          </w:p>
        </w:tc>
        <w:tc>
          <w:tcPr>
            <w:tcW w:w="1820" w:type="dxa"/>
            <w:vAlign w:val="bottom"/>
            <w:tcBorders>
              <w:left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1,729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2,260</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2,260</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Investment in Peruvian debt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investments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7,334</w:t>
            </w: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8,182</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8,182</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Total Foreign Currency-denominated</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11,757</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2,577</w:t>
            </w:r>
          </w:p>
        </w:tc>
        <w:tc>
          <w:tcPr>
            <w:tcW w:w="22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14,334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14,334</w:t>
            </w:r>
          </w:p>
        </w:tc>
      </w:tr>
      <w:tr>
        <w:trPr>
          <w:trHeight w:val="20"/>
        </w:trPr>
        <w:tc>
          <w:tcPr>
            <w:tcW w:w="5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securities holdings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42,557</w:t>
            </w:r>
          </w:p>
        </w:tc>
        <w:tc>
          <w:tcPr>
            <w:tcW w:w="220" w:type="dxa"/>
            <w:vAlign w:val="bottom"/>
            <w:tcBorders>
              <w:left w:val="single" w:sz="8" w:color="CCFFCC"/>
            </w:tcBorders>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2,577</w:t>
            </w:r>
          </w:p>
        </w:tc>
        <w:tc>
          <w:tcPr>
            <w:tcW w:w="220" w:type="dxa"/>
            <w:vAlign w:val="bottom"/>
            <w:shd w:val="clear" w:color="auto" w:fill="CCFFCC"/>
          </w:tcPr>
          <w:p>
            <w:pPr>
              <w:spacing w:after="0"/>
              <w:rPr>
                <w:sz w:val="24"/>
                <w:szCs w:val="24"/>
                <w:color w:val="auto"/>
              </w:rPr>
            </w:pP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45,134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45,134</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“Foreign Currency-denominated Other investments,” US$8.2 million in the preceding table, are principally composed of US$6.5 million of shares in mutual funds.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in turn facilitates the management of their position.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5" w:name="page136"/>
    <w:bookmarkEnd w:id="135"/>
    <w:p>
      <w:pPr>
        <w:ind w:firstLine="648"/>
        <w:spacing w:after="0" w:line="308" w:lineRule="auto"/>
        <w:rPr>
          <w:sz w:val="20"/>
          <w:szCs w:val="20"/>
          <w:color w:val="auto"/>
        </w:rPr>
      </w:pPr>
      <w:r>
        <w:rPr>
          <w:rFonts w:ascii="Arial" w:cs="Arial" w:eastAsia="Arial" w:hAnsi="Arial"/>
          <w:sz w:val="17"/>
          <w:szCs w:val="17"/>
          <w:color w:val="auto"/>
        </w:rPr>
        <w:t>The following table sets forth the maturities of Credicorp’s available-for-sale investment securities by type at their fair value as of December 31, 2006. See ”Item 4. Information on the Company—(B) Business Overview—(12) Selected Statistical Information—(ii) Investment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Maturing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After 1 year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After 3 years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after 5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Within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but within</w:t>
            </w: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After</w:t>
            </w: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Fair</w:t>
            </w:r>
          </w:p>
        </w:tc>
      </w:tr>
      <w:tr>
        <w:trPr>
          <w:trHeight w:val="234"/>
        </w:trPr>
        <w:tc>
          <w:tcPr>
            <w:tcW w:w="3900" w:type="dxa"/>
            <w:vAlign w:val="bottom"/>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10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10 years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right"/>
              <w:ind w:right="30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Nuevo Sol-denominated: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Peruvian Government Bonds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US$1,725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US$6,845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US$36,212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US$29,816</w:t>
            </w:r>
          </w:p>
        </w:tc>
        <w:tc>
          <w:tcPr>
            <w:tcW w:w="12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US$82,292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US$156,890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Equity securities (1)</w:t>
            </w:r>
          </w:p>
        </w:tc>
        <w:tc>
          <w:tcPr>
            <w:tcW w:w="1180" w:type="dxa"/>
            <w:vAlign w:val="bottom"/>
          </w:tcPr>
          <w:p>
            <w:pPr>
              <w:jc w:val="right"/>
              <w:spacing w:after="0"/>
              <w:rPr>
                <w:sz w:val="20"/>
                <w:szCs w:val="20"/>
                <w:color w:val="auto"/>
              </w:rPr>
            </w:pPr>
            <w:r>
              <w:rPr>
                <w:rFonts w:ascii="Arial" w:cs="Arial" w:eastAsia="Arial" w:hAnsi="Arial"/>
                <w:sz w:val="18"/>
                <w:szCs w:val="18"/>
                <w:color w:val="auto"/>
              </w:rPr>
              <w:t>117,533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117,533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 and debentures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25,213</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74,010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Peruvian Central Bank Certificates Notes</w:t>
            </w:r>
          </w:p>
        </w:tc>
        <w:tc>
          <w:tcPr>
            <w:tcW w:w="1180" w:type="dxa"/>
            <w:vAlign w:val="bottom"/>
          </w:tcPr>
          <w:p>
            <w:pPr>
              <w:jc w:val="right"/>
              <w:spacing w:after="0"/>
              <w:rPr>
                <w:sz w:val="20"/>
                <w:szCs w:val="20"/>
                <w:color w:val="auto"/>
              </w:rPr>
            </w:pPr>
            <w:r>
              <w:rPr>
                <w:rFonts w:ascii="Arial" w:cs="Arial" w:eastAsia="Arial" w:hAnsi="Arial"/>
                <w:sz w:val="18"/>
                <w:szCs w:val="18"/>
                <w:color w:val="auto"/>
              </w:rPr>
              <w:t>1,236,091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1,277,613</w:t>
            </w:r>
          </w:p>
        </w:tc>
      </w:tr>
      <w:tr>
        <w:trPr>
          <w:trHeight w:val="243"/>
        </w:trPr>
        <w:tc>
          <w:tcPr>
            <w:tcW w:w="39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Investments</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241,682</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264,113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1,609,874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US$76,447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US$51,455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US$32,946</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99"/>
              </w:rPr>
              <w:t>US$119,437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US$1,890,159</w:t>
            </w:r>
          </w:p>
        </w:tc>
      </w:tr>
      <w:tr>
        <w:trPr>
          <w:trHeight w:val="243"/>
        </w:trPr>
        <w:tc>
          <w:tcPr>
            <w:tcW w:w="39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Peruvian Government Bonds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US$1,475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US$24,034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US$4,874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US$114,327</w:t>
            </w:r>
          </w:p>
        </w:tc>
        <w:tc>
          <w:tcPr>
            <w:tcW w:w="126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123,525</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US$268,235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98,651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98,651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157,871</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342,635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160,143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167,549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283,753</w:t>
            </w:r>
          </w:p>
        </w:tc>
        <w:tc>
          <w:tcPr>
            <w:tcW w:w="1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1,111,951</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18,292</w:t>
            </w:r>
          </w:p>
        </w:tc>
        <w:tc>
          <w:tcPr>
            <w:tcW w:w="1140" w:type="dxa"/>
            <w:vAlign w:val="bottom"/>
          </w:tcPr>
          <w:p>
            <w:pPr>
              <w:jc w:val="right"/>
              <w:spacing w:after="0"/>
              <w:rPr>
                <w:sz w:val="20"/>
                <w:szCs w:val="20"/>
                <w:color w:val="auto"/>
              </w:rPr>
            </w:pPr>
            <w:r>
              <w:rPr>
                <w:rFonts w:ascii="Arial" w:cs="Arial" w:eastAsia="Arial" w:hAnsi="Arial"/>
                <w:sz w:val="18"/>
                <w:szCs w:val="18"/>
                <w:color w:val="auto"/>
              </w:rPr>
              <w:t>6,554</w:t>
            </w:r>
          </w:p>
        </w:tc>
        <w:tc>
          <w:tcPr>
            <w:tcW w:w="1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53,451</w:t>
            </w:r>
          </w:p>
        </w:tc>
      </w:tr>
      <w:tr>
        <w:trPr>
          <w:trHeight w:val="27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Foreign currency-denominated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US$268,071</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US$372,866</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US$177,351</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US$300,168</w:t>
            </w:r>
          </w:p>
        </w:tc>
        <w:tc>
          <w:tcPr>
            <w:tcW w:w="100" w:type="dxa"/>
            <w:vAlign w:val="bottom"/>
            <w:shd w:val="clear" w:color="auto" w:fill="CCFFCC"/>
          </w:tcPr>
          <w:p>
            <w:pPr>
              <w:spacing w:after="0"/>
              <w:rPr>
                <w:sz w:val="23"/>
                <w:szCs w:val="23"/>
                <w:color w:val="auto"/>
              </w:rPr>
            </w:pPr>
          </w:p>
        </w:tc>
        <w:tc>
          <w:tcPr>
            <w:tcW w:w="2520" w:type="dxa"/>
            <w:vAlign w:val="bottom"/>
            <w:gridSpan w:val="4"/>
            <w:shd w:val="clear" w:color="auto" w:fill="CCFFCC"/>
          </w:tcPr>
          <w:p>
            <w:pPr>
              <w:ind w:left="240"/>
              <w:spacing w:after="0"/>
              <w:rPr>
                <w:sz w:val="20"/>
                <w:szCs w:val="20"/>
                <w:color w:val="auto"/>
              </w:rPr>
            </w:pPr>
            <w:r>
              <w:rPr>
                <w:rFonts w:ascii="Arial" w:cs="Arial" w:eastAsia="Arial" w:hAnsi="Arial"/>
                <w:sz w:val="18"/>
                <w:szCs w:val="18"/>
                <w:color w:val="auto"/>
                <w:w w:val="98"/>
              </w:rPr>
              <w:t xml:space="preserve">US$413,832   </w:t>
            </w:r>
            <w:r>
              <w:rPr>
                <w:rFonts w:ascii="Arial" w:cs="Arial" w:eastAsia="Arial" w:hAnsi="Arial"/>
                <w:sz w:val="18"/>
                <w:szCs w:val="18"/>
                <w:u w:val="single" w:color="auto"/>
                <w:color w:val="auto"/>
                <w:w w:val="98"/>
              </w:rPr>
              <w:t>US$</w:t>
            </w:r>
            <w:r>
              <w:rPr>
                <w:rFonts w:ascii="Arial" w:cs="Arial" w:eastAsia="Arial" w:hAnsi="Arial"/>
                <w:sz w:val="18"/>
                <w:szCs w:val="18"/>
                <w:color w:val="auto"/>
                <w:w w:val="98"/>
              </w:rPr>
              <w:t>1,532,288</w:t>
            </w:r>
          </w:p>
        </w:tc>
      </w:tr>
      <w:tr>
        <w:trPr>
          <w:trHeight w:val="20"/>
        </w:trPr>
        <w:tc>
          <w:tcPr>
            <w:tcW w:w="390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securities holding</w:t>
            </w:r>
          </w:p>
        </w:tc>
        <w:tc>
          <w:tcPr>
            <w:tcW w:w="11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1,877,945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US$449,313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US$228,806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US$333,114</w:t>
            </w:r>
          </w:p>
        </w:tc>
        <w:tc>
          <w:tcPr>
            <w:tcW w:w="10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US$533,269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u w:val="single" w:color="auto"/>
                <w:color w:val="auto"/>
                <w:w w:val="99"/>
              </w:rPr>
              <w:t>US$</w:t>
            </w:r>
            <w:r>
              <w:rPr>
                <w:rFonts w:ascii="Arial" w:cs="Arial" w:eastAsia="Arial" w:hAnsi="Arial"/>
                <w:sz w:val="18"/>
                <w:szCs w:val="18"/>
                <w:b w:val="1"/>
                <w:bCs w:val="1"/>
                <w:color w:val="auto"/>
                <w:w w:val="99"/>
              </w:rPr>
              <w:t>3,422,447</w:t>
            </w:r>
          </w:p>
        </w:tc>
      </w:tr>
      <w:tr>
        <w:trPr>
          <w:trHeight w:val="20"/>
        </w:trPr>
        <w:tc>
          <w:tcPr>
            <w:tcW w:w="3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2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Equity securities in Credicorp’s trading account are categorized as maturing within one year, while other equity securities are categorized according to their maturity.</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Foreign Currency-denominated Other Investments, US$199.8 million in the preceding table, are principally composed of US$96.2 million of participation units in various mutual funds, US$15.7 million of commercial paper and US$51.2 million in required deposits reserves managed by the Bolivian Central Bank in the </w:t>
      </w:r>
      <w:r>
        <w:rPr>
          <w:rFonts w:ascii="Arial" w:cs="Arial" w:eastAsia="Arial" w:hAnsi="Arial"/>
          <w:sz w:val="18"/>
          <w:szCs w:val="18"/>
          <w:i w:val="1"/>
          <w:iCs w:val="1"/>
          <w:color w:val="auto"/>
        </w:rPr>
        <w:t>Fondo RAL</w:t>
      </w:r>
      <w:r>
        <w:rPr>
          <w:rFonts w:ascii="Arial" w:cs="Arial" w:eastAsia="Arial" w:hAnsi="Arial"/>
          <w:sz w:val="18"/>
          <w:szCs w:val="18"/>
          <w:color w:val="auto"/>
        </w:rPr>
        <w:t xml:space="preserve"> and US$28.0 million in other investments.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 Management</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both of BCP’s Market Risk Committee and ALCO may direct changes in the composition of the balance sheet.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6" w:name="page137"/>
    <w:bookmarkEnd w:id="136"/>
    <w:p>
      <w:pPr>
        <w:jc w:val="both"/>
        <w:ind w:firstLine="648"/>
        <w:spacing w:after="0" w:line="255" w:lineRule="auto"/>
        <w:rPr>
          <w:sz w:val="20"/>
          <w:szCs w:val="20"/>
          <w:color w:val="auto"/>
        </w:rPr>
      </w:pPr>
      <w:r>
        <w:rPr>
          <w:rFonts w:ascii="Arial" w:cs="Arial" w:eastAsia="Arial" w:hAnsi="Arial"/>
          <w:sz w:val="18"/>
          <w:szCs w:val="18"/>
          <w:color w:val="auto"/>
        </w:rPr>
        <w:t>The following table reflects, according to maturity, repricing and by currency, the interest-earning assets and interest-bearing liabilities of Credicorp as of December 31, 2006,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 2006, Credicorp believes that a significant increase or decrease in interest rates would not reasonably be expected to have a material effect on Credicorp’s financial condition or results of operations.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rPr>
              <w:t xml:space="preserve">Earliest Repricing Interval at December 31, 2006 </w:t>
            </w:r>
            <w:r>
              <w:rPr>
                <w:rFonts w:ascii="Arial" w:cs="Arial" w:eastAsia="Arial" w:hAnsi="Arial"/>
                <w:sz w:val="18"/>
                <w:szCs w:val="18"/>
                <w:color w:val="auto"/>
              </w:rPr>
              <w:t>(2)</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680" w:type="dxa"/>
            <w:vAlign w:val="bottom"/>
          </w:tcPr>
          <w:p>
            <w:pPr>
              <w:spacing w:after="0"/>
              <w:rPr>
                <w:sz w:val="16"/>
                <w:szCs w:val="16"/>
                <w:color w:val="auto"/>
              </w:rPr>
            </w:pP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Overnight to</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Over 3 to</w:t>
            </w:r>
          </w:p>
        </w:tc>
        <w:tc>
          <w:tcPr>
            <w:tcW w:w="13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Total within</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Over 1</w:t>
            </w:r>
          </w:p>
        </w:tc>
        <w:tc>
          <w:tcPr>
            <w:tcW w:w="13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Over 5</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 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 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 year</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5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8"/>
          </w:tcPr>
          <w:p>
            <w:pPr>
              <w:jc w:val="right"/>
              <w:ind w:right="920"/>
              <w:spacing w:after="0"/>
              <w:rPr>
                <w:sz w:val="20"/>
                <w:szCs w:val="20"/>
                <w:color w:val="auto"/>
              </w:rPr>
            </w:pPr>
            <w:r>
              <w:rPr>
                <w:rFonts w:ascii="Arial" w:cs="Arial" w:eastAsia="Arial" w:hAnsi="Arial"/>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926,736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260,750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1,187,486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277,431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1,484,077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514,419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744,133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1,258,552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114,532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50,978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1,424,061</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Deposits in other banks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46,697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7,011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53,708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53,708</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Off-Balance debit accounts, Forwards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280.794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275,614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556,408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560,058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1,768,646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1,287,508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3,056,154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395,598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70,151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3,521,903</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Demand and saving deposits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921,572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182,055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1,103,627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1,113,430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Time deposits (1)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738,432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233,460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971,892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972,159</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Interbank deposits received</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58,405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8,855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67,260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6,691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73,951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Bonds and other liabilities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10,825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24,937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35,761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130,916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177,996</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Off-Balance credit accounts, Forwards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545,580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31,000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576,580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20,450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597,030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2,274,814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480,307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2,755,120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168,127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2,934,566</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Interest Sensitivity gap</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(506,168)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807,201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301,034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227,471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58,832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587,337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(506,168)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301,034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301,034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528,504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587,337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587,337</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1,768,646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3,056,154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3,056,154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3,451,752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3,521,903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3,521,903</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2,149,194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1,242,188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3,391,382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787,563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290,311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4,469,256</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353,935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103,163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457,098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367,019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328,107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1,152,225</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w w:val="97"/>
              </w:rPr>
              <w:t>Deposits in other banks, and Other instruments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975,254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1,298,272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2,273,527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5,948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6,117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2,285,592</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Off-Balance debit accounts, Forwards Swaps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745,704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85,157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830,861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66,579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13,081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910,520</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4,224,087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2,728,781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6,952,868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1,227,109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637,616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8,817,594</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Demand and saving deposits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1,942,655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698,877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2,641,533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57,001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2,698,534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Time deposits (1)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1,861,562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811,864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2,673,426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241,305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196,836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3,111,568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Interbank deposits received and Borrowings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319,942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71,747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391,689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85,729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128,408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605,827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Bonds and mortgage notes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41,670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45,628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87,298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179,046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7,777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274,120</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Off-Balance credit accounts, Forwards Swaps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385,255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327,839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713,094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125,668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39,143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877,904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4,551,084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1,955,956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6,507,039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688,749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372,164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7,567,952</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Interest sensitivity gap</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(326,996)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772,825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445,829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538,360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265,453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1,249,641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(326,996)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445,829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445,829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984,189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1,249,641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1,249,641</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4,224,087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6,952,868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6,952,868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8,179,977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8,817,594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8,817,594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14.17%</w:t>
            </w:r>
          </w:p>
        </w:tc>
      </w:tr>
      <w:tr>
        <w:trPr>
          <w:trHeight w:val="270"/>
        </w:trPr>
        <w:tc>
          <w:tcPr>
            <w:tcW w:w="368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interest sensitivity gap</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(833,164)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1,580,027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746,862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765,831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324,285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1,836,978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Cumulative interest sensitivity gap</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(833,164)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746,862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746,862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1,512,693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1,836,978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1,836,978</w:t>
            </w: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5,992,733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4,016,289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10,009,022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1,622,708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707,767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12,339,497</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5,992,733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10,009,022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10,009,022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11,631,729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12,339,497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12,339,497</w:t>
            </w:r>
          </w:p>
        </w:tc>
      </w:tr>
      <w:tr>
        <w:trPr>
          <w:trHeight w:val="198"/>
        </w:trPr>
        <w:tc>
          <w:tcPr>
            <w:tcW w:w="3680" w:type="dxa"/>
            <w:vAlign w:val="bottom"/>
          </w:tcPr>
          <w:p>
            <w:pPr>
              <w:spacing w:after="0" w:line="198" w:lineRule="exact"/>
              <w:rPr>
                <w:sz w:val="20"/>
                <w:szCs w:val="20"/>
                <w:color w:val="auto"/>
              </w:rPr>
            </w:pPr>
            <w:r>
              <w:rPr>
                <w:rFonts w:ascii="Arial" w:cs="Arial" w:eastAsia="Arial" w:hAnsi="Arial"/>
                <w:sz w:val="18"/>
                <w:szCs w:val="18"/>
                <w:b w:val="1"/>
                <w:bCs w:val="1"/>
                <w:color w:val="auto"/>
              </w:rPr>
              <w:t>Cumulative interest sensitivity gap as a</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w w:val="97"/>
              </w:rPr>
              <w:t>percentage of cumulative interest-earning</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Includes severance indemnity deposits</w:t>
      </w:r>
    </w:p>
    <w:p>
      <w:pPr>
        <w:spacing w:after="0" w:line="279"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table has been elaborated for administration on the bases of diverse assumptions, and is based on management figures, which do not necessarily conform to the figures on Credicorp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788" w:gutter="0" w:footer="0" w:header="0"/>
        </w:sectPr>
      </w:pPr>
    </w:p>
    <w:bookmarkStart w:id="137" w:name="page138"/>
    <w:bookmarkEnd w:id="137"/>
    <w:p>
      <w:pPr>
        <w:jc w:val="both"/>
        <w:ind w:firstLine="648"/>
        <w:spacing w:after="0" w:line="259" w:lineRule="auto"/>
        <w:rPr>
          <w:sz w:val="20"/>
          <w:szCs w:val="20"/>
          <w:color w:val="auto"/>
        </w:rPr>
      </w:pPr>
      <w:r>
        <w:rPr>
          <w:rFonts w:ascii="Arial" w:cs="Arial" w:eastAsia="Arial" w:hAnsi="Arial"/>
          <w:sz w:val="18"/>
          <w:szCs w:val="18"/>
          <w:color w:val="auto"/>
        </w:rPr>
        <w:t>In addition to the static gap position, BCP employs a simulation analysis to measure the degree of short-term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reprising interval and interest yields or costs. Simulations are run using shocks of +/- 100 basis points on the interest rates to determine potential changes to future earnings.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forward-looking simulation results reflect changes between a most likely to occur interest rate base case scenario. Interest rate scenarios are separately devised for U.S. Dollar- and Nuevos Soles-denominated rates. As of December 31, 2006, Credicorp’s banking subsidiaries had a very short-term cumulative gap with US$833.2 million more liabilities than assets reprising within three months. This represents 13.90% of cumulative interest-earning assets which changes to a positive cumulative gap with US$746.9 million more assets than liabilities reprising within one year, or 7.46% of cumulative interest-earning assets.</w:t>
      </w: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Considering that the consensus in the market is for a continued generalized increase in interest rates, the base case scenario analyzes the effect on financial margins in the next 12 months of a 100 basis points increase in Nuevos Soles-denominated interest rates as well as in U.S. Dollar-denominated rates. The base case scenario shows an impact of these variations resulting, for the next 12 months, in a decrease of pre-tax net interest income of approximately US$0.48 million, or 0.1% of net interest income in 2006, which is the outcome of a shorter reprising period for liabilities with respect to assets.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areas. Furthermore, more than 50% of Credicorp’s interest-bearing deposits can be unilaterally modified, causing difficulties in establishing the expected reprising period of these products in the simulations. Additionally, Credicorp considers within the Foreign Currency category not only U.S. Dollar-denominated transactions, but also the currency of its subsidiary in Bolivia, which may present different trends in certain periods but, due to its relative small value, do not significantly affect the results of the analysis.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i w:val="1"/>
          <w:iCs w:val="1"/>
          <w:color w:val="auto"/>
        </w:rPr>
        <w:t>Exchange Rate Sensitivity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market risk exposure to foreign currency exchange fluctuations is attributed to its net asset or net liability positions in currencies other than U.S. Dollars. Exchange rate risk management policies include nominal and stop-loss limits, approved by the Market Risk Committee, as well as VaR alerts reviewed on a daily basis, where excesses are immediately reported.</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net liability position in Nuevos Soles, the translation gains are recognized when the exposure to the Nuevo Sol is weakened against the U.S. Dollar. In case such exposure is strengthened against the U.S. Dollar, a translation loss is recognized. On the other hand, in a net asset position, if the exposition of Nuevo Sol is weakened against the U.S. Dollar, a translation loss is recognized, if it has strengthened against the U.S. Dollar, a translation gain is recognized.</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Earnings sensitivity is estimated by directly applying expected foreign currency devaluation or revaluation rates on the above net positions. The Nuevos Soles net asset position results in exchange gains whenever the Peruvian currency raises its value against the U.S. Dollar, while a devaluation would generate exchange losses. A 10% change in the Nuevo Sol exchange rate would generate a US$4.6 million gain in case of devaluation (in net liability position in Nuevos Soles) or revaluation (in net asset position in Nuevos Soles), respectively. Also, a 10% change in the Nuevo Sol exchange rate would generate a US$4.6 million loss in case of devaluation (in net asset position in Nuevos Soles) or revaluation (in net liability position in Nuevos Soles), respectively. Given the evolution of the exchange rate in past years, a significant devaluation scenario for the Nuevo Sol is very unlikely for the next 12 months, unless certain political instability scenarios generate such devaluation. See “Item 3. Key Information—(A) Selected Financial Data—Exchange Controls.”</w:t>
      </w:r>
    </w:p>
    <w:p>
      <w:pPr>
        <w:spacing w:after="0" w:line="2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Considering foreign currency forward contracts, the Nuevos Soles exposure increases to a net asset position of US$732.7 million at December 31, 2006, and a net asset position of US$31.2 million in other currencies. See Note 26 to the Credicorp Consolidated Financial Statements.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asset position in other currencies different from Nuevo Sol is principally composed of Bolivian Bolivianos with a total of US$31.2 million. Credicorp management expects that the exchange risk in this currency will be significant, due to the political, social and/or economic instability that may result from the policies adopted by the new Bolivian government. In particular, the nationalization of hydrocarbons, by the Bolivian government represents increased risks for all related activities.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2006, Credicorp’s total U.S. Dollar-denominated monetary assets were US$8,208.4 million and its U.S. Dollar-denominated liabilities were US$7,979.7 million, resulting in a net U.S. Dollar asset position of US$228.6 million (US$973.2 million at December 31, 2005). Of such amount, approximately 20% represented the net U.S. Dollar asset position of Credicorp’s non-Peruvian subsidiaries that conduct most of their operations in U.S. Dollars. Credicorp considers its net U.S. Dollar asset position to be reasonable in view of the volume of its foreign currency activities and the environment in which it operates. Historically, in order to provide some protection from the combined effects of devaluation and inflation, Credicorp has followed the policy of maintaining the sum of its net U.S. Dollar assets, real estate assets and investments in equity securities at least equal to shareholders’ equity.</w:t>
      </w:r>
    </w:p>
    <w:p>
      <w:pPr>
        <w:spacing w:after="0" w:line="24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 —(11) Supervision and Regulation—(ii) BCP—Capital Adequacy Requirements.”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i w:val="1"/>
          <w:iCs w:val="1"/>
          <w:color w:val="auto"/>
        </w:rPr>
        <w:t>Derivatives Trading Activities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for foreign currency forward commitments and interest rate swaps, Credicorp does not enter into derivative transactions or options (in March 2006, currency swap operations were initiated and are expected to include forward rate agreement-FRAs).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the nominal amount of outstanding forward contracts was approximately US$1,153.2 million (US$998.7 million as of December 31, 2005), with maturities for periods less than a year. All of those contracts were signed solely to serve customer needs. Interest rate swap operations at year-end 2006 amounted approximately to US$543.0 million (US$572.2 million in 2005). These contracts are recorded at fair value, recording both realized and unrealized gains and losses in the consolidated income statements. In addition, the cross currency swap operations amounted approximately to US$48.9 million.</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79"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and its subsidiaries have never defaulted on any of its debt or been forced to reschedule any of its obligations.</w:t>
      </w:r>
    </w:p>
    <w:p>
      <w:pPr>
        <w:spacing w:after="0" w:line="275" w:lineRule="exact"/>
        <w:rPr>
          <w:rFonts w:ascii="Arial" w:cs="Arial" w:eastAsia="Arial" w:hAnsi="Arial"/>
          <w:sz w:val="18"/>
          <w:szCs w:val="18"/>
          <w:b w:val="1"/>
          <w:bCs w:val="1"/>
          <w:color w:val="auto"/>
        </w:rPr>
      </w:pPr>
    </w:p>
    <w:p>
      <w:pPr>
        <w:ind w:left="660" w:right="7700" w:hanging="652"/>
        <w:spacing w:after="0" w:line="563" w:lineRule="auto"/>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Arrearages and Delinquencies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2006. Based on that evaluation, Credicorp management, its principal executive officer and its principal financial officer have concluded that Credicorp’s disclosure controls and procedures are effective in ensuring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0" w:name="page141"/>
    <w:bookmarkEnd w:id="140"/>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and management of Credicorp Ltd. and Subsidiaries (Credicorp) are responsible for establishing and maintaining adequate internal control over financial reporting. Credicorp’s internal control over financial reporting is designed to provide reasonable assurance regarding the preparation and fair presentation of published financial statements in accordance with International Financial Reporting Standards (IFRS) including a reconciliation of net profit and equity attributable to Credicorp shareholders to U.S. generally accepted accounting principles (U.S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internal control over financial reporting includes those policies and procedures that:</w:t>
      </w:r>
    </w:p>
    <w:p>
      <w:pPr>
        <w:spacing w:after="0" w:line="279"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7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and fair presentation of financial statements, and the receipts and expenditures of the company are being made only in accordance with authorizations of Credicorp management; and</w:t>
      </w:r>
    </w:p>
    <w:p>
      <w:pPr>
        <w:spacing w:after="0" w:line="200"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management assessed the effectiveness of Credicorp’s internal control over financial reporting as of December 31, 2006 based on the criteria set forth by the Committee of Sponsoring Organizations of the Treadway Commission (COSO) in Internal Control-Integrated Framework. Based on this assessment, management believes that, as of December 31, 2006, Credicorp’s internal control over financial reporting was effective. Credicorp management also found no material weaknesses in Credicorp internal control over financial reporting and therefore no corrective actions were taken.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assessment of the effectiveness of Credicorp’s internal control over financial reporting as of December 31, 2006 has been audited by Medina, Zaldívar, Paredes &amp; Asociados, (member firm of Ernst &amp; Young Global), Credicorp’s independent registered public accounting firm, as stated in their report included herein, and expressed unqualified opinions on management’s assessment and on the effectiveness of Credicorp’s internal control over financial reporting as of December 31, 2006.</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80" w:type="dxa"/>
            <w:vAlign w:val="bottom"/>
          </w:tcPr>
          <w:p>
            <w:pPr>
              <w:spacing w:after="0"/>
              <w:rPr>
                <w:sz w:val="20"/>
                <w:szCs w:val="20"/>
                <w:color w:val="auto"/>
              </w:rPr>
            </w:pPr>
            <w:r>
              <w:rPr>
                <w:rFonts w:ascii="Arial" w:cs="Arial" w:eastAsia="Arial" w:hAnsi="Arial"/>
                <w:sz w:val="18"/>
                <w:szCs w:val="18"/>
                <w:color w:val="auto"/>
              </w:rPr>
              <w:t>/s/ DIONISIO ROMERO</w:t>
            </w:r>
          </w:p>
        </w:tc>
        <w:tc>
          <w:tcPr>
            <w:tcW w:w="2880" w:type="dxa"/>
            <w:vAlign w:val="bottom"/>
            <w:gridSpan w:val="2"/>
          </w:tcPr>
          <w:p>
            <w:pPr>
              <w:ind w:left="2240"/>
              <w:spacing w:after="0"/>
              <w:rPr>
                <w:sz w:val="20"/>
                <w:szCs w:val="20"/>
                <w:color w:val="auto"/>
              </w:rPr>
            </w:pPr>
            <w:r>
              <w:rPr>
                <w:rFonts w:ascii="Arial" w:cs="Arial" w:eastAsia="Arial" w:hAnsi="Arial"/>
                <w:sz w:val="18"/>
                <w:szCs w:val="18"/>
                <w:color w:val="auto"/>
              </w:rPr>
              <w:t>By:</w:t>
            </w:r>
          </w:p>
        </w:tc>
        <w:tc>
          <w:tcPr>
            <w:tcW w:w="3520" w:type="dxa"/>
            <w:vAlign w:val="bottom"/>
          </w:tcPr>
          <w:p>
            <w:pPr>
              <w:ind w:left="160"/>
              <w:spacing w:after="0"/>
              <w:rPr>
                <w:sz w:val="20"/>
                <w:szCs w:val="20"/>
                <w:color w:val="auto"/>
              </w:rPr>
            </w:pPr>
            <w:r>
              <w:rPr>
                <w:rFonts w:ascii="Arial" w:cs="Arial" w:eastAsia="Arial" w:hAnsi="Arial"/>
                <w:sz w:val="18"/>
                <w:szCs w:val="18"/>
                <w:color w:val="auto"/>
              </w:rPr>
              <w:t>/s/ WALTER BAYLY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808080"/>
            </w:tcBorders>
          </w:tcPr>
          <w:p>
            <w:pPr>
              <w:spacing w:after="0"/>
              <w:rPr>
                <w:sz w:val="11"/>
                <w:szCs w:val="11"/>
                <w:color w:val="auto"/>
              </w:rPr>
            </w:pPr>
          </w:p>
        </w:tc>
        <w:tc>
          <w:tcPr>
            <w:tcW w:w="25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80" w:type="dxa"/>
            <w:vAlign w:val="bottom"/>
          </w:tcPr>
          <w:p>
            <w:pPr>
              <w:spacing w:after="0"/>
              <w:rPr>
                <w:sz w:val="20"/>
                <w:szCs w:val="20"/>
                <w:color w:val="auto"/>
              </w:rPr>
            </w:pPr>
            <w:r>
              <w:rPr>
                <w:rFonts w:ascii="Arial" w:cs="Arial" w:eastAsia="Arial" w:hAnsi="Arial"/>
                <w:sz w:val="18"/>
                <w:szCs w:val="18"/>
                <w:color w:val="auto"/>
              </w:rPr>
              <w:t>Name: Dionisio Romero</w:t>
            </w:r>
          </w:p>
        </w:tc>
        <w:tc>
          <w:tcPr>
            <w:tcW w:w="2880" w:type="dxa"/>
            <w:vAlign w:val="bottom"/>
            <w:gridSpan w:val="2"/>
          </w:tcPr>
          <w:p>
            <w:pPr>
              <w:ind w:left="2240"/>
              <w:spacing w:after="0"/>
              <w:rPr>
                <w:sz w:val="20"/>
                <w:szCs w:val="20"/>
                <w:color w:val="auto"/>
              </w:rPr>
            </w:pPr>
            <w:r>
              <w:rPr>
                <w:rFonts w:ascii="Arial" w:cs="Arial" w:eastAsia="Arial" w:hAnsi="Arial"/>
                <w:sz w:val="18"/>
                <w:szCs w:val="18"/>
                <w:color w:val="auto"/>
              </w:rPr>
              <w:t>Name:</w:t>
            </w:r>
          </w:p>
        </w:tc>
        <w:tc>
          <w:tcPr>
            <w:tcW w:w="3520" w:type="dxa"/>
            <w:vAlign w:val="bottom"/>
          </w:tcPr>
          <w:p>
            <w:pPr>
              <w:ind w:left="380"/>
              <w:spacing w:after="0"/>
              <w:rPr>
                <w:sz w:val="20"/>
                <w:szCs w:val="20"/>
                <w:color w:val="auto"/>
              </w:rPr>
            </w:pPr>
            <w:r>
              <w:rPr>
                <w:rFonts w:ascii="Arial" w:cs="Arial" w:eastAsia="Arial" w:hAnsi="Arial"/>
                <w:sz w:val="18"/>
                <w:szCs w:val="18"/>
                <w:color w:val="auto"/>
              </w:rPr>
              <w:t>Walter Bayly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2880" w:type="dxa"/>
            <w:vAlign w:val="bottom"/>
            <w:gridSpan w:val="2"/>
            <w:vMerge w:val="restart"/>
          </w:tcPr>
          <w:p>
            <w:pPr>
              <w:ind w:left="2240"/>
              <w:spacing w:after="0"/>
              <w:rPr>
                <w:sz w:val="20"/>
                <w:szCs w:val="20"/>
                <w:color w:val="auto"/>
              </w:rPr>
            </w:pPr>
            <w:r>
              <w:rPr>
                <w:rFonts w:ascii="Arial" w:cs="Arial" w:eastAsia="Arial" w:hAnsi="Arial"/>
                <w:sz w:val="18"/>
                <w:szCs w:val="18"/>
                <w:color w:val="auto"/>
              </w:rPr>
              <w:t>Title:</w:t>
            </w:r>
          </w:p>
        </w:tc>
        <w:tc>
          <w:tcPr>
            <w:tcW w:w="3520" w:type="dxa"/>
            <w:vAlign w:val="bottom"/>
            <w:vMerge w:val="restart"/>
          </w:tcPr>
          <w:p>
            <w:pPr>
              <w:ind w:left="280"/>
              <w:spacing w:after="0"/>
              <w:rPr>
                <w:sz w:val="20"/>
                <w:szCs w:val="20"/>
                <w:color w:val="auto"/>
              </w:rPr>
            </w:pPr>
            <w:r>
              <w:rPr>
                <w:rFonts w:ascii="Arial" w:cs="Arial" w:eastAsia="Arial" w:hAnsi="Arial"/>
                <w:sz w:val="18"/>
                <w:szCs w:val="18"/>
                <w:color w:val="auto"/>
              </w:rPr>
              <w:t>Chief Financial and Accounting Officer</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4080" w:type="dxa"/>
            <w:vAlign w:val="bottom"/>
          </w:tcPr>
          <w:p>
            <w:pPr>
              <w:spacing w:after="0"/>
              <w:rPr>
                <w:sz w:val="20"/>
                <w:szCs w:val="20"/>
                <w:color w:val="auto"/>
              </w:rPr>
            </w:pPr>
            <w:r>
              <w:rPr>
                <w:rFonts w:ascii="Arial" w:cs="Arial" w:eastAsia="Arial" w:hAnsi="Arial"/>
                <w:sz w:val="18"/>
                <w:szCs w:val="18"/>
                <w:color w:val="auto"/>
              </w:rPr>
              <w:t>June 28, 2007</w:t>
            </w: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2560" w:type="dxa"/>
            <w:vAlign w:val="bottom"/>
          </w:tcPr>
          <w:p>
            <w:pPr>
              <w:jc w:val="right"/>
              <w:ind w:right="710"/>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-1060450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-1060450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-1060450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1" w:name="page142"/>
    <w:bookmarkEnd w:id="141"/>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82689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360680</wp:posOffset>
            </wp:positionV>
            <wp:extent cx="1492250" cy="300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922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Credicorp Ltd.</w:t>
      </w:r>
    </w:p>
    <w:p>
      <w:pPr>
        <w:spacing w:after="0" w:line="279"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We have audited management’s assessment, included in the Management’s Report on Internal Control Over Financial Reporting, that Credicorp Ltd. and Subsidiaries (Credicorp) maintained effective internal control over financial reporting as of December 31, 2006, based on criteria established in Internal Control- Integrated Framework issued by the Committee of Sponsoring Organizations of the Tread way Commission (the COSO criteria). Credicorp’s management is responsible for maintaining effective internal control over financial reporting and for its assessment of the effectiveness of internal control over financial reporting. Our responsibility is to express and opinion on management’s assessment and an opinion on the effectiveness of the company’s internal control over financial reporting based on our audit.</w:t>
      </w:r>
    </w:p>
    <w:p>
      <w:pPr>
        <w:spacing w:after="0" w:line="2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and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 of the assets of the company; (2) provide reasonable assurance that transaction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2689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260350</wp:posOffset>
            </wp:positionV>
            <wp:extent cx="149225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92250" cy="300355"/>
                    </a:xfrm>
                    <a:prstGeom prst="rect">
                      <a:avLst/>
                    </a:prstGeom>
                    <a:noFill/>
                  </pic:spPr>
                </pic:pic>
              </a:graphicData>
            </a:graphic>
          </wp:anchor>
        </w:drawing>
        <w:t>Report of Independent Registered Public Accounting Firm on Internal Control Over Financial Reporting (continued)</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 in conditions, or that the degree of compliance with the policies of procedures may deteriorate.</w:t>
      </w:r>
    </w:p>
    <w:p>
      <w:pPr>
        <w:spacing w:after="0" w:line="23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our opinion, management’s assessment that Credicorp Ltd. maintained effective internal control over financial reporting as of December 31, 2006, is fairly stated, in all material respects, based on the COSO criteria. Also, in our opinion, Credicorp Ltd. maintained, in all material respects, effective internal control over financial reporting as of December 31, 2006, based on the COSO criteria.</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consolidated balance sheets of Credicorp Ltd and Subsidiaries as of December 31, 2006 and 2005, and the related consolidated statements of income, changes in equity and cash flows for each of the three years in the period ended December 31, 2006 and our report dated June 27, 2007, expressed an unqualified opinion on those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046480" cy="943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186690</wp:posOffset>
            </wp:positionV>
            <wp:extent cx="2315210" cy="1037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Nº22220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261"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Credicorp’s internal controls over financial reporting that have materially affected, or are likely to materially affect,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Credicorp’s Board of Directors has determined that Mr. Luis Enrique Yarur is an audit committee financial expert, as that term is defined in the instructions to Item 16A of Form 20-F. Credicorp Board of Directors has determined that Mr. Yarur is “independent” as defined in Rule 10A-3 under the Exchange Act and in Section 303A.02 of The NYSE Listed Company Manual.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has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xml:space="preserve">) applicable to employees with financial management responsibilities. Credicorp’s code of ethics and code of ethics for professionals with financial responsibility are available on the Corporate Governance section of its web site at </w:t>
      </w:r>
      <w:r>
        <w:rPr>
          <w:rFonts w:ascii="Arial" w:cs="Arial" w:eastAsia="Arial" w:hAnsi="Arial"/>
          <w:sz w:val="18"/>
          <w:szCs w:val="18"/>
          <w:u w:val="single" w:color="auto"/>
          <w:color w:val="auto"/>
        </w:rPr>
        <w:t>http://www.credicorpnet.com</w:t>
      </w:r>
      <w:r>
        <w:rPr>
          <w:rFonts w:ascii="Arial" w:cs="Arial" w:eastAsia="Arial" w:hAnsi="Arial"/>
          <w:sz w:val="18"/>
          <w:szCs w:val="18"/>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for each of the years indicated, the fees paid to Credicorp’s independent auditor Medina, Zaldívar, Paredes &amp; Asociados, members of Ernst &amp; Young Global, for the audit of Credicorp’s financial statements for the years ended December 31, 2004, 2005 and 2006, respectively. The Audit Committee recommends the appointment of the independent auditor every fiscal year, and the auditor is appointed at the Annual General Shareholders’ Meeting.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b w:val="1"/>
                <w:bCs w:val="1"/>
                <w:color w:val="auto"/>
                <w:w w:val="88"/>
              </w:rPr>
              <w:t>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600" w:type="dxa"/>
            <w:vAlign w:val="bottom"/>
            <w:gridSpan w:val="5"/>
          </w:tcPr>
          <w:p>
            <w:pPr>
              <w:jc w:val="center"/>
              <w:ind w:left="1050"/>
              <w:spacing w:after="0"/>
              <w:rPr>
                <w:sz w:val="20"/>
                <w:szCs w:val="20"/>
                <w:color w:val="auto"/>
              </w:rPr>
            </w:pPr>
            <w:r>
              <w:rPr>
                <w:rFonts w:ascii="Arial" w:cs="Arial" w:eastAsia="Arial" w:hAnsi="Arial"/>
                <w:sz w:val="18"/>
                <w:szCs w:val="18"/>
                <w:i w:val="1"/>
                <w:iCs w:val="1"/>
                <w:color w:val="auto"/>
                <w:w w:val="92"/>
              </w:rPr>
              <w:t>(U.S. 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US$1,132</w:t>
            </w:r>
          </w:p>
        </w:tc>
        <w:tc>
          <w:tcPr>
            <w:tcW w:w="1980" w:type="dxa"/>
            <w:vAlign w:val="bottom"/>
            <w:gridSpan w:val="3"/>
            <w:shd w:val="clear" w:color="auto" w:fill="CCFFCC"/>
          </w:tcPr>
          <w:p>
            <w:pPr>
              <w:ind w:left="640"/>
              <w:spacing w:after="0"/>
              <w:rPr>
                <w:sz w:val="20"/>
                <w:szCs w:val="20"/>
                <w:color w:val="auto"/>
              </w:rPr>
            </w:pPr>
            <w:r>
              <w:rPr>
                <w:rFonts w:ascii="Arial" w:cs="Arial" w:eastAsia="Arial" w:hAnsi="Arial"/>
                <w:sz w:val="18"/>
                <w:szCs w:val="18"/>
                <w:color w:val="auto"/>
              </w:rPr>
              <w:t>US$1,293</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US$1,779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Audit - Related</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All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tcPr>
          <w:p>
            <w:pPr>
              <w:ind w:left="660"/>
              <w:spacing w:after="0"/>
              <w:rPr>
                <w:sz w:val="20"/>
                <w:szCs w:val="20"/>
                <w:color w:val="auto"/>
              </w:rPr>
            </w:pPr>
            <w:r>
              <w:rPr>
                <w:rFonts w:ascii="Arial" w:cs="Arial" w:eastAsia="Arial" w:hAnsi="Arial"/>
                <w:sz w:val="18"/>
                <w:szCs w:val="18"/>
                <w:b w:val="1"/>
                <w:bCs w:val="1"/>
                <w:color w:val="auto"/>
              </w:rPr>
              <w:t>US$1,287</w:t>
            </w:r>
          </w:p>
        </w:tc>
        <w:tc>
          <w:tcPr>
            <w:tcW w:w="1980" w:type="dxa"/>
            <w:vAlign w:val="bottom"/>
            <w:gridSpan w:val="3"/>
          </w:tcPr>
          <w:p>
            <w:pPr>
              <w:ind w:left="640"/>
              <w:spacing w:after="0"/>
              <w:rPr>
                <w:sz w:val="20"/>
                <w:szCs w:val="20"/>
                <w:color w:val="auto"/>
              </w:rPr>
            </w:pPr>
            <w:r>
              <w:rPr>
                <w:rFonts w:ascii="Arial" w:cs="Arial" w:eastAsia="Arial" w:hAnsi="Arial"/>
                <w:sz w:val="18"/>
                <w:szCs w:val="18"/>
                <w:b w:val="1"/>
                <w:bCs w:val="1"/>
                <w:color w:val="auto"/>
              </w:rPr>
              <w:t>US$1,871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US$1,884</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in the review of Credicorp’s consolidated financial statements, (ii) establishing the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independent auditor needs to perform in order to form an opinion about Credicorp’s consolidated financial statements, and (iii) to comply with the statutory requirements applicable to Credicorp’s subsidiaries. Audit fees also include expenses related to the audit work and comfort letters in connection with the issuance of long term debt. In 2006, Credicorp’s independent auditors performed tasks related to the delivery of a comfort letter in connection with the issuance of long term debt by BCP with fees accounting to US$100,000. All fees were approved by the Audit Committee.</w:t>
      </w: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relate to services that are similar to the execution of an audit or a review of Credicorp’s financial statements and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traditionally performed by the independent auditor. Such audit-related services include; assistance in the understanding of new accounting and financial rules established by regulatory entities; audit related procedures on accounting matters previously agreed with Credicorp management; and special audit reviews of internal control procedures. Audit-related fees during 2006 in the amount of US$103,000 included fees in connection with a “due diligence” task related to the acquisition of AFP Unión Vida performed by Credicorp’s independent auditors. The fees were approved by the Audit Committee.</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consisted principally of tax compliance and advisory services approved by the Audit Committee.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include mainly some expenses related to training courses prepared for the insurance company by the independent auditors.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Audit Committee requires that all tax services provided by the independent auditors be brought to its approval, following the rules promulgated by the SEC.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Credicorp Consolidated Financial Statements and the report of independent public accounting firm in connection therewith are filed as part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20-F, as noted below: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Page</w:t>
            </w:r>
          </w:p>
        </w:tc>
        <w:tc>
          <w:tcPr>
            <w:tcW w:w="100" w:type="dxa"/>
            <w:vAlign w:val="bottom"/>
          </w:tcPr>
          <w:p>
            <w:pPr>
              <w:spacing w:after="0"/>
              <w:rPr>
                <w:sz w:val="20"/>
                <w:szCs w:val="20"/>
                <w:color w:val="auto"/>
              </w:rPr>
            </w:pPr>
          </w:p>
        </w:tc>
      </w:tr>
      <w:tr>
        <w:trPr>
          <w:trHeight w:val="237"/>
        </w:trPr>
        <w:tc>
          <w:tcPr>
            <w:tcW w:w="9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Credicorp Consolidated Financial Statements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F-1</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Index to Financial Statements and Schedules</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Index to Financial Statements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F-2</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F-3</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Balance Sheets as of December 31, 2006 and 2005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F-5</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Income Statements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F-7</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F-9</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Cash Flow Statements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F-11</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F-13</w:t>
            </w:r>
          </w:p>
        </w:tc>
      </w:tr>
    </w:tbl>
    <w:p>
      <w:pPr>
        <w:spacing w:after="0" w:line="256"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6" w:name="page147"/>
    <w:bookmarkEnd w:id="146"/>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 on Form 20-F</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dated June 27, 2003</w:t>
      </w:r>
    </w:p>
    <w:p>
      <w:pPr>
        <w:spacing w:after="0" w:line="238" w:lineRule="exact"/>
        <w:rPr>
          <w:sz w:val="20"/>
          <w:szCs w:val="20"/>
          <w:color w:val="auto"/>
        </w:rPr>
      </w:pPr>
    </w:p>
    <w:p>
      <w:pPr>
        <w:ind w:left="960" w:hanging="952"/>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12.1</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Executive Officer Pursuant to Section 302 of the U.S. Sarbanes-Oxley Act of 2002</w:t>
            </w:r>
          </w:p>
        </w:tc>
      </w:tr>
      <w:tr>
        <w:trPr>
          <w:trHeight w:val="459"/>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12.2</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Financial and Accounting Officer Pursuant to Section 302 of the U.S. Sarbanes-Oxley Act of 2002</w:t>
            </w:r>
          </w:p>
        </w:tc>
      </w:tr>
      <w:tr>
        <w:trPr>
          <w:trHeight w:val="459"/>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13.1</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Executive Officer Pursuant to Section 906 of the U.S. Sarbanes-Oxley Act of 2002</w:t>
            </w:r>
          </w:p>
        </w:tc>
      </w:tr>
      <w:tr>
        <w:trPr>
          <w:trHeight w:val="459"/>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13.2</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Financial and Accounting Officer Pursuant to Section 906 of the U.S. Sarbanes-Oxley Act of 2002</w:t>
            </w:r>
          </w:p>
        </w:tc>
      </w:tr>
      <w:tr>
        <w:trPr>
          <w:trHeight w:val="486"/>
        </w:trPr>
        <w:tc>
          <w:tcPr>
            <w:tcW w:w="640" w:type="dxa"/>
            <w:vAlign w:val="bottom"/>
          </w:tcPr>
          <w:p>
            <w:pPr>
              <w:spacing w:after="0"/>
              <w:rPr>
                <w:sz w:val="24"/>
                <w:szCs w:val="24"/>
                <w:color w:val="auto"/>
              </w:rPr>
            </w:pPr>
          </w:p>
        </w:tc>
        <w:tc>
          <w:tcPr>
            <w:tcW w:w="10780" w:type="dxa"/>
            <w:vAlign w:val="bottom"/>
          </w:tcPr>
          <w:p>
            <w:pPr>
              <w:ind w:left="4940"/>
              <w:spacing w:after="0"/>
              <w:rPr>
                <w:sz w:val="20"/>
                <w:szCs w:val="20"/>
                <w:color w:val="auto"/>
              </w:rPr>
            </w:pPr>
            <w:r>
              <w:rPr>
                <w:rFonts w:ascii="Arial" w:cs="Arial" w:eastAsia="Arial" w:hAnsi="Arial"/>
                <w:sz w:val="18"/>
                <w:szCs w:val="18"/>
                <w:color w:val="auto"/>
              </w:rPr>
              <w:t>142</w:t>
            </w:r>
          </w:p>
        </w:tc>
      </w:tr>
      <w:tr>
        <w:trPr>
          <w:trHeight w:val="118"/>
        </w:trPr>
        <w:tc>
          <w:tcPr>
            <w:tcW w:w="640" w:type="dxa"/>
            <w:vAlign w:val="bottom"/>
            <w:tcBorders>
              <w:bottom w:val="single" w:sz="8" w:color="808080"/>
            </w:tcBorders>
          </w:tcPr>
          <w:p>
            <w:pPr>
              <w:spacing w:after="0"/>
              <w:rPr>
                <w:sz w:val="10"/>
                <w:szCs w:val="10"/>
                <w:color w:val="auto"/>
              </w:rPr>
            </w:pPr>
          </w:p>
        </w:tc>
        <w:tc>
          <w:tcPr>
            <w:tcW w:w="10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160"/>
              <w:spacing w:after="0"/>
              <w:rPr>
                <w:sz w:val="20"/>
                <w:szCs w:val="20"/>
                <w:color w:val="auto"/>
              </w:rPr>
            </w:pPr>
            <w:r>
              <w:rPr>
                <w:rFonts w:ascii="Arial" w:cs="Arial" w:eastAsia="Arial" w:hAnsi="Arial"/>
                <w:sz w:val="18"/>
                <w:szCs w:val="18"/>
                <w:color w:val="auto"/>
              </w:rPr>
              <w:t>/s/ WALTER BAYLY</w:t>
            </w:r>
          </w:p>
        </w:tc>
      </w:tr>
      <w:tr>
        <w:trPr>
          <w:trHeight w:val="132"/>
        </w:trPr>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r>
      <w:tr>
        <w:trPr>
          <w:trHeight w:val="361"/>
        </w:trPr>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ind w:left="380"/>
              <w:spacing w:after="0"/>
              <w:rPr>
                <w:sz w:val="20"/>
                <w:szCs w:val="20"/>
                <w:color w:val="auto"/>
              </w:rPr>
            </w:pPr>
            <w:r>
              <w:rPr>
                <w:rFonts w:ascii="Arial" w:cs="Arial" w:eastAsia="Arial" w:hAnsi="Arial"/>
                <w:sz w:val="18"/>
                <w:szCs w:val="18"/>
                <w:color w:val="auto"/>
              </w:rPr>
              <w:t>Walter Bayly</w:t>
            </w:r>
          </w:p>
        </w:tc>
      </w:tr>
      <w:tr>
        <w:trPr>
          <w:trHeight w:val="270"/>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300"/>
              <w:spacing w:after="0"/>
              <w:rPr>
                <w:sz w:val="20"/>
                <w:szCs w:val="20"/>
                <w:color w:val="auto"/>
              </w:rPr>
            </w:pPr>
            <w:r>
              <w:rPr>
                <w:rFonts w:ascii="Arial" w:cs="Arial" w:eastAsia="Arial" w:hAnsi="Arial"/>
                <w:sz w:val="18"/>
                <w:szCs w:val="18"/>
                <w:color w:val="auto"/>
              </w:rPr>
              <w:t>Chief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-415290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-415290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2007</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8" w:name="page149"/>
    <w:bookmarkEnd w:id="148"/>
    <w:p>
      <w:pPr>
        <w:jc w:val="center"/>
        <w:ind w:right="-99"/>
        <w:spacing w:after="0"/>
        <w:rPr>
          <w:sz w:val="20"/>
          <w:szCs w:val="20"/>
          <w:color w:val="auto"/>
        </w:rPr>
      </w:pPr>
      <w:r>
        <w:rPr>
          <w:rFonts w:ascii="Arial" w:cs="Arial" w:eastAsia="Arial" w:hAnsi="Arial"/>
          <w:sz w:val="18"/>
          <w:szCs w:val="18"/>
          <w:b w:val="1"/>
          <w:bCs w:val="1"/>
          <w:color w:val="auto"/>
        </w:rPr>
        <w:t>CREDICORP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182689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Consolidated financial statements as of December 31, 2006 and 2005 and for each of the three years in the period ended December 31, 2006, together with the Report of Independent Registered Public Accounting Firm</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ind w:right="100"/>
        <w:spacing w:after="0" w:line="258" w:lineRule="auto"/>
        <w:rPr>
          <w:sz w:val="20"/>
          <w:szCs w:val="20"/>
          <w:color w:val="auto"/>
        </w:rPr>
      </w:pPr>
      <w:r>
        <w:rPr>
          <w:rFonts w:ascii="Arial" w:cs="Arial" w:eastAsia="Arial" w:hAnsi="Arial"/>
          <w:sz w:val="22"/>
          <w:szCs w:val="22"/>
          <w:color w:val="auto"/>
        </w:rPr>
        <w:t>Consolidated financial statements as of December 31, 2006 and 2005 and for each of the three years in the period ended December 31, 2006, together with the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6360" w:type="dxa"/>
            <w:vAlign w:val="bottom"/>
          </w:tcPr>
          <w:p>
            <w:pPr>
              <w:spacing w:after="0"/>
              <w:rPr>
                <w:sz w:val="20"/>
                <w:szCs w:val="20"/>
                <w:color w:val="auto"/>
              </w:rPr>
            </w:pPr>
          </w:p>
        </w:tc>
      </w:tr>
      <w:tr>
        <w:trPr>
          <w:trHeight w:val="486"/>
        </w:trPr>
        <w:tc>
          <w:tcPr>
            <w:tcW w:w="50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360" w:type="dxa"/>
            <w:vAlign w:val="bottom"/>
          </w:tcPr>
          <w:p>
            <w:pPr>
              <w:spacing w:after="0"/>
              <w:rPr>
                <w:sz w:val="24"/>
                <w:szCs w:val="24"/>
                <w:color w:val="auto"/>
              </w:rPr>
            </w:pPr>
          </w:p>
        </w:tc>
      </w:tr>
      <w:tr>
        <w:trPr>
          <w:trHeight w:val="270"/>
        </w:trPr>
        <w:tc>
          <w:tcPr>
            <w:tcW w:w="506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636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F-4</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Consolidated income statements</w:t>
            </w:r>
          </w:p>
        </w:tc>
        <w:tc>
          <w:tcPr>
            <w:tcW w:w="6360" w:type="dxa"/>
            <w:vAlign w:val="bottom"/>
          </w:tcPr>
          <w:p>
            <w:pPr>
              <w:jc w:val="right"/>
              <w:ind w:right="11"/>
              <w:spacing w:after="0"/>
              <w:rPr>
                <w:sz w:val="20"/>
                <w:szCs w:val="20"/>
                <w:color w:val="auto"/>
              </w:rPr>
            </w:pPr>
            <w:r>
              <w:rPr>
                <w:rFonts w:ascii="Arial" w:cs="Arial" w:eastAsia="Arial" w:hAnsi="Arial"/>
                <w:sz w:val="18"/>
                <w:szCs w:val="18"/>
                <w:color w:val="auto"/>
              </w:rPr>
              <w:t>F-6</w:t>
            </w:r>
          </w:p>
        </w:tc>
      </w:tr>
      <w:tr>
        <w:trPr>
          <w:trHeight w:val="243"/>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shareholders’ equity</w:t>
            </w:r>
          </w:p>
        </w:tc>
        <w:tc>
          <w:tcPr>
            <w:tcW w:w="636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F-8</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Consolidated cash flows statements</w:t>
            </w:r>
          </w:p>
        </w:tc>
        <w:tc>
          <w:tcPr>
            <w:tcW w:w="6360" w:type="dxa"/>
            <w:vAlign w:val="bottom"/>
          </w:tcPr>
          <w:p>
            <w:pPr>
              <w:jc w:val="right"/>
              <w:ind w:right="11"/>
              <w:spacing w:after="0"/>
              <w:rPr>
                <w:sz w:val="20"/>
                <w:szCs w:val="20"/>
                <w:color w:val="auto"/>
              </w:rPr>
            </w:pPr>
            <w:r>
              <w:rPr>
                <w:rFonts w:ascii="Arial" w:cs="Arial" w:eastAsia="Arial" w:hAnsi="Arial"/>
                <w:sz w:val="18"/>
                <w:szCs w:val="18"/>
                <w:color w:val="auto"/>
              </w:rPr>
              <w:t>F-10</w:t>
            </w:r>
          </w:p>
        </w:tc>
      </w:tr>
      <w:tr>
        <w:trPr>
          <w:trHeight w:val="243"/>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636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F-12</w:t>
            </w:r>
          </w:p>
        </w:tc>
      </w:tr>
      <w:tr>
        <w:trPr>
          <w:trHeight w:val="486"/>
        </w:trPr>
        <w:tc>
          <w:tcPr>
            <w:tcW w:w="5060" w:type="dxa"/>
            <w:vAlign w:val="bottom"/>
          </w:tcPr>
          <w:p>
            <w:pPr>
              <w:spacing w:after="0"/>
              <w:rPr>
                <w:sz w:val="24"/>
                <w:szCs w:val="24"/>
                <w:color w:val="auto"/>
              </w:rPr>
            </w:pPr>
          </w:p>
        </w:tc>
        <w:tc>
          <w:tcPr>
            <w:tcW w:w="6360" w:type="dxa"/>
            <w:vAlign w:val="bottom"/>
          </w:tcPr>
          <w:p>
            <w:pPr>
              <w:jc w:val="right"/>
              <w:ind w:right="5491"/>
              <w:spacing w:after="0"/>
              <w:rPr>
                <w:sz w:val="20"/>
                <w:szCs w:val="20"/>
                <w:color w:val="auto"/>
              </w:rPr>
            </w:pPr>
            <w:r>
              <w:rPr>
                <w:rFonts w:ascii="Arial" w:cs="Arial" w:eastAsia="Arial" w:hAnsi="Arial"/>
                <w:sz w:val="18"/>
                <w:szCs w:val="18"/>
                <w:color w:val="auto"/>
              </w:rPr>
              <w:t>F-2</w:t>
            </w:r>
          </w:p>
        </w:tc>
      </w:tr>
      <w:tr>
        <w:trPr>
          <w:trHeight w:val="118"/>
        </w:trPr>
        <w:tc>
          <w:tcPr>
            <w:tcW w:w="506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2689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260350</wp:posOffset>
            </wp:positionV>
            <wp:extent cx="149225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492250" cy="300355"/>
                    </a:xfrm>
                    <a:prstGeom prst="rect">
                      <a:avLst/>
                    </a:prstGeom>
                    <a:noFill/>
                  </pic:spPr>
                </pic:pic>
              </a:graphicData>
            </a:graphic>
          </wp:anchor>
        </w:drawing>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2006 and 2005, and the related consolidated statements of income, changes in equity, and cash flows for each of the three years in the period ended December 31, 2006.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Our audits include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Credicorp Ltd. and Subsidiaries at December 31, 2006 and 2005, and the consolidated results of their operations and their cash flows for each of the three years in the period ended December 31, 2006 in conformity with International Financial Reporting Standards (IFRS), which differ in certain respects from United States generally accepted accounting principles (see Note 29, as restated).</w:t>
      </w: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effectiveness of Credicorp Ltd’s internal control over financial reporting as of December 31, 2006, based on criteria established in Internal Control-Integrated Framework issued by the Committee of Sponsoring Organizations of the Treadway Commission and our report dated June 27, 2007 expressed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046480" cy="943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186055</wp:posOffset>
            </wp:positionV>
            <wp:extent cx="2315210" cy="1037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 22220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177165</wp:posOffset>
            </wp:positionV>
            <wp:extent cx="339598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959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2" w:right="3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and 2005</w:t>
      </w:r>
    </w:p>
    <w:p>
      <w:pPr>
        <w:spacing w:after="0" w:line="318"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1380" w:type="dxa"/>
            <w:vAlign w:val="bottom"/>
          </w:tcPr>
          <w:p>
            <w:pPr>
              <w:ind w:left="520"/>
              <w:spacing w:after="0"/>
              <w:rPr>
                <w:sz w:val="20"/>
                <w:szCs w:val="20"/>
                <w:color w:val="auto"/>
              </w:rPr>
            </w:pPr>
            <w:r>
              <w:rPr>
                <w:rFonts w:ascii="Arial" w:cs="Arial" w:eastAsia="Arial" w:hAnsi="Arial"/>
                <w:sz w:val="18"/>
                <w:szCs w:val="18"/>
                <w:b w:val="1"/>
                <w:bCs w:val="1"/>
                <w:color w:val="auto"/>
              </w:rPr>
              <w:t>Note</w:t>
            </w:r>
          </w:p>
        </w:tc>
        <w:tc>
          <w:tcPr>
            <w:tcW w:w="1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5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2005</w:t>
            </w:r>
          </w:p>
        </w:tc>
      </w:tr>
      <w:tr>
        <w:trPr>
          <w:trHeight w:val="237"/>
        </w:trPr>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Cash and due from banks: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Non-interest bearing</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bearing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474,859</w:t>
      </w:r>
      <w:r>
        <w:rPr>
          <w:sz w:val="20"/>
          <w:szCs w:val="20"/>
          <w:color w:val="auto"/>
        </w:rPr>
        <w:tab/>
      </w:r>
      <w:r>
        <w:rPr>
          <w:rFonts w:ascii="Arial" w:cs="Arial" w:eastAsia="Arial" w:hAnsi="Arial"/>
          <w:sz w:val="18"/>
          <w:szCs w:val="18"/>
          <w:color w:val="auto"/>
        </w:rPr>
        <w:t>364,947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14605</wp:posOffset>
            </wp:positionV>
            <wp:extent cx="724662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jc w:val="both"/>
        <w:ind w:left="980"/>
        <w:spacing w:after="0"/>
        <w:tabs>
          <w:tab w:leader="none" w:pos="2540" w:val="left"/>
        </w:tabs>
        <w:rPr>
          <w:sz w:val="20"/>
          <w:szCs w:val="20"/>
          <w:color w:val="auto"/>
        </w:rPr>
      </w:pPr>
      <w:r>
        <w:rPr>
          <w:rFonts w:ascii="Arial" w:cs="Arial" w:eastAsia="Arial" w:hAnsi="Arial"/>
          <w:sz w:val="18"/>
          <w:szCs w:val="18"/>
          <w:color w:val="auto"/>
        </w:rPr>
        <w:t>2,258,671</w:t>
      </w:r>
      <w:r>
        <w:rPr>
          <w:sz w:val="20"/>
          <w:szCs w:val="20"/>
          <w:color w:val="auto"/>
        </w:rPr>
        <w:tab/>
      </w:r>
      <w:r>
        <w:rPr>
          <w:rFonts w:ascii="Arial" w:cs="Arial" w:eastAsia="Arial" w:hAnsi="Arial"/>
          <w:sz w:val="18"/>
          <w:szCs w:val="18"/>
          <w:color w:val="auto"/>
        </w:rPr>
        <w:t>2,295,868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186690</wp:posOffset>
            </wp:positionV>
            <wp:extent cx="724662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380"/>
          </w:cols>
          <w:pgMar w:left="240" w:top="364" w:right="239" w:bottom="1440" w:gutter="0" w:footer="0" w:header="0"/>
          <w:type w:val="continuous"/>
        </w:sectPr>
      </w:pPr>
    </w:p>
    <w:p>
      <w:pPr>
        <w:spacing w:after="0" w:line="120" w:lineRule="exact"/>
        <w:rPr>
          <w:sz w:val="20"/>
          <w:szCs w:val="20"/>
          <w:color w:val="auto"/>
        </w:rPr>
      </w:pPr>
    </w:p>
    <w:p>
      <w:pPr>
        <w:ind w:left="9020"/>
        <w:spacing w:after="0"/>
        <w:tabs>
          <w:tab w:leader="none" w:pos="10580" w:val="left"/>
        </w:tabs>
        <w:rPr>
          <w:sz w:val="20"/>
          <w:szCs w:val="20"/>
          <w:color w:val="auto"/>
        </w:rPr>
      </w:pPr>
      <w:r>
        <w:rPr>
          <w:rFonts w:ascii="Arial" w:cs="Arial" w:eastAsia="Arial" w:hAnsi="Arial"/>
          <w:sz w:val="16"/>
          <w:szCs w:val="16"/>
          <w:color w:val="auto"/>
        </w:rPr>
        <w:t>2,733,530</w:t>
      </w:r>
      <w:r>
        <w:rPr>
          <w:sz w:val="20"/>
          <w:szCs w:val="20"/>
          <w:color w:val="auto"/>
        </w:rPr>
        <w:tab/>
      </w:r>
      <w:r>
        <w:rPr>
          <w:rFonts w:ascii="Arial" w:cs="Arial" w:eastAsia="Arial" w:hAnsi="Arial"/>
          <w:sz w:val="16"/>
          <w:szCs w:val="16"/>
          <w:color w:val="auto"/>
        </w:rPr>
        <w:t>2,660,815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Trading securities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Investments available-for-sale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45,136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60,785</w:t>
            </w:r>
          </w:p>
        </w:tc>
      </w:tr>
      <w:tr>
        <w:trPr>
          <w:trHeight w:val="270"/>
        </w:trPr>
        <w:tc>
          <w:tcPr>
            <w:tcW w:w="1840" w:type="dxa"/>
            <w:vAlign w:val="bottom"/>
            <w:tcBorders>
              <w:bottom w:val="single" w:sz="8" w:color="CCFFCC"/>
            </w:tcBorders>
            <w:gridSpan w:val="3"/>
          </w:tcPr>
          <w:p>
            <w:pPr>
              <w:jc w:val="right"/>
              <w:ind w:right="240"/>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3,450,711</w:t>
            </w:r>
          </w:p>
        </w:tc>
        <w:tc>
          <w:tcPr>
            <w:tcW w:w="220" w:type="dxa"/>
            <w:vAlign w:val="bottom"/>
            <w:tcBorders>
              <w:bottom w:val="single" w:sz="8" w:color="CCFFCC"/>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2,810,705</w:t>
            </w:r>
          </w:p>
        </w:tc>
        <w:tc>
          <w:tcPr>
            <w:tcW w:w="100" w:type="dxa"/>
            <w:vAlign w:val="bottom"/>
            <w:tcBorders>
              <w:bottom w:val="single" w:sz="8" w:color="CCFFCC"/>
            </w:tcBorders>
          </w:tcPr>
          <w:p>
            <w:pPr>
              <w:spacing w:after="0"/>
              <w:rPr>
                <w:sz w:val="23"/>
                <w:szCs w:val="23"/>
                <w:color w:val="auto"/>
              </w:rPr>
            </w:pPr>
          </w:p>
        </w:tc>
      </w:tr>
      <w:tr>
        <w:trPr>
          <w:trHeight w:val="250"/>
        </w:trPr>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3,495,847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2,871,490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-342265</wp:posOffset>
            </wp:positionV>
            <wp:extent cx="724662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163195</wp:posOffset>
            </wp:positionV>
            <wp:extent cx="724662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364" w:right="2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Loans, net of unearned income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50"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17"/>
          <w:szCs w:val="17"/>
          <w:color w:val="auto"/>
        </w:rPr>
        <w:t>5,927,101</w:t>
      </w:r>
      <w:r>
        <w:rPr>
          <w:sz w:val="20"/>
          <w:szCs w:val="20"/>
          <w:color w:val="auto"/>
        </w:rPr>
        <w:tab/>
      </w:r>
      <w:r>
        <w:rPr>
          <w:rFonts w:ascii="Arial" w:cs="Arial" w:eastAsia="Arial" w:hAnsi="Arial"/>
          <w:sz w:val="17"/>
          <w:szCs w:val="17"/>
          <w:color w:val="auto"/>
        </w:rPr>
        <w:t>5,014,255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22225</wp:posOffset>
            </wp:positionV>
            <wp:extent cx="724662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(190,278)</w:t>
      </w:r>
      <w:r>
        <w:rPr>
          <w:sz w:val="20"/>
          <w:szCs w:val="20"/>
          <w:color w:val="auto"/>
        </w:rPr>
        <w:tab/>
      </w:r>
      <w:r>
        <w:rPr>
          <w:rFonts w:ascii="Arial" w:cs="Arial" w:eastAsia="Arial" w:hAnsi="Arial"/>
          <w:sz w:val="16"/>
          <w:szCs w:val="16"/>
          <w:color w:val="auto"/>
        </w:rPr>
        <w:t>(197,495)</w:t>
      </w:r>
    </w:p>
    <w:p>
      <w:pPr>
        <w:spacing w:after="0" w:line="200" w:lineRule="exact"/>
        <w:rPr>
          <w:sz w:val="20"/>
          <w:szCs w:val="20"/>
          <w:color w:val="auto"/>
        </w:rPr>
      </w:pPr>
    </w:p>
    <w:p>
      <w:pPr>
        <w:sectPr>
          <w:pgSz w:w="11900" w:h="16838" w:orient="portrait"/>
          <w:cols w:equalWidth="0" w:num="2">
            <w:col w:w="7320" w:space="720"/>
            <w:col w:w="3380"/>
          </w:cols>
          <w:pgMar w:left="240" w:top="364" w:right="2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20" w:type="dxa"/>
            <w:vAlign w:val="bottom"/>
            <w:shd w:val="clear" w:color="auto" w:fill="CCFFCC"/>
          </w:tcPr>
          <w:p>
            <w:pPr>
              <w:spacing w:after="0"/>
              <w:rPr>
                <w:sz w:val="22"/>
                <w:szCs w:val="22"/>
                <w:color w:val="auto"/>
              </w:rPr>
            </w:pPr>
          </w:p>
        </w:tc>
        <w:tc>
          <w:tcPr>
            <w:tcW w:w="36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5,736,823</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4,816,760</w:t>
            </w:r>
          </w:p>
        </w:tc>
      </w:tr>
      <w:tr>
        <w:trPr>
          <w:trHeight w:val="257"/>
        </w:trPr>
        <w:tc>
          <w:tcPr>
            <w:tcW w:w="47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36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61,279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57,301</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35,288</w:t>
            </w:r>
          </w:p>
        </w:tc>
      </w:tr>
      <w:tr>
        <w:trPr>
          <w:trHeight w:val="25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 net</w:t>
            </w:r>
          </w:p>
        </w:tc>
        <w:tc>
          <w:tcPr>
            <w:tcW w:w="36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255,478</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248,299</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3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45,129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45,423</w:t>
            </w:r>
          </w:p>
        </w:tc>
      </w:tr>
      <w:tr>
        <w:trPr>
          <w:trHeight w:val="25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Assets seized, net</w:t>
            </w:r>
          </w:p>
        </w:tc>
        <w:tc>
          <w:tcPr>
            <w:tcW w:w="36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29,427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39,373</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Intangible assets and goodwill, net</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215,647</w:t>
            </w:r>
          </w:p>
        </w:tc>
        <w:tc>
          <w:tcPr>
            <w:tcW w:w="2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58,217</w:t>
            </w:r>
          </w:p>
        </w:tc>
      </w:tr>
      <w:tr>
        <w:trPr>
          <w:trHeight w:val="275"/>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364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273,188</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203,109</w:t>
            </w:r>
          </w:p>
        </w:tc>
      </w:tr>
      <w:tr>
        <w:trPr>
          <w:trHeight w:val="250"/>
        </w:trPr>
        <w:tc>
          <w:tcPr>
            <w:tcW w:w="4720" w:type="dxa"/>
            <w:vAlign w:val="bottom"/>
            <w:tcBorders>
              <w:top w:val="single" w:sz="8" w:color="CCFFCC"/>
            </w:tcBorders>
          </w:tcPr>
          <w:p>
            <w:pPr>
              <w:spacing w:after="0"/>
              <w:rPr>
                <w:sz w:val="21"/>
                <w:szCs w:val="21"/>
                <w:color w:val="auto"/>
              </w:rPr>
            </w:pPr>
          </w:p>
        </w:tc>
        <w:tc>
          <w:tcPr>
            <w:tcW w:w="3640" w:type="dxa"/>
            <w:vAlign w:val="bottom"/>
            <w:tcBorders>
              <w:top w:val="single" w:sz="8" w:color="CCFFCC"/>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r>
      <w:tr>
        <w:trPr>
          <w:trHeight w:val="283"/>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3640" w:type="dxa"/>
            <w:vAlign w:val="bottom"/>
            <w:tcBorders>
              <w:bottom w:val="single" w:sz="8" w:color="CCFFCC"/>
            </w:tcBorders>
            <w:shd w:val="clear" w:color="auto" w:fill="CCFFCC"/>
          </w:tcPr>
          <w:p>
            <w:pPr>
              <w:spacing w:after="0"/>
              <w:rPr>
                <w:sz w:val="24"/>
                <w:szCs w:val="24"/>
                <w:color w:val="auto"/>
              </w:rPr>
            </w:pPr>
          </w:p>
        </w:tc>
        <w:tc>
          <w:tcPr>
            <w:tcW w:w="520" w:type="dxa"/>
            <w:vAlign w:val="bottom"/>
            <w:tcBorders>
              <w:bottom w:val="single" w:sz="8" w:color="auto"/>
            </w:tcBorders>
            <w:shd w:val="clear" w:color="auto" w:fill="CCFFCC"/>
          </w:tcPr>
          <w:p>
            <w:pPr>
              <w:spacing w:after="0"/>
              <w:rPr>
                <w:sz w:val="24"/>
                <w:szCs w:val="24"/>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12,881,529</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11,036,075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8880" w:type="dxa"/>
            <w:vAlign w:val="bottom"/>
            <w:gridSpan w:val="3"/>
          </w:tcPr>
          <w:p>
            <w:pPr>
              <w:jc w:val="center"/>
              <w:ind w:left="24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720" w:type="dxa"/>
            <w:vAlign w:val="bottom"/>
          </w:tcPr>
          <w:p>
            <w:pPr>
              <w:spacing w:after="0"/>
              <w:rPr>
                <w:sz w:val="24"/>
                <w:szCs w:val="24"/>
                <w:color w:val="auto"/>
              </w:rPr>
            </w:pPr>
          </w:p>
        </w:tc>
        <w:tc>
          <w:tcPr>
            <w:tcW w:w="4160" w:type="dxa"/>
            <w:vAlign w:val="bottom"/>
            <w:gridSpan w:val="2"/>
          </w:tcPr>
          <w:p>
            <w:pPr>
              <w:jc w:val="center"/>
              <w:ind w:right="2180"/>
              <w:spacing w:after="0"/>
              <w:rPr>
                <w:sz w:val="20"/>
                <w:szCs w:val="20"/>
                <w:color w:val="auto"/>
              </w:rPr>
            </w:pPr>
            <w:r>
              <w:rPr>
                <w:rFonts w:ascii="Arial" w:cs="Arial" w:eastAsia="Arial" w:hAnsi="Arial"/>
                <w:sz w:val="18"/>
                <w:szCs w:val="18"/>
                <w:color w:val="auto"/>
                <w:w w:val="96"/>
              </w:rPr>
              <w:t>F-4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7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22"/>
          <w:szCs w:val="22"/>
          <w:color w:val="auto"/>
        </w:rPr>
        <w:t xml:space="preserve">Consolidated balance sheets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Note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US$(000)</w:t>
            </w:r>
          </w:p>
        </w:tc>
        <w:tc>
          <w:tcPr>
            <w:tcW w:w="14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Non-interest bearing</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1,989,564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1,671,621</w:t>
            </w:r>
          </w:p>
        </w:tc>
      </w:tr>
      <w:tr>
        <w:trPr>
          <w:trHeight w:val="27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Interest bearing</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6,849,427</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5,421,807</w:t>
            </w:r>
          </w:p>
        </w:tc>
        <w:tc>
          <w:tcPr>
            <w:tcW w:w="100" w:type="dxa"/>
            <w:vAlign w:val="bottom"/>
          </w:tcPr>
          <w:p>
            <w:pPr>
              <w:spacing w:after="0"/>
              <w:rPr>
                <w:sz w:val="23"/>
                <w:szCs w:val="23"/>
                <w:color w:val="auto"/>
              </w:rPr>
            </w:pP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8,838,991</w:t>
            </w: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7,093,428</w:t>
            </w: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570,989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1,023,371</w:t>
            </w: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Bankers’ acceptances outstanding</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45,129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45,423</w:t>
            </w: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25,134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36,580</w:t>
            </w: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Technical, insurance claims reserves and reserves for unearned premiums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628,221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546,094</w:t>
            </w: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370,612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280,000</w:t>
            </w: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Bonds and subordinated notes issued</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512,572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429,224</w:t>
            </w:r>
          </w:p>
        </w:tc>
      </w:tr>
      <w:tr>
        <w:trPr>
          <w:trHeight w:val="275"/>
        </w:trPr>
        <w:tc>
          <w:tcPr>
            <w:tcW w:w="77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356,113</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290,000</w:t>
            </w:r>
          </w:p>
        </w:tc>
      </w:tr>
      <w:tr>
        <w:trPr>
          <w:trHeight w:val="237"/>
        </w:trPr>
        <w:tc>
          <w:tcPr>
            <w:tcW w:w="7780" w:type="dxa"/>
            <w:vAlign w:val="bottom"/>
            <w:tcBorders>
              <w:top w:val="single" w:sz="8" w:color="CCFFCC"/>
            </w:tcBorders>
            <w:gridSpan w:val="2"/>
          </w:tcPr>
          <w:p>
            <w:pPr>
              <w:spacing w:after="0"/>
              <w:rPr>
                <w:sz w:val="20"/>
                <w:szCs w:val="20"/>
                <w:color w:val="auto"/>
              </w:rPr>
            </w:pPr>
          </w:p>
        </w:tc>
        <w:tc>
          <w:tcPr>
            <w:tcW w:w="34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77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11,347,761</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9,744,120</w:t>
            </w:r>
          </w:p>
        </w:tc>
      </w:tr>
      <w:tr>
        <w:trPr>
          <w:trHeight w:val="237"/>
        </w:trPr>
        <w:tc>
          <w:tcPr>
            <w:tcW w:w="6740" w:type="dxa"/>
            <w:vAlign w:val="bottom"/>
            <w:tcBorders>
              <w:top w:val="single" w:sz="8" w:color="CCFFCC"/>
            </w:tcBorders>
          </w:tcPr>
          <w:p>
            <w:pPr>
              <w:spacing w:after="0"/>
              <w:rPr>
                <w:sz w:val="20"/>
                <w:szCs w:val="20"/>
                <w:color w:val="auto"/>
              </w:rPr>
            </w:pPr>
          </w:p>
        </w:tc>
        <w:tc>
          <w:tcPr>
            <w:tcW w:w="1040" w:type="dxa"/>
            <w:vAlign w:val="bottom"/>
            <w:tcBorders>
              <w:top w:val="single" w:sz="8" w:color="CCFFCC"/>
            </w:tcBorders>
          </w:tcPr>
          <w:p>
            <w:pPr>
              <w:spacing w:after="0"/>
              <w:rPr>
                <w:sz w:val="20"/>
                <w:szCs w:val="20"/>
                <w:color w:val="auto"/>
              </w:rPr>
            </w:pPr>
          </w:p>
        </w:tc>
        <w:tc>
          <w:tcPr>
            <w:tcW w:w="34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Capital stock</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Treasury stock</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(73,107)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(73,107)</w:t>
            </w: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Capital surplus</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Reserves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479,902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269,527</w:t>
            </w: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reserves</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147,409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83,302</w:t>
            </w:r>
          </w:p>
        </w:tc>
      </w:tr>
      <w:tr>
        <w:trPr>
          <w:trHeight w:val="27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230,013</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298,113</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1,396,822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1,190,440</w:t>
            </w:r>
          </w:p>
        </w:tc>
      </w:tr>
      <w:tr>
        <w:trPr>
          <w:trHeight w:val="243"/>
        </w:trPr>
        <w:tc>
          <w:tcPr>
            <w:tcW w:w="67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77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136,946</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101,515</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1,533,768</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1,291,955</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12,881,529</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11,036,075</w:t>
            </w:r>
          </w:p>
        </w:tc>
        <w:tc>
          <w:tcPr>
            <w:tcW w:w="100" w:type="dxa"/>
            <w:vAlign w:val="bottom"/>
          </w:tcPr>
          <w:p>
            <w:pPr>
              <w:spacing w:after="0"/>
              <w:rPr>
                <w:sz w:val="21"/>
                <w:szCs w:val="21"/>
                <w:color w:val="auto"/>
              </w:rPr>
            </w:pPr>
          </w:p>
        </w:tc>
      </w:tr>
      <w:tr>
        <w:trPr>
          <w:trHeight w:val="20"/>
        </w:trPr>
        <w:tc>
          <w:tcPr>
            <w:tcW w:w="8360" w:type="dxa"/>
            <w:vAlign w:val="bottom"/>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2"/>
        </w:trPr>
        <w:tc>
          <w:tcPr>
            <w:tcW w:w="8720" w:type="dxa"/>
            <w:vAlign w:val="bottom"/>
            <w:gridSpan w:val="5"/>
          </w:tcPr>
          <w:p>
            <w:pPr>
              <w:ind w:left="2840"/>
              <w:spacing w:after="0"/>
              <w:rPr>
                <w:sz w:val="20"/>
                <w:szCs w:val="20"/>
                <w:color w:val="auto"/>
              </w:rPr>
            </w:pPr>
            <w:r>
              <w:rPr>
                <w:rFonts w:ascii="Arial" w:cs="Arial" w:eastAsia="Arial" w:hAnsi="Arial"/>
                <w:sz w:val="18"/>
                <w:szCs w:val="18"/>
                <w:color w:val="auto"/>
                <w:w w:val="88"/>
              </w:rPr>
              <w:t>The accompanying notes are an integral part of these consolidated balance sheets.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780" w:type="dxa"/>
            <w:vAlign w:val="bottom"/>
            <w:gridSpan w:val="2"/>
          </w:tcPr>
          <w:p>
            <w:pPr>
              <w:ind w:left="5580"/>
              <w:spacing w:after="0"/>
              <w:rPr>
                <w:sz w:val="20"/>
                <w:szCs w:val="20"/>
                <w:color w:val="auto"/>
              </w:rPr>
            </w:pPr>
            <w:r>
              <w:rPr>
                <w:rFonts w:ascii="Arial" w:cs="Arial" w:eastAsia="Arial" w:hAnsi="Arial"/>
                <w:sz w:val="18"/>
                <w:szCs w:val="18"/>
                <w:color w:val="auto"/>
              </w:rPr>
              <w:t>F-5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8"/>
        </w:trPr>
        <w:tc>
          <w:tcPr>
            <w:tcW w:w="67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income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2005 and 2004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0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Note</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US$(000)</w:t>
            </w: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US$(000)</w:t>
            </w:r>
          </w:p>
        </w:tc>
        <w:tc>
          <w:tcPr>
            <w:tcW w:w="1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537,671</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447,392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426,537</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deposits in banks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93,886</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37,127</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20,146</w:t>
            </w: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Interest from trading securities and investments available-for-sale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135,705</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117,242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81,276</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9,140</w:t>
            </w: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3,553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2,256</w:t>
            </w: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7,118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12,627</w:t>
            </w:r>
          </w:p>
        </w:tc>
      </w:tr>
      <w:tr>
        <w:trPr>
          <w:trHeight w:val="20"/>
        </w:trPr>
        <w:tc>
          <w:tcPr>
            <w:tcW w:w="6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interest and dividend income</w:t>
            </w:r>
          </w:p>
        </w:tc>
        <w:tc>
          <w:tcPr>
            <w:tcW w:w="36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782,002</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612,432</w:t>
            </w:r>
          </w:p>
        </w:tc>
        <w:tc>
          <w:tcPr>
            <w:tcW w:w="14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542,842</w:t>
            </w:r>
          </w:p>
        </w:tc>
      </w:tr>
      <w:tr>
        <w:trPr>
          <w:trHeight w:val="237"/>
        </w:trPr>
        <w:tc>
          <w:tcPr>
            <w:tcW w:w="618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deposits and obligations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(189,552)</w:t>
            </w: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(119,138)</w:t>
            </w:r>
          </w:p>
        </w:tc>
        <w:tc>
          <w:tcPr>
            <w:tcW w:w="14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(95,965)</w:t>
            </w: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Interest on bonds and subordinated notes issued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(25,282)</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(24,332)</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(27,651)</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due to banks and correspondents and borrowed funds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(56,634)</w:t>
            </w: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(20,288)</w:t>
            </w:r>
          </w:p>
        </w:tc>
        <w:tc>
          <w:tcPr>
            <w:tcW w:w="14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(16,366)</w:t>
            </w: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(12,010)</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(9,401)</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(20,316)</w:t>
            </w:r>
          </w:p>
        </w:tc>
      </w:tr>
      <w:tr>
        <w:trPr>
          <w:trHeight w:val="20"/>
        </w:trPr>
        <w:tc>
          <w:tcPr>
            <w:tcW w:w="6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interest expense</w:t>
            </w:r>
          </w:p>
        </w:tc>
        <w:tc>
          <w:tcPr>
            <w:tcW w:w="36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(283,478)</w:t>
            </w:r>
          </w:p>
        </w:tc>
        <w:tc>
          <w:tcPr>
            <w:tcW w:w="1600" w:type="dxa"/>
            <w:vAlign w:val="bottom"/>
            <w:tcBorders>
              <w:bottom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(173,159)</w:t>
            </w:r>
          </w:p>
        </w:tc>
        <w:tc>
          <w:tcPr>
            <w:tcW w:w="1460" w:type="dxa"/>
            <w:vAlign w:val="bottom"/>
            <w:tcBorders>
              <w:bottom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(160,298)</w:t>
            </w:r>
          </w:p>
        </w:tc>
      </w:tr>
      <w:tr>
        <w:trPr>
          <w:trHeight w:val="237"/>
        </w:trPr>
        <w:tc>
          <w:tcPr>
            <w:tcW w:w="5160" w:type="dxa"/>
            <w:vAlign w:val="bottom"/>
            <w:tcBorders>
              <w:top w:val="single" w:sz="8" w:color="CCFFCC"/>
            </w:tcBorders>
          </w:tcPr>
          <w:p>
            <w:pPr>
              <w:spacing w:after="0"/>
              <w:rPr>
                <w:sz w:val="20"/>
                <w:szCs w:val="20"/>
                <w:color w:val="auto"/>
              </w:rPr>
            </w:pPr>
          </w:p>
        </w:tc>
        <w:tc>
          <w:tcPr>
            <w:tcW w:w="1020" w:type="dxa"/>
            <w:vAlign w:val="bottom"/>
            <w:tcBorders>
              <w:top w:val="single" w:sz="8" w:color="CCFFCC"/>
            </w:tcBorders>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498,524</w:t>
            </w: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439,273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382,544</w:t>
            </w:r>
          </w:p>
        </w:tc>
      </w:tr>
      <w:tr>
        <w:trPr>
          <w:trHeight w:val="243"/>
        </w:trPr>
        <w:tc>
          <w:tcPr>
            <w:tcW w:w="618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13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spacing w:after="0"/>
              <w:rPr>
                <w:sz w:val="21"/>
                <w:szCs w:val="21"/>
                <w:color w:val="auto"/>
              </w:rPr>
            </w:pPr>
          </w:p>
        </w:tc>
        <w:tc>
          <w:tcPr>
            <w:tcW w:w="1460" w:type="dxa"/>
            <w:vAlign w:val="bottom"/>
            <w:gridSpan w:val="3"/>
          </w:tcPr>
          <w:p>
            <w:pPr>
              <w:spacing w:after="0"/>
              <w:rPr>
                <w:sz w:val="21"/>
                <w:szCs w:val="21"/>
                <w:color w:val="auto"/>
              </w:rPr>
            </w:pPr>
          </w:p>
        </w:tc>
      </w:tr>
      <w:tr>
        <w:trPr>
          <w:trHeight w:val="250"/>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Provision for loan losses</w:t>
            </w:r>
          </w:p>
        </w:tc>
        <w:tc>
          <w:tcPr>
            <w:tcW w:w="580" w:type="dxa"/>
            <w:vAlign w:val="bottom"/>
            <w:tcBorders>
              <w:bottom w:val="single" w:sz="8" w:color="CCFFCC"/>
            </w:tcBorders>
            <w:gridSpan w:val="2"/>
            <w:shd w:val="clear" w:color="auto" w:fill="CCFFCC"/>
          </w:tcPr>
          <w:p>
            <w:pPr>
              <w:jc w:val="center"/>
              <w:ind w:right="20"/>
              <w:spacing w:after="0"/>
              <w:rPr>
                <w:sz w:val="20"/>
                <w:szCs w:val="20"/>
                <w:color w:val="auto"/>
              </w:rPr>
            </w:pPr>
            <w:r>
              <w:rPr>
                <w:rFonts w:ascii="Arial" w:cs="Arial" w:eastAsia="Arial" w:hAnsi="Arial"/>
                <w:sz w:val="18"/>
                <w:szCs w:val="18"/>
                <w:color w:val="auto"/>
              </w:rPr>
              <w:t>7(f)</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6,356</w:t>
            </w:r>
          </w:p>
        </w:tc>
        <w:tc>
          <w:tcPr>
            <w:tcW w:w="1460" w:type="dxa"/>
            <w:vAlign w:val="bottom"/>
            <w:tcBorders>
              <w:bottom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(16,131)</w:t>
            </w:r>
          </w:p>
        </w:tc>
      </w:tr>
      <w:tr>
        <w:trPr>
          <w:trHeight w:val="20"/>
        </w:trPr>
        <w:tc>
          <w:tcPr>
            <w:tcW w:w="5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502,767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445,629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366,413</w:t>
            </w:r>
          </w:p>
        </w:tc>
      </w:tr>
      <w:tr>
        <w:trPr>
          <w:trHeight w:val="237"/>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Banking services commissions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243,778</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206,163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201,474</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41,638</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29,286</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24,165</w:t>
            </w: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Net gain on sales of securities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27,281</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8,965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10,135</w:t>
            </w:r>
          </w:p>
        </w:tc>
      </w:tr>
      <w:tr>
        <w:trPr>
          <w:trHeight w:val="250"/>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26,197</w:t>
            </w:r>
          </w:p>
        </w:tc>
        <w:tc>
          <w:tcPr>
            <w:tcW w:w="160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21,571</w:t>
            </w:r>
          </w:p>
        </w:tc>
        <w:tc>
          <w:tcPr>
            <w:tcW w:w="14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8,105</w:t>
            </w:r>
          </w:p>
        </w:tc>
      </w:tr>
      <w:tr>
        <w:trPr>
          <w:trHeight w:val="20"/>
        </w:trPr>
        <w:tc>
          <w:tcPr>
            <w:tcW w:w="5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338,894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265,985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243,879</w:t>
            </w:r>
          </w:p>
        </w:tc>
      </w:tr>
      <w:tr>
        <w:trPr>
          <w:trHeight w:val="20"/>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 xml:space="preserve">Consolidated income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Insurance premiums and claims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380" w:type="dxa"/>
            <w:vAlign w:val="bottom"/>
            <w:shd w:val="clear" w:color="auto" w:fill="CCFFCC"/>
          </w:tcPr>
          <w:p>
            <w:pPr>
              <w:jc w:val="center"/>
              <w:ind w:left="1110"/>
              <w:spacing w:after="0"/>
              <w:rPr>
                <w:sz w:val="20"/>
                <w:szCs w:val="20"/>
                <w:color w:val="auto"/>
              </w:rPr>
            </w:pPr>
            <w:r>
              <w:rPr>
                <w:rFonts w:ascii="Arial" w:cs="Arial" w:eastAsia="Arial" w:hAnsi="Arial"/>
                <w:sz w:val="18"/>
                <w:szCs w:val="18"/>
                <w:color w:val="auto"/>
                <w:w w:val="89"/>
              </w:rPr>
              <w:t>21</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251,261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218,955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192,672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Net claims incurred for property and casualty insurance contracts</w:t>
            </w:r>
          </w:p>
        </w:tc>
        <w:tc>
          <w:tcPr>
            <w:tcW w:w="1380" w:type="dxa"/>
            <w:vAlign w:val="bottom"/>
          </w:tcPr>
          <w:p>
            <w:pPr>
              <w:jc w:val="center"/>
              <w:ind w:left="1110"/>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(46,587)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(42,569)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(34,791)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claims incurred for life and health insurance contracts</w:t>
            </w:r>
          </w:p>
        </w:tc>
        <w:tc>
          <w:tcPr>
            <w:tcW w:w="1380" w:type="dxa"/>
            <w:vAlign w:val="bottom"/>
            <w:tcBorders>
              <w:bottom w:val="single" w:sz="8" w:color="CCFFCC"/>
            </w:tcBorders>
            <w:shd w:val="clear" w:color="auto" w:fill="CCFFCC"/>
          </w:tcPr>
          <w:p>
            <w:pPr>
              <w:jc w:val="center"/>
              <w:ind w:left="1110"/>
              <w:spacing w:after="0"/>
              <w:rPr>
                <w:sz w:val="20"/>
                <w:szCs w:val="20"/>
                <w:color w:val="auto"/>
              </w:rPr>
            </w:pPr>
            <w:r>
              <w:rPr>
                <w:rFonts w:ascii="Arial" w:cs="Arial" w:eastAsia="Arial" w:hAnsi="Arial"/>
                <w:sz w:val="18"/>
                <w:szCs w:val="18"/>
                <w:color w:val="auto"/>
                <w:w w:val="89"/>
              </w:rPr>
              <w:t>22</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(139,935)</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(132,931)</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64,739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43,455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38,347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(303,332)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(236,347)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(202,729)</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(172,304)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(138,294)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(153,096)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8(a) and 10(a)</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(50,317)</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(38,728)</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Provision for assets seized</w:t>
            </w:r>
          </w:p>
        </w:tc>
        <w:tc>
          <w:tcPr>
            <w:tcW w:w="1600" w:type="dxa"/>
            <w:vAlign w:val="bottom"/>
            <w:gridSpan w:val="2"/>
          </w:tcPr>
          <w:p>
            <w:pPr>
              <w:jc w:val="center"/>
              <w:ind w:left="890"/>
              <w:spacing w:after="0"/>
              <w:rPr>
                <w:sz w:val="20"/>
                <w:szCs w:val="20"/>
                <w:color w:val="auto"/>
              </w:rPr>
            </w:pPr>
            <w:r>
              <w:rPr>
                <w:rFonts w:ascii="Arial" w:cs="Arial" w:eastAsia="Arial" w:hAnsi="Arial"/>
                <w:sz w:val="18"/>
                <w:szCs w:val="18"/>
                <w:color w:val="auto"/>
                <w:w w:val="93"/>
              </w:rPr>
              <w:t>9(b)</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(6,387)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(16,959)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Merger expenses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2(a) and (d)</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(5,706)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Goodwill amortization</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10(b)</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center"/>
              <w:ind w:left="1110"/>
              <w:spacing w:after="0"/>
              <w:rPr>
                <w:sz w:val="20"/>
                <w:szCs w:val="20"/>
                <w:color w:val="auto"/>
              </w:rPr>
            </w:pPr>
            <w:r>
              <w:rPr>
                <w:rFonts w:ascii="Arial" w:cs="Arial" w:eastAsia="Arial" w:hAnsi="Arial"/>
                <w:sz w:val="18"/>
                <w:szCs w:val="18"/>
                <w:color w:val="auto"/>
                <w:w w:val="89"/>
              </w:rPr>
              <w:t>23</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(52,718)</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(46,745)</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(590,764)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(477,073)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(463,670)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315,636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277,996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184,969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15,216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(9,597)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18(b)</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(83,587)</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(73,546)</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247,265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194,853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Attributable to:</w:t>
            </w: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Equity holders of Credicorp</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230,013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181,885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130,747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17,252</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12,968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247,265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194,853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5140" w:type="dxa"/>
            <w:vAlign w:val="bottom"/>
            <w:shd w:val="clear" w:color="auto" w:fill="CCFFCC"/>
          </w:tcPr>
          <w:p>
            <w:pPr>
              <w:spacing w:after="0" w:line="178" w:lineRule="exact"/>
              <w:rPr>
                <w:sz w:val="20"/>
                <w:szCs w:val="20"/>
                <w:color w:val="auto"/>
              </w:rPr>
            </w:pPr>
            <w:r>
              <w:rPr>
                <w:rFonts w:ascii="Arial" w:cs="Arial" w:eastAsia="Arial" w:hAnsi="Arial"/>
                <w:sz w:val="18"/>
                <w:szCs w:val="18"/>
                <w:b w:val="1"/>
                <w:bCs w:val="1"/>
                <w:color w:val="auto"/>
              </w:rPr>
              <w:t>Basic and diluted earnings per share for net income</w:t>
            </w: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w w:val="97"/>
              </w:rPr>
              <w:t>attributable to equity holders of Credicorp (in United States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dollars)</w:t>
            </w:r>
          </w:p>
        </w:tc>
        <w:tc>
          <w:tcPr>
            <w:tcW w:w="1380" w:type="dxa"/>
            <w:vAlign w:val="bottom"/>
            <w:shd w:val="clear" w:color="auto" w:fill="CCFFCC"/>
          </w:tcPr>
          <w:p>
            <w:pPr>
              <w:jc w:val="center"/>
              <w:ind w:left="1110"/>
              <w:spacing w:after="0"/>
              <w:rPr>
                <w:sz w:val="20"/>
                <w:szCs w:val="20"/>
                <w:color w:val="auto"/>
              </w:rPr>
            </w:pPr>
            <w:r>
              <w:rPr>
                <w:rFonts w:ascii="Arial" w:cs="Arial" w:eastAsia="Arial" w:hAnsi="Arial"/>
                <w:sz w:val="18"/>
                <w:szCs w:val="18"/>
                <w:color w:val="auto"/>
                <w:w w:val="89"/>
              </w:rPr>
              <w:t>24</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2005 and 2004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12"/>
          </w:tcPr>
          <w:p>
            <w:pPr>
              <w:jc w:val="right"/>
              <w:ind w:right="700"/>
              <w:spacing w:after="0"/>
              <w:rPr>
                <w:sz w:val="20"/>
                <w:szCs w:val="20"/>
                <w:color w:val="auto"/>
              </w:rPr>
            </w:pPr>
            <w:r>
              <w:rPr>
                <w:rFonts w:ascii="Arial" w:cs="Arial" w:eastAsia="Arial" w:hAnsi="Arial"/>
                <w:sz w:val="18"/>
                <w:szCs w:val="18"/>
                <w:b w:val="1"/>
                <w:bCs w:val="1"/>
                <w:color w:val="auto"/>
              </w:rPr>
              <w:t>Attributable to the equity holders of Credicorp</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shares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issued,</w:t>
            </w:r>
          </w:p>
        </w:tc>
        <w:tc>
          <w:tcPr>
            <w:tcW w:w="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Treasury</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Capital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Retained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Minority</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note 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surplus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Reserves</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reserves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earnings</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interest</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net 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(In</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thousands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of units)</w:t>
            </w:r>
          </w:p>
        </w:tc>
        <w:tc>
          <w:tcPr>
            <w:tcW w:w="4920" w:type="dxa"/>
            <w:vAlign w:val="bottom"/>
            <w:gridSpan w:val="13"/>
          </w:tcPr>
          <w:p>
            <w:pPr>
              <w:jc w:val="right"/>
              <w:ind w:right="100"/>
              <w:spacing w:after="0"/>
              <w:rPr>
                <w:sz w:val="20"/>
                <w:szCs w:val="20"/>
                <w:color w:val="auto"/>
              </w:rPr>
            </w:pPr>
            <w:r>
              <w:rPr>
                <w:rFonts w:ascii="Arial" w:cs="Arial" w:eastAsia="Arial" w:hAnsi="Arial"/>
                <w:sz w:val="18"/>
                <w:szCs w:val="18"/>
                <w:color w:val="auto"/>
                <w:w w:val="98"/>
              </w:rPr>
              <w:t>US$(000) US$(000) US$(000) US$(000) US$(000) US$(000)</w:t>
            </w: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US$(000) US$(000)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40" w:type="dxa"/>
            <w:vAlign w:val="bottom"/>
            <w:shd w:val="clear" w:color="auto" w:fill="CCFFCC"/>
          </w:tcPr>
          <w:p>
            <w:pPr>
              <w:spacing w:after="0" w:line="243" w:lineRule="exact"/>
              <w:rPr>
                <w:sz w:val="20"/>
                <w:szCs w:val="20"/>
                <w:color w:val="auto"/>
              </w:rPr>
            </w:pPr>
            <w:r>
              <w:rPr>
                <w:rFonts w:ascii="Arial" w:cs="Arial" w:eastAsia="Arial" w:hAnsi="Arial"/>
                <w:sz w:val="17"/>
                <w:szCs w:val="17"/>
                <w:b w:val="1"/>
                <w:bCs w:val="1"/>
                <w:color w:val="auto"/>
              </w:rPr>
              <w:t>Balances as of January 1</w:t>
            </w:r>
            <w:r>
              <w:rPr>
                <w:rFonts w:ascii="Arial" w:cs="Arial" w:eastAsia="Arial" w:hAnsi="Arial"/>
                <w:sz w:val="28"/>
                <w:szCs w:val="28"/>
                <w:b w:val="1"/>
                <w:bCs w:val="1"/>
                <w:color w:val="auto"/>
                <w:vertAlign w:val="superscript"/>
              </w:rPr>
              <w:t>st</w:t>
            </w:r>
            <w:r>
              <w:rPr>
                <w:rFonts w:ascii="Arial" w:cs="Arial" w:eastAsia="Arial" w:hAnsi="Arial"/>
                <w:sz w:val="17"/>
                <w:szCs w:val="17"/>
                <w:b w:val="1"/>
                <w:bCs w:val="1"/>
                <w:color w:val="auto"/>
              </w:rPr>
              <w:t>, 2004</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94,382</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(73,177)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140,500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269,527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20,750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81,218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910,730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72,841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983,571</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Changes in equity for 2004 -</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unrealized gains from</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3"/>
              </w:rPr>
              <w:t>investments available-for-sale, note</w:t>
            </w: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6(c)</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56,746</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56,746</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9,762</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Transfer of net realized gain the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operations results, net of realized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gains, note 6(c)</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(1,365)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(1,365)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Income for the year recognized</w:t>
            </w:r>
          </w:p>
        </w:tc>
        <w:tc>
          <w:tcPr>
            <w:tcW w:w="880" w:type="dxa"/>
            <w:vAlign w:val="bottom"/>
            <w:tcBorders>
              <w:top w:val="single" w:sz="8" w:color="auto"/>
            </w:tcBorders>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directly in equity</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55,381</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9,815</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130,747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130,747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10,765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Total recognized income for the</w:t>
            </w:r>
          </w:p>
        </w:tc>
        <w:tc>
          <w:tcPr>
            <w:tcW w:w="880" w:type="dxa"/>
            <w:vAlign w:val="bottom"/>
            <w:tcBorders>
              <w:top w:val="single" w:sz="8" w:color="auto"/>
            </w:tcBorders>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period</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130,747</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186,128</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20,580</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206,708</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Decrease in treasury stock</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note 17(d)</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Dividends of subsidiaries and other</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6"/>
              </w:rPr>
              <w:t>Balances as of December 31, 2004</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94,382</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(73,107)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269,527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76,131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180,041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1,065,197</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85,253</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1,150,450</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Changes in equity for 2005 -</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Net unrealized gain from investments</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available-for-sale, note 6(c)</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7,121</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4,764</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Transfer of net realized gain the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operations results, net of realized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(1,572)</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gains, note 6(c)</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gain on cash flow hedge, note</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20(d)</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1,622</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1,622</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Income for the year recognized</w:t>
            </w: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directly in equity</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7,171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7,171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 xml:space="preserve">Consolidated income statements </w:t>
      </w:r>
      <w:r>
        <w:rPr>
          <w:rFonts w:ascii="Arial" w:cs="Arial" w:eastAsia="Arial" w:hAnsi="Arial"/>
          <w:sz w:val="18"/>
          <w:szCs w:val="18"/>
          <w:color w:val="auto"/>
        </w:rPr>
        <w:t>(continued)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2"/>
          </w:tcPr>
          <w:p>
            <w:pPr>
              <w:jc w:val="right"/>
              <w:ind w:right="720"/>
              <w:spacing w:after="0"/>
              <w:rPr>
                <w:sz w:val="20"/>
                <w:szCs w:val="20"/>
                <w:color w:val="auto"/>
              </w:rPr>
            </w:pPr>
            <w:r>
              <w:rPr>
                <w:rFonts w:ascii="Arial" w:cs="Arial" w:eastAsia="Arial" w:hAnsi="Arial"/>
                <w:sz w:val="18"/>
                <w:szCs w:val="18"/>
                <w:b w:val="1"/>
                <w:bCs w:val="1"/>
                <w:color w:val="auto"/>
              </w:rPr>
              <w:t>Attributable to the equity holders of Credicorp</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Number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Capital</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4"/>
              </w:rPr>
              <w:t>Treasury</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Minority</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issued,</w:t>
            </w: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4"/>
              </w:rPr>
              <w:t>Reserves</w:t>
            </w: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note 24</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2"/>
              </w:rPr>
              <w:t>surplus</w:t>
            </w: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reserves</w:t>
            </w: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940" w:type="dxa"/>
            <w:vAlign w:val="bottom"/>
            <w:gridSpan w:val="2"/>
            <w:vMerge w:val="continue"/>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interest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net equity</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(In</w:t>
            </w: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w w:val="93"/>
              </w:rPr>
              <w:t>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vMerge w:val="restart"/>
          </w:tcPr>
          <w:p>
            <w:pPr>
              <w:ind w:left="40"/>
              <w:spacing w:after="0"/>
              <w:rPr>
                <w:sz w:val="20"/>
                <w:szCs w:val="20"/>
                <w:color w:val="auto"/>
              </w:rPr>
            </w:pPr>
            <w:r>
              <w:rPr>
                <w:rFonts w:ascii="Arial" w:cs="Arial" w:eastAsia="Arial" w:hAnsi="Arial"/>
                <w:sz w:val="18"/>
                <w:szCs w:val="18"/>
                <w:color w:val="auto"/>
              </w:rPr>
              <w:t>US$(000)   US$(000)</w:t>
            </w:r>
          </w:p>
        </w:tc>
        <w:tc>
          <w:tcPr>
            <w:tcW w:w="17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w w:val="98"/>
              </w:rPr>
              <w:t>US$(000)   US$(000)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of units)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US$(000)</w:t>
            </w:r>
          </w:p>
        </w:tc>
        <w:tc>
          <w:tcPr>
            <w:tcW w:w="3280" w:type="dxa"/>
            <w:vAlign w:val="bottom"/>
            <w:gridSpan w:val="8"/>
          </w:tcPr>
          <w:p>
            <w:pPr>
              <w:jc w:val="right"/>
              <w:ind w:right="100"/>
              <w:spacing w:after="0"/>
              <w:rPr>
                <w:sz w:val="20"/>
                <w:szCs w:val="20"/>
                <w:color w:val="auto"/>
              </w:rPr>
            </w:pPr>
            <w:r>
              <w:rPr>
                <w:rFonts w:ascii="Arial" w:cs="Arial" w:eastAsia="Arial" w:hAnsi="Arial"/>
                <w:sz w:val="18"/>
                <w:szCs w:val="18"/>
                <w:color w:val="auto"/>
                <w:w w:val="97"/>
              </w:rPr>
              <w:t>US$(000) US$(000) US$(000) US$(000)</w:t>
            </w:r>
          </w:p>
        </w:tc>
        <w:tc>
          <w:tcPr>
            <w:tcW w:w="1800" w:type="dxa"/>
            <w:vAlign w:val="bottom"/>
            <w:gridSpan w:val="4"/>
            <w:vMerge w:val="continue"/>
          </w:tcPr>
          <w:p>
            <w:pPr>
              <w:spacing w:after="0"/>
              <w:rPr>
                <w:sz w:val="20"/>
                <w:szCs w:val="20"/>
                <w:color w:val="auto"/>
              </w:rPr>
            </w:pPr>
          </w:p>
        </w:tc>
        <w:tc>
          <w:tcPr>
            <w:tcW w:w="17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181,885</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12,968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Total recognized income for the</w:t>
            </w:r>
          </w:p>
        </w:tc>
        <w:tc>
          <w:tcPr>
            <w:tcW w:w="9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period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181,885</w:t>
            </w:r>
          </w:p>
        </w:tc>
        <w:tc>
          <w:tcPr>
            <w:tcW w:w="820" w:type="dxa"/>
            <w:vAlign w:val="bottom"/>
          </w:tcPr>
          <w:p>
            <w:pPr>
              <w:jc w:val="right"/>
              <w:spacing w:after="0"/>
              <w:rPr>
                <w:sz w:val="20"/>
                <w:szCs w:val="20"/>
                <w:color w:val="auto"/>
              </w:rPr>
            </w:pPr>
            <w:r>
              <w:rPr>
                <w:rFonts w:ascii="Arial" w:cs="Arial" w:eastAsia="Arial" w:hAnsi="Arial"/>
                <w:sz w:val="18"/>
                <w:szCs w:val="18"/>
                <w:color w:val="auto"/>
              </w:rPr>
              <w:t>189,056</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17,567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note 17(d)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(63,810)</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(63,810)</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(63,810)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Dividends of subsidiaries and other</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w w:val="93"/>
              </w:rPr>
              <w:t>Balances as of December 31, 2005</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carried forward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94,382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(73,107)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269,527</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83,302</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298,113</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1,190,440</w:t>
            </w:r>
          </w:p>
        </w:tc>
        <w:tc>
          <w:tcPr>
            <w:tcW w:w="1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101,515</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1,291,955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Changes in equity for 2006 -</w:t>
            </w:r>
          </w:p>
        </w:tc>
        <w:tc>
          <w:tcPr>
            <w:tcW w:w="980" w:type="dxa"/>
            <w:vAlign w:val="bottom"/>
            <w:tcBorders>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Net unrealized gain from</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investments available-for-sale,</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note 6(c)</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69,411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69,411</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Transfer of net realized gain the</w:t>
            </w:r>
          </w:p>
        </w:tc>
        <w:tc>
          <w:tcPr>
            <w:tcW w:w="98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7"/>
              </w:rPr>
              <w:t>operations results, net of realized</w:t>
            </w:r>
          </w:p>
        </w:tc>
        <w:tc>
          <w:tcPr>
            <w:tcW w:w="98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gains, note 6(c)</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(6,620)</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(6,620)</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(379)</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Net gain on cash flow hedge, note</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20(d)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Income for the year recognized</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directly in equity</w:t>
            </w:r>
          </w:p>
        </w:tc>
        <w:tc>
          <w:tcPr>
            <w:tcW w:w="980" w:type="dxa"/>
            <w:vAlign w:val="bottom"/>
            <w:tcBorders>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64,107</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64,107</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20,349</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230,013</w:t>
            </w:r>
          </w:p>
        </w:tc>
        <w:tc>
          <w:tcPr>
            <w:tcW w:w="820" w:type="dxa"/>
            <w:vAlign w:val="bottom"/>
          </w:tcPr>
          <w:p>
            <w:pPr>
              <w:jc w:val="right"/>
              <w:spacing w:after="0"/>
              <w:rPr>
                <w:sz w:val="20"/>
                <w:szCs w:val="20"/>
                <w:color w:val="auto"/>
              </w:rPr>
            </w:pPr>
            <w:r>
              <w:rPr>
                <w:rFonts w:ascii="Arial" w:cs="Arial" w:eastAsia="Arial" w:hAnsi="Arial"/>
                <w:sz w:val="18"/>
                <w:szCs w:val="18"/>
                <w:color w:val="auto"/>
              </w:rPr>
              <w:t>230,013</w:t>
            </w: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17,252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Total recognized income for the</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period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64,107</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294,120</w:t>
            </w:r>
          </w:p>
        </w:tc>
        <w:tc>
          <w:tcPr>
            <w:tcW w:w="1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37,601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331,721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Transfer of retained earnings to</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reserves, note 17(c)</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210,375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(210,375)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note 17(d)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(87,738)</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(87,738)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Dividends of subsidiaries and other</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w w:val="93"/>
              </w:rPr>
              <w:t>Balances as of December 31, 2006</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carried forward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94,382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(73,107)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479,902</w:t>
            </w:r>
          </w:p>
        </w:tc>
        <w:tc>
          <w:tcPr>
            <w:tcW w:w="100" w:type="dxa"/>
            <w:vAlign w:val="bottom"/>
            <w:shd w:val="clear" w:color="auto" w:fill="CCFFCC"/>
          </w:tcPr>
          <w:p>
            <w:pPr>
              <w:spacing w:after="0"/>
              <w:rPr>
                <w:sz w:val="22"/>
                <w:szCs w:val="2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147,409</w:t>
            </w:r>
          </w:p>
        </w:tc>
        <w:tc>
          <w:tcPr>
            <w:tcW w:w="100" w:type="dxa"/>
            <w:vAlign w:val="bottom"/>
            <w:shd w:val="clear" w:color="auto" w:fill="CCFFCC"/>
          </w:tcPr>
          <w:p>
            <w:pPr>
              <w:spacing w:after="0"/>
              <w:rPr>
                <w:sz w:val="22"/>
                <w:szCs w:val="22"/>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1,396,822</w:t>
            </w:r>
          </w:p>
        </w:tc>
        <w:tc>
          <w:tcPr>
            <w:tcW w:w="1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136,946</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1,533,768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cash flows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2006, 2005 and 2004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247,265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194,853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141,512</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Add (deduct)</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loan losses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(4,243)</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(6,356)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50,317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38,728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41,742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goodwill</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6,387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14,639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23</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6,461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9,819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income tax, note 18(b)</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(4,786)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(11,502)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(6,325)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gain on securities available-for-sale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(27,281)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(8,965)</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(10,135)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Loss (gain) on sales of property, furniture and equipment, note 23</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4,525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(15,216)</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9,597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Purchase (sale) of trading securities, net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15,649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22,843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(3,788)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Purchase of loan portfolio, note 2(b)</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(353,769)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loans, net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(871,970)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90,521</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(142,316)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Decrease (increase) in other assets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(104,091)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(15,062)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52,049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1,632,960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648,648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296,094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Increase (decrease) in due to banks and correspondents, net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(455,381)</w:t>
            </w:r>
          </w:p>
        </w:tc>
        <w:tc>
          <w:tcPr>
            <w:tcW w:w="1380" w:type="dxa"/>
            <w:vAlign w:val="bottom"/>
          </w:tcPr>
          <w:p>
            <w:pPr>
              <w:jc w:val="right"/>
              <w:spacing w:after="0"/>
              <w:rPr>
                <w:sz w:val="20"/>
                <w:szCs w:val="20"/>
                <w:color w:val="auto"/>
              </w:rPr>
            </w:pPr>
            <w:r>
              <w:rPr>
                <w:rFonts w:ascii="Arial" w:cs="Arial" w:eastAsia="Arial" w:hAnsi="Arial"/>
                <w:sz w:val="18"/>
                <w:szCs w:val="18"/>
                <w:color w:val="auto"/>
              </w:rPr>
              <w:t>540,824</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130,369</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(decrease) in other liabilities, net</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114,717</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149,920</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139,626</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590,619</w:t>
            </w:r>
          </w:p>
        </w:tc>
        <w:tc>
          <w:tcPr>
            <w:tcW w:w="1380" w:type="dxa"/>
            <w:vAlign w:val="bottom"/>
          </w:tcPr>
          <w:p>
            <w:pPr>
              <w:jc w:val="right"/>
              <w:spacing w:after="0"/>
              <w:rPr>
                <w:sz w:val="20"/>
                <w:szCs w:val="20"/>
                <w:color w:val="auto"/>
              </w:rPr>
            </w:pPr>
            <w:r>
              <w:rPr>
                <w:rFonts w:ascii="Arial" w:cs="Arial" w:eastAsia="Arial" w:hAnsi="Arial"/>
                <w:sz w:val="18"/>
                <w:szCs w:val="18"/>
                <w:color w:val="auto"/>
              </w:rPr>
              <w:t>1,320,931</w:t>
            </w:r>
          </w:p>
        </w:tc>
        <w:tc>
          <w:tcPr>
            <w:tcW w:w="2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686,755</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subsidiaries net of cash received, notes 2(a) and (d)</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(140,085)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Disposal of subsidiaries, net of cash disposed, note 2(c)</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17,977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purchase of investments available-for-sale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(433,702)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(712,879)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(410,693)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Purchase of property, furniture and equipment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(43,973)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(48,769)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(41,087)</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Sales of property, furniture and equipment</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7,546</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19,448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7,788</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(610,214)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(724,223)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(448,892)</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 xml:space="preserve">Consolidated cash flows statements </w:t>
      </w:r>
      <w:r>
        <w:rPr>
          <w:rFonts w:ascii="Arial" w:cs="Arial" w:eastAsia="Arial" w:hAnsi="Arial"/>
          <w:sz w:val="17"/>
          <w:szCs w:val="17"/>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Issuance of bonds and subordinated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167,247</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74,985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35,235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Redemption of bonds and subordinated notes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(91,925)</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(57,469)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(30,719)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Sales of treasury stocks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in borrowed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90,612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348,500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140,500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Payments of borrowed funds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(68,500)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(114,054)</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(87,738)</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(63,810)</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78,196</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233,706</w:t>
            </w:r>
          </w:p>
        </w:tc>
        <w:tc>
          <w:tcPr>
            <w:tcW w:w="22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Translation gain (loss) on cash and cash equivalents</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14,114</w:t>
            </w:r>
          </w:p>
        </w:tc>
        <w:tc>
          <w:tcPr>
            <w:tcW w:w="240" w:type="dxa"/>
            <w:vAlign w:val="bottom"/>
            <w:tcBorders>
              <w:bottom w:val="single" w:sz="8" w:color="CCFFCC"/>
            </w:tcBorders>
            <w:shd w:val="clear" w:color="auto" w:fill="CCFFCC"/>
          </w:tcPr>
          <w:p>
            <w:pPr>
              <w:spacing w:after="0"/>
              <w:rPr>
                <w:sz w:val="22"/>
                <w:szCs w:val="22"/>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(15,060)</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(6,787)</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72,715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815,354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230,401</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r>
      <w:tr>
        <w:trPr>
          <w:trHeight w:val="275"/>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1,845,461</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1,615,060</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24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1,845,461</w:t>
            </w:r>
          </w:p>
        </w:tc>
      </w:tr>
      <w:tr>
        <w:trPr>
          <w:trHeight w:val="224"/>
        </w:trPr>
        <w:tc>
          <w:tcPr>
            <w:tcW w:w="67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paid during the year for -</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265,838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171,495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158,414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Income tax</w:t>
            </w:r>
          </w:p>
        </w:tc>
        <w:tc>
          <w:tcPr>
            <w:tcW w:w="1380" w:type="dxa"/>
            <w:vAlign w:val="bottom"/>
          </w:tcPr>
          <w:p>
            <w:pPr>
              <w:jc w:val="right"/>
              <w:spacing w:after="0"/>
              <w:rPr>
                <w:sz w:val="20"/>
                <w:szCs w:val="20"/>
                <w:color w:val="auto"/>
              </w:rPr>
            </w:pPr>
            <w:r>
              <w:rPr>
                <w:rFonts w:ascii="Arial" w:cs="Arial" w:eastAsia="Arial" w:hAnsi="Arial"/>
                <w:sz w:val="18"/>
                <w:szCs w:val="18"/>
                <w:color w:val="auto"/>
              </w:rPr>
              <w:t>96,284</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47,760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43,866</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810,266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628,508</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554,205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and 2005</w:t>
      </w:r>
    </w:p>
    <w:p>
      <w:pPr>
        <w:spacing w:after="0" w:line="26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56"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policy and administration of its subsidiaries. It is also engaged in investing activities.</w:t>
      </w:r>
    </w:p>
    <w:p>
      <w:pPr>
        <w:spacing w:after="0" w:line="224" w:lineRule="exact"/>
        <w:rPr>
          <w:rFonts w:ascii="Arial" w:cs="Arial" w:eastAsia="Arial" w:hAnsi="Arial"/>
          <w:sz w:val="18"/>
          <w:szCs w:val="18"/>
          <w:b w:val="1"/>
          <w:bCs w:val="1"/>
          <w:color w:val="auto"/>
        </w:rPr>
      </w:pPr>
    </w:p>
    <w:p>
      <w:pPr>
        <w:ind w:left="66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Credicorp Ltd., through its banking and non-banking subsidiaries, provides a wide range of financial services and products throughout Peru and in selected international markets. At December 31, 2006, the major subsidiary of the Group is Banco de Crédito del Perú (hereinafter “BCP” or the “Bank”), a Peruvian universal bank. The address of Credicorp’s main office is Claredon House 2 Church Street Hamilton, Bermuda; likewise, the Management and its administration offices are located in Calle Centenario Nº156, La Molina, Lima, Peru.</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is listing in both Lima and the New York Stock Exchanges.</w:t>
      </w:r>
    </w:p>
    <w:p>
      <w:pPr>
        <w:spacing w:after="0" w:line="279"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2005 have been approved in the General Shareholders’ Meeting dated March 31, 2006. The accompanying consolidated financial statements as of and for the year ended December 31, 2006, have been approved by the Board of Directors Meeting dated February 28, 2007 and by the General Shareholders’ Meeting dated March 30, 2007, without modifications.</w:t>
      </w:r>
    </w:p>
    <w:p>
      <w:pPr>
        <w:spacing w:after="0" w:line="196"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developments</w:t>
      </w:r>
    </w:p>
    <w:p>
      <w:pPr>
        <w:spacing w:after="0" w:line="28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2006 and 2005, the Group incorporated new companies; acquired subsidiaries recorded as business combinations, according to the guidelines of IFRS 3, and sold subsidiaries. The description of such transactions are described below:</w:t>
      </w:r>
    </w:p>
    <w:p>
      <w:pPr>
        <w:spacing w:after="0" w:line="224"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Incorporation of a Private Pension Fund Management and acquisition of AFP Unión Vida S.A. -</w:t>
      </w:r>
    </w:p>
    <w:p>
      <w:pPr>
        <w:spacing w:after="0" w:line="23" w:lineRule="exact"/>
        <w:rPr>
          <w:rFonts w:ascii="Arial" w:cs="Arial" w:eastAsia="Arial" w:hAnsi="Arial"/>
          <w:sz w:val="18"/>
          <w:szCs w:val="18"/>
          <w:color w:val="auto"/>
        </w:rPr>
      </w:pPr>
    </w:p>
    <w:p>
      <w:pPr>
        <w:jc w:val="both"/>
        <w:ind w:left="1140" w:right="280"/>
        <w:spacing w:after="0" w:line="255" w:lineRule="auto"/>
        <w:rPr>
          <w:rFonts w:ascii="Arial" w:cs="Arial" w:eastAsia="Arial" w:hAnsi="Arial"/>
          <w:sz w:val="18"/>
          <w:szCs w:val="18"/>
          <w:color w:val="auto"/>
        </w:rPr>
      </w:pPr>
      <w:r>
        <w:rPr>
          <w:rFonts w:ascii="Arial" w:cs="Arial" w:eastAsia="Arial" w:hAnsi="Arial"/>
          <w:sz w:val="18"/>
          <w:szCs w:val="18"/>
          <w:color w:val="auto"/>
        </w:rPr>
        <w:t>Credicorp’s Board of Directors Meeting held on November 25, 2004, approved that its subsidiary Grupo Crédito S.A. will take part, as the principal shareholder, in the start-up of a new private pension fund management company, Administradora de Fondos de Pensiones - AFP, Prima AFP S.A. (hereinafter “Prima AFP”), which was incorporated on March 4, 2005.</w:t>
      </w:r>
    </w:p>
    <w:p>
      <w:pPr>
        <w:spacing w:after="0" w:line="244" w:lineRule="exact"/>
        <w:rPr>
          <w:rFonts w:ascii="Arial" w:cs="Arial" w:eastAsia="Arial" w:hAnsi="Arial"/>
          <w:sz w:val="18"/>
          <w:szCs w:val="18"/>
          <w:color w:val="auto"/>
        </w:rPr>
      </w:pPr>
    </w:p>
    <w:p>
      <w:pPr>
        <w:ind w:left="1140" w:right="120"/>
        <w:spacing w:after="0" w:line="259" w:lineRule="auto"/>
        <w:rPr>
          <w:rFonts w:ascii="Arial" w:cs="Arial" w:eastAsia="Arial" w:hAnsi="Arial"/>
          <w:sz w:val="18"/>
          <w:szCs w:val="18"/>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which represented 99.97 of its capital stock and made a Public Offering for the minority shareholders in order to acquire the remaining 0.03 percent of the capital stock. The amount paid for the purchase amounted to approximately US$ 141.5 million.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180"/>
        <w:spacing w:after="0" w:line="280" w:lineRule="auto"/>
        <w:rPr>
          <w:sz w:val="20"/>
          <w:szCs w:val="20"/>
          <w:color w:val="auto"/>
        </w:rPr>
      </w:pPr>
      <w:r>
        <w:rPr>
          <w:rFonts w:ascii="Arial" w:cs="Arial" w:eastAsia="Arial" w:hAnsi="Arial"/>
          <w:sz w:val="18"/>
          <w:szCs w:val="18"/>
          <w:color w:val="auto"/>
        </w:rPr>
        <w:t>At the General Shareholder’s Meeting of Prima AFP, held on September 6, 2006, the merger with AFP Unión Vida S.A. was approved, with effective date of December 1</w:t>
      </w:r>
      <w:r>
        <w:rPr>
          <w:rFonts w:ascii="Arial" w:cs="Arial" w:eastAsia="Arial" w:hAnsi="Arial"/>
          <w:sz w:val="30"/>
          <w:szCs w:val="30"/>
          <w:color w:val="auto"/>
          <w:vertAlign w:val="superscript"/>
        </w:rPr>
        <w:t>st</w:t>
      </w:r>
      <w:r>
        <w:rPr>
          <w:rFonts w:ascii="Arial" w:cs="Arial" w:eastAsia="Arial" w:hAnsi="Arial"/>
          <w:sz w:val="18"/>
          <w:szCs w:val="18"/>
          <w:color w:val="auto"/>
        </w:rPr>
        <w:t>, 2006.</w:t>
      </w:r>
    </w:p>
    <w:p>
      <w:pPr>
        <w:spacing w:after="0" w:line="99" w:lineRule="exact"/>
        <w:rPr>
          <w:sz w:val="20"/>
          <w:szCs w:val="20"/>
          <w:color w:val="auto"/>
        </w:rPr>
      </w:pPr>
    </w:p>
    <w:p>
      <w:pPr>
        <w:ind w:left="1140" w:right="80"/>
        <w:spacing w:after="0" w:line="286" w:lineRule="auto"/>
        <w:rPr>
          <w:sz w:val="20"/>
          <w:szCs w:val="20"/>
          <w:color w:val="auto"/>
        </w:rPr>
      </w:pPr>
      <w:r>
        <w:rPr>
          <w:rFonts w:ascii="Arial" w:cs="Arial" w:eastAsia="Arial" w:hAnsi="Arial"/>
          <w:sz w:val="17"/>
          <w:szCs w:val="17"/>
          <w:color w:val="auto"/>
        </w:rPr>
        <w:t>The acquisition of AFP Unión Vida S.A. was recorded using the purchase method, as required by IFRS 3, Business Combinations. The assets and liabilities were recorded at their estimated market values at the acquisition date and the intangible assets acquired were identified. The book value and the fair values for the identified assets and liabilities of the entity at acquisition date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Book value of the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Fair value of the</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entity acquired</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recognition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entity acquired</w:t>
            </w:r>
          </w:p>
        </w:tc>
      </w:tr>
      <w:tr>
        <w:trPr>
          <w:trHeight w:val="270"/>
        </w:trPr>
        <w:tc>
          <w:tcPr>
            <w:tcW w:w="6740" w:type="dxa"/>
            <w:vAlign w:val="bottom"/>
          </w:tcPr>
          <w:p>
            <w:pPr>
              <w:spacing w:after="0"/>
              <w:rPr>
                <w:sz w:val="23"/>
                <w:szCs w:val="23"/>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37"/>
        </w:trPr>
        <w:tc>
          <w:tcPr>
            <w:tcW w:w="6740" w:type="dxa"/>
            <w:vAlign w:val="bottom"/>
          </w:tcPr>
          <w:p>
            <w:pPr>
              <w:spacing w:after="0"/>
              <w:rPr>
                <w:sz w:val="20"/>
                <w:szCs w:val="20"/>
                <w:color w:val="auto"/>
              </w:rPr>
            </w:pPr>
            <w:r>
              <w:rPr>
                <w:rFonts w:ascii="Arial" w:cs="Arial" w:eastAsia="Arial" w:hAnsi="Arial"/>
                <w:sz w:val="18"/>
                <w:szCs w:val="18"/>
                <w:b w:val="1"/>
                <w:bCs w:val="1"/>
                <w:color w:val="auto"/>
              </w:rPr>
              <w:t>Assets -</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Restricted mutual fund</w:t>
            </w:r>
          </w:p>
        </w:tc>
        <w:tc>
          <w:tcPr>
            <w:tcW w:w="1380" w:type="dxa"/>
            <w:vAlign w:val="bottom"/>
          </w:tcPr>
          <w:p>
            <w:pPr>
              <w:jc w:val="right"/>
              <w:spacing w:after="0"/>
              <w:rPr>
                <w:sz w:val="20"/>
                <w:szCs w:val="20"/>
                <w:color w:val="auto"/>
              </w:rPr>
            </w:pPr>
            <w:r>
              <w:rPr>
                <w:rFonts w:ascii="Arial" w:cs="Arial" w:eastAsia="Arial" w:hAnsi="Arial"/>
                <w:sz w:val="18"/>
                <w:szCs w:val="18"/>
                <w:color w:val="auto"/>
              </w:rPr>
              <w:t>32,265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32,265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Client relationships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88,378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88,378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Intangibles</w:t>
            </w:r>
          </w:p>
        </w:tc>
        <w:tc>
          <w:tcPr>
            <w:tcW w:w="1380" w:type="dxa"/>
            <w:vAlign w:val="bottom"/>
          </w:tcPr>
          <w:p>
            <w:pPr>
              <w:jc w:val="right"/>
              <w:spacing w:after="0"/>
              <w:rPr>
                <w:sz w:val="20"/>
                <w:szCs w:val="20"/>
                <w:color w:val="auto"/>
              </w:rPr>
            </w:pPr>
            <w:r>
              <w:rPr>
                <w:rFonts w:ascii="Arial" w:cs="Arial" w:eastAsia="Arial" w:hAnsi="Arial"/>
                <w:sz w:val="18"/>
                <w:szCs w:val="18"/>
                <w:color w:val="auto"/>
              </w:rPr>
              <w:t>3,424</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13,027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49,047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49,047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5,605</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380" w:type="dxa"/>
            <w:vAlign w:val="bottom"/>
          </w:tcPr>
          <w:p>
            <w:pPr>
              <w:jc w:val="right"/>
              <w:spacing w:after="0"/>
              <w:rPr>
                <w:sz w:val="20"/>
                <w:szCs w:val="20"/>
                <w:color w:val="auto"/>
              </w:rPr>
            </w:pPr>
            <w:r>
              <w:rPr>
                <w:rFonts w:ascii="Arial" w:cs="Arial" w:eastAsia="Arial" w:hAnsi="Arial"/>
                <w:sz w:val="18"/>
                <w:szCs w:val="18"/>
                <w:color w:val="auto"/>
              </w:rPr>
              <w:t>4,688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4,688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5,352</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Other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40,257</w:t>
            </w:r>
          </w:p>
        </w:tc>
        <w:tc>
          <w:tcPr>
            <w:tcW w:w="100" w:type="dxa"/>
            <w:vAlign w:val="bottom"/>
          </w:tcPr>
          <w:p>
            <w:pPr>
              <w:spacing w:after="0"/>
              <w:rPr>
                <w:sz w:val="23"/>
                <w:szCs w:val="23"/>
                <w:color w:val="auto"/>
              </w:rPr>
            </w:pP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acquired assets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27,309</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114,204</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141,513 (*)</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620" w:hanging="478"/>
        <w:spacing w:after="0"/>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Cash paid for the acquisition and related direct cost</w:t>
      </w:r>
    </w:p>
    <w:p>
      <w:pPr>
        <w:spacing w:after="0" w:line="279"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The intangible assets recognized correspond mainly to “client relationships” and it has an assigned useful life of 20 years. Management of the Group has valued these intangible assets using the method of “Multiple Excess Earnings Method”. The goodwill generated is attributed to the high profitability of the acquired business and the significant synergies that are expected to be obtained after the acquisition of AFP Union Vida by the Group, note 10(b).</w:t>
      </w:r>
    </w:p>
    <w:p>
      <w:pPr>
        <w:spacing w:after="0" w:line="241" w:lineRule="exact"/>
        <w:rPr>
          <w:sz w:val="20"/>
          <w:szCs w:val="20"/>
          <w:color w:val="auto"/>
        </w:rPr>
      </w:pPr>
    </w:p>
    <w:p>
      <w:pPr>
        <w:ind w:left="1140" w:right="180"/>
        <w:spacing w:after="0" w:line="342" w:lineRule="auto"/>
        <w:rPr>
          <w:sz w:val="20"/>
          <w:szCs w:val="20"/>
          <w:color w:val="auto"/>
        </w:rPr>
      </w:pPr>
      <w:r>
        <w:rPr>
          <w:rFonts w:ascii="Arial" w:cs="Arial" w:eastAsia="Arial" w:hAnsi="Arial"/>
          <w:sz w:val="16"/>
          <w:szCs w:val="16"/>
          <w:color w:val="auto"/>
        </w:rPr>
        <w:t>In January 2007, the final purchase price determination was completed with the result of the arbitration proceeding between both parties. As result the Group received a reimbursement of approximately US$4.5 million, which have been record as a reduction of the goodwill.</w:t>
      </w:r>
    </w:p>
    <w:p>
      <w:pPr>
        <w:spacing w:after="0" w:line="178" w:lineRule="exact"/>
        <w:rPr>
          <w:sz w:val="20"/>
          <w:szCs w:val="20"/>
          <w:color w:val="auto"/>
        </w:rPr>
      </w:pPr>
    </w:p>
    <w:p>
      <w:pPr>
        <w:ind w:left="1140" w:right="80"/>
        <w:spacing w:after="0" w:line="271" w:lineRule="auto"/>
        <w:rPr>
          <w:sz w:val="20"/>
          <w:szCs w:val="20"/>
          <w:color w:val="auto"/>
        </w:rPr>
      </w:pPr>
      <w:r>
        <w:rPr>
          <w:rFonts w:ascii="Arial" w:cs="Arial" w:eastAsia="Arial" w:hAnsi="Arial"/>
          <w:sz w:val="17"/>
          <w:szCs w:val="17"/>
          <w:color w:val="auto"/>
        </w:rPr>
        <w:t>The acquired business (AFP Union Vida S.A.) has contributed with gross revenues to the Group of approximately US$8.0 million and a net loss of approximately US$0.4 million for the period between the acquisition date (August 24, 2006) and December 31, 2006. If this acquisition had been completed at January 1, 2006 and 2005, respectively, the gross revenues (pro-forma) of the Group would had been increase by US$27.5 and US$49.9 million, respectively, the net income attributable to Credicorp’s shareholders (pro-forma) would have been increase by approximately US$2.7 and US$15.6, million and the net earning per share (pro-forma), basic and diluted attributable to Credicorp’s shareholders would have been increased by US$0.04 and US$0.20, respectively. This information is presented solely for comparison purposes and it does not mean to be an indicator of the results that would have been produced in the case the acquisition had occurred at the beginning of the period or neither be an indicator of future possible consolidated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240"/>
        <w:spacing w:after="0" w:line="286" w:lineRule="auto"/>
        <w:rPr>
          <w:sz w:val="20"/>
          <w:szCs w:val="20"/>
          <w:color w:val="auto"/>
        </w:rPr>
      </w:pPr>
      <w:r>
        <w:rPr>
          <w:rFonts w:ascii="Arial" w:cs="Arial" w:eastAsia="Arial" w:hAnsi="Arial"/>
          <w:sz w:val="17"/>
          <w:szCs w:val="17"/>
          <w:color w:val="auto"/>
        </w:rPr>
        <w:t>As of December 31, 2006, the number of participants in the fund managed by Prima, including those that come from AFP Union Vida, is 997,963 (51,838 as December of 31, 2005, without considering those of AFP Union Vida) and the fair value of the funds under its administration amounts to approximately US$4,163.4 million (US$252.7 million as December of 31, 2005), note 3(b) (iv).</w:t>
      </w:r>
    </w:p>
    <w:p>
      <w:pPr>
        <w:spacing w:after="0" w:line="220" w:lineRule="exact"/>
        <w:rPr>
          <w:sz w:val="20"/>
          <w:szCs w:val="20"/>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Acquisition of the loan portfolio of Bank Boston N.A. Peru Subsidiary -</w:t>
      </w:r>
    </w:p>
    <w:p>
      <w:pPr>
        <w:spacing w:after="0" w:line="279" w:lineRule="exact"/>
        <w:rPr>
          <w:rFonts w:ascii="Arial" w:cs="Arial" w:eastAsia="Arial" w:hAnsi="Arial"/>
          <w:sz w:val="18"/>
          <w:szCs w:val="18"/>
          <w:color w:val="auto"/>
        </w:rPr>
      </w:pPr>
    </w:p>
    <w:p>
      <w:pPr>
        <w:ind w:left="1140" w:right="140"/>
        <w:spacing w:after="0" w:line="279" w:lineRule="auto"/>
        <w:rPr>
          <w:rFonts w:ascii="Arial" w:cs="Arial" w:eastAsia="Arial" w:hAnsi="Arial"/>
          <w:sz w:val="18"/>
          <w:szCs w:val="18"/>
          <w:color w:val="auto"/>
        </w:rPr>
      </w:pPr>
      <w:r>
        <w:rPr>
          <w:rFonts w:ascii="Arial" w:cs="Arial" w:eastAsia="Arial" w:hAnsi="Arial"/>
          <w:sz w:val="17"/>
          <w:szCs w:val="17"/>
          <w:color w:val="auto"/>
        </w:rPr>
        <w:t>On January 2005, the BCP and the Bank of America, principal shareholders of United States Fleet Boston agreed to buy-sale the loans portfolio of the Bank Boston N.A. Peruvian branch and the loan portfolio of Peruvians in United States Fleet Boston N.A., registering this operation at the acquisition cost. BCP paid in cash approximately US$353.8 million for the loan portfolio, which comprised commercial loans, mortgage and leasing operations. The acquisition date of the portfolio was January 24, 2005.</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Sale of Banco Tequendama S.A. -</w:t>
      </w:r>
    </w:p>
    <w:p>
      <w:pPr>
        <w:spacing w:after="0" w:line="279" w:lineRule="exact"/>
        <w:rPr>
          <w:rFonts w:ascii="Arial" w:cs="Arial" w:eastAsia="Arial" w:hAnsi="Arial"/>
          <w:sz w:val="18"/>
          <w:szCs w:val="18"/>
          <w:color w:val="auto"/>
        </w:rPr>
      </w:pPr>
    </w:p>
    <w:p>
      <w:pPr>
        <w:ind w:left="1140"/>
        <w:spacing w:after="0" w:line="228" w:lineRule="auto"/>
        <w:rPr>
          <w:rFonts w:ascii="Arial" w:cs="Arial" w:eastAsia="Arial" w:hAnsi="Arial"/>
          <w:sz w:val="18"/>
          <w:szCs w:val="18"/>
          <w:color w:val="auto"/>
        </w:rPr>
      </w:pPr>
      <w:r>
        <w:rPr>
          <w:rFonts w:ascii="Arial" w:cs="Arial" w:eastAsia="Arial" w:hAnsi="Arial"/>
          <w:sz w:val="18"/>
          <w:szCs w:val="18"/>
          <w:color w:val="auto"/>
        </w:rPr>
        <w:t>In March 2005, after the approval of the Colombian authorities, the Group completed the sale transaction of its 99.99 percent interest in its subsidiary Banco Tequendama S.A., for approximately US$32.5 million. The effective date for this transaction was January 1</w:t>
      </w:r>
      <w:r>
        <w:rPr>
          <w:rFonts w:ascii="Arial" w:cs="Arial" w:eastAsia="Arial" w:hAnsi="Arial"/>
          <w:sz w:val="30"/>
          <w:szCs w:val="30"/>
          <w:color w:val="auto"/>
          <w:vertAlign w:val="superscript"/>
        </w:rPr>
        <w:t>st</w:t>
      </w:r>
      <w:r>
        <w:rPr>
          <w:rFonts w:ascii="Arial" w:cs="Arial" w:eastAsia="Arial" w:hAnsi="Arial"/>
          <w:sz w:val="18"/>
          <w:szCs w:val="18"/>
          <w:color w:val="auto"/>
        </w:rPr>
        <w:t>, 2005 and as result of the transaction, the Group did not record any significant gain. In the year 2004, the subsidiary operated in the banking segment and contributed US$1.9 million to net income.</w:t>
      </w:r>
    </w:p>
    <w:p>
      <w:pPr>
        <w:spacing w:after="0" w:line="257"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Acquisition of Corporación Novasalud Perú S.A. -</w:t>
      </w:r>
    </w:p>
    <w:p>
      <w:pPr>
        <w:spacing w:after="0" w:line="279" w:lineRule="exact"/>
        <w:rPr>
          <w:rFonts w:ascii="Arial" w:cs="Arial" w:eastAsia="Arial" w:hAnsi="Arial"/>
          <w:sz w:val="18"/>
          <w:szCs w:val="18"/>
          <w:color w:val="auto"/>
        </w:rPr>
      </w:pPr>
    </w:p>
    <w:p>
      <w:pPr>
        <w:ind w:left="1140" w:right="80"/>
        <w:spacing w:after="0" w:line="257" w:lineRule="auto"/>
        <w:rPr>
          <w:rFonts w:ascii="Arial" w:cs="Arial" w:eastAsia="Arial" w:hAnsi="Arial"/>
          <w:sz w:val="18"/>
          <w:szCs w:val="18"/>
          <w:color w:val="auto"/>
        </w:rPr>
      </w:pPr>
      <w:r>
        <w:rPr>
          <w:rFonts w:ascii="Arial" w:cs="Arial" w:eastAsia="Arial" w:hAnsi="Arial"/>
          <w:sz w:val="18"/>
          <w:szCs w:val="18"/>
          <w:color w:val="auto"/>
        </w:rPr>
        <w:t>In March 2004, El Pacífico Peruano-Suiza Compañía de Seguros y Reaseguros S.A.A. (hereinafter “PPS”), a subsidiary of the Group, acquired a 100 percent interest in Corporación Novasalud S.A., proprietary of a 100 percent of Corporación Novasalud Perú S.A. - Entidad Prestadora de Salud (hereinafter “Novasalud EPS”). The amount paid for this purchase amounted to approximately US$6.5 million, generating goodwill of approximately US$5.9 million, note 10(b). On March, 2004, the company was merged with Pacífico S.A. Entidad Prestadora de Salud.</w:t>
      </w: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02" w:right="41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w:t>
      </w:r>
    </w:p>
    <w:p>
      <w:pPr>
        <w:spacing w:after="0" w:line="279"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79" w:lineRule="exact"/>
        <w:rPr>
          <w:rFonts w:ascii="Arial" w:cs="Arial" w:eastAsia="Arial" w:hAnsi="Arial"/>
          <w:sz w:val="18"/>
          <w:szCs w:val="18"/>
          <w:color w:val="auto"/>
        </w:rPr>
      </w:pPr>
    </w:p>
    <w:p>
      <w:pPr>
        <w:ind w:left="1140" w:right="560"/>
        <w:spacing w:after="0" w:line="308" w:lineRule="auto"/>
        <w:rPr>
          <w:rFonts w:ascii="Arial" w:cs="Arial" w:eastAsia="Arial" w:hAnsi="Arial"/>
          <w:sz w:val="18"/>
          <w:szCs w:val="18"/>
          <w:color w:val="auto"/>
        </w:rPr>
      </w:pPr>
      <w:r>
        <w:rPr>
          <w:rFonts w:ascii="Arial" w:cs="Arial" w:eastAsia="Arial" w:hAnsi="Arial"/>
          <w:sz w:val="17"/>
          <w:szCs w:val="17"/>
          <w:color w:val="auto"/>
        </w:rPr>
        <w:t>The consolidated financial statements have been prepared in accordance with International Financial Reporting Standards (IFRS). The consolidated financial statements have been prepared under the historical cost convention, unless otherwise stated.</w:t>
      </w:r>
    </w:p>
    <w:p>
      <w:pPr>
        <w:spacing w:after="0" w:line="20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financial instruments of the Group, assets and liabilities, are recorded at the amortized cost; except for:</w:t>
      </w:r>
    </w:p>
    <w:p>
      <w:pPr>
        <w:spacing w:after="0" w:line="279" w:lineRule="exact"/>
        <w:rPr>
          <w:rFonts w:ascii="Arial" w:cs="Arial" w:eastAsia="Arial" w:hAnsi="Arial"/>
          <w:sz w:val="18"/>
          <w:szCs w:val="18"/>
          <w:color w:val="auto"/>
        </w:rPr>
      </w:pPr>
    </w:p>
    <w:p>
      <w:pPr>
        <w:ind w:left="1460" w:right="260" w:hanging="318"/>
        <w:spacing w:after="0" w:line="277" w:lineRule="auto"/>
        <w:tabs>
          <w:tab w:leader="none" w:pos="146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trading securities, the derivatives and the financial instruments with embedded derivatives (see the paragraphs (h) and (u) below), which are recorded as financial assets at their fair value through profit or loss.</w:t>
      </w:r>
    </w:p>
    <w:p>
      <w:pPr>
        <w:spacing w:after="0" w:line="224" w:lineRule="exact"/>
        <w:rPr>
          <w:rFonts w:ascii="Arial" w:cs="Arial" w:eastAsia="Arial" w:hAnsi="Arial"/>
          <w:sz w:val="18"/>
          <w:szCs w:val="18"/>
          <w:color w:val="auto"/>
        </w:rPr>
      </w:pPr>
    </w:p>
    <w:p>
      <w:pPr>
        <w:ind w:left="1460" w:hanging="318"/>
        <w:spacing w:after="0"/>
        <w:tabs>
          <w:tab w:leader="none" w:pos="146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investments available-for-sale, as it is indicated in the paragraph (h) below.</w:t>
      </w:r>
    </w:p>
    <w:p>
      <w:pPr>
        <w:spacing w:after="0" w:line="279"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w:t>
      </w:r>
    </w:p>
    <w:p>
      <w:pPr>
        <w:spacing w:after="0" w:line="235" w:lineRule="exact"/>
        <w:rPr>
          <w:sz w:val="20"/>
          <w:szCs w:val="20"/>
          <w:color w:val="auto"/>
        </w:rPr>
      </w:pPr>
    </w:p>
    <w:p>
      <w:pPr>
        <w:ind w:left="1140" w:right="80"/>
        <w:spacing w:after="0" w:line="276" w:lineRule="auto"/>
        <w:rPr>
          <w:sz w:val="20"/>
          <w:szCs w:val="20"/>
          <w:color w:val="auto"/>
        </w:rPr>
      </w:pPr>
      <w:r>
        <w:rPr>
          <w:rFonts w:ascii="Arial" w:cs="Arial" w:eastAsia="Arial" w:hAnsi="Arial"/>
          <w:sz w:val="17"/>
          <w:szCs w:val="17"/>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the financial instruments, the technical reserves for claims and premiums, the provision for assets seized and the valuation of derivatives. The accounting criteria used for each of these items are described below.</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accounting policies adopted are consistent with those of the previous year, except that the Group has adopted those new IFRS and revised</w:t>
      </w:r>
    </w:p>
    <w:p>
      <w:pPr>
        <w:spacing w:after="0" w:line="46" w:lineRule="exact"/>
        <w:rPr>
          <w:sz w:val="20"/>
          <w:szCs w:val="20"/>
          <w:color w:val="auto"/>
        </w:rPr>
      </w:pPr>
    </w:p>
    <w:p>
      <w:pPr>
        <w:ind w:left="1140" w:right="300"/>
        <w:spacing w:after="0" w:line="217" w:lineRule="auto"/>
        <w:rPr>
          <w:sz w:val="20"/>
          <w:szCs w:val="20"/>
          <w:color w:val="auto"/>
        </w:rPr>
      </w:pPr>
      <w:r>
        <w:rPr>
          <w:rFonts w:ascii="Arial" w:cs="Arial" w:eastAsia="Arial" w:hAnsi="Arial"/>
          <w:sz w:val="18"/>
          <w:szCs w:val="18"/>
          <w:color w:val="auto"/>
        </w:rPr>
        <w:t>IAS mandatory for years beginning on or after January 1</w:t>
      </w:r>
      <w:r>
        <w:rPr>
          <w:rFonts w:ascii="Arial" w:cs="Arial" w:eastAsia="Arial" w:hAnsi="Arial"/>
          <w:sz w:val="30"/>
          <w:szCs w:val="30"/>
          <w:color w:val="auto"/>
          <w:vertAlign w:val="superscript"/>
        </w:rPr>
        <w:t>st</w:t>
      </w:r>
      <w:r>
        <w:rPr>
          <w:rFonts w:ascii="Arial" w:cs="Arial" w:eastAsia="Arial" w:hAnsi="Arial"/>
          <w:sz w:val="18"/>
          <w:szCs w:val="18"/>
          <w:color w:val="auto"/>
        </w:rPr>
        <w:t>, 2005. The adoption of the new and revised standards did not have a significant effect in the consolidated financial statements of Credicorp and, as result, it has not been necessary to amend the comparative figures. In summary:</w:t>
      </w:r>
    </w:p>
    <w:p>
      <w:pPr>
        <w:spacing w:after="0" w:line="258" w:lineRule="exact"/>
        <w:rPr>
          <w:sz w:val="20"/>
          <w:szCs w:val="20"/>
          <w:color w:val="auto"/>
        </w:rPr>
      </w:pPr>
    </w:p>
    <w:p>
      <w:pPr>
        <w:ind w:left="1460" w:hanging="318"/>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IAS 1 (revised in 2003) has affected mainly the presentation of minority interest as part of the net equity.</w:t>
      </w:r>
    </w:p>
    <w:p>
      <w:pPr>
        <w:spacing w:after="0" w:line="279" w:lineRule="exact"/>
        <w:rPr>
          <w:rFonts w:ascii="Arial" w:cs="Arial" w:eastAsia="Arial" w:hAnsi="Arial"/>
          <w:sz w:val="18"/>
          <w:szCs w:val="18"/>
          <w:color w:val="auto"/>
        </w:rPr>
      </w:pPr>
    </w:p>
    <w:p>
      <w:pPr>
        <w:ind w:left="5540" w:right="580" w:hanging="4398"/>
        <w:spacing w:after="0" w:line="590" w:lineRule="auto"/>
        <w:tabs>
          <w:tab w:leader="none" w:pos="14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IAS 8, 10, 16, 17, 27, 28, 32, 33 (all revised in 2003) and IAS 39 (revised in 2004) had no material effect on the Group’s policies.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460" w:right="240" w:hanging="318"/>
        <w:spacing w:after="0" w:line="264"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IAS 21 (revised in 2003) had no material effect on the Group’s policy. The functional currency of each of the consolidated entities has been re-evaluated based on the guidance to the revised standard. All the Group entities have the same functional currency as used in previous years.</w:t>
      </w:r>
    </w:p>
    <w:p>
      <w:pPr>
        <w:spacing w:after="0" w:line="235" w:lineRule="exact"/>
        <w:rPr>
          <w:rFonts w:ascii="Arial" w:cs="Arial" w:eastAsia="Arial" w:hAnsi="Arial"/>
          <w:sz w:val="18"/>
          <w:szCs w:val="18"/>
          <w:color w:val="auto"/>
        </w:rPr>
      </w:pPr>
    </w:p>
    <w:p>
      <w:pPr>
        <w:ind w:left="1460" w:hanging="318"/>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IAS 24 (revised in 2003) has affected the identification of related parties and other related-party disclosures.</w:t>
      </w:r>
    </w:p>
    <w:p>
      <w:pPr>
        <w:spacing w:after="0" w:line="279" w:lineRule="exact"/>
        <w:rPr>
          <w:rFonts w:ascii="Arial" w:cs="Arial" w:eastAsia="Arial" w:hAnsi="Arial"/>
          <w:sz w:val="18"/>
          <w:szCs w:val="18"/>
          <w:color w:val="auto"/>
        </w:rPr>
      </w:pPr>
    </w:p>
    <w:p>
      <w:pPr>
        <w:ind w:left="1460" w:hanging="318"/>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adoption of IFRS 2 had no material effect for the consolidated financial statements.</w:t>
      </w:r>
    </w:p>
    <w:p>
      <w:pPr>
        <w:spacing w:after="0" w:line="279" w:lineRule="exact"/>
        <w:rPr>
          <w:rFonts w:ascii="Arial" w:cs="Arial" w:eastAsia="Arial" w:hAnsi="Arial"/>
          <w:sz w:val="18"/>
          <w:szCs w:val="18"/>
          <w:color w:val="auto"/>
        </w:rPr>
      </w:pPr>
    </w:p>
    <w:p>
      <w:pPr>
        <w:ind w:left="1460" w:right="660" w:hanging="318"/>
        <w:spacing w:after="0" w:line="277"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adoption of IFRS 3, IAS 36 (revised in 2004) and IAS 38 (revised in 2004) resulted in a change in the accounting policy for goodwill. In accordance with the provisions of IFRS 3, see paragraph (m) below:</w:t>
      </w:r>
    </w:p>
    <w:p>
      <w:pPr>
        <w:spacing w:after="0" w:line="204" w:lineRule="exact"/>
        <w:rPr>
          <w:rFonts w:ascii="Arial" w:cs="Arial" w:eastAsia="Arial" w:hAnsi="Arial"/>
          <w:sz w:val="18"/>
          <w:szCs w:val="18"/>
          <w:color w:val="auto"/>
        </w:rPr>
      </w:pPr>
    </w:p>
    <w:p>
      <w:pPr>
        <w:ind w:left="1800" w:hanging="333"/>
        <w:spacing w:after="0"/>
        <w:tabs>
          <w:tab w:leader="none" w:pos="1800" w:val="left"/>
        </w:tabs>
        <w:numPr>
          <w:ilvl w:val="1"/>
          <w:numId w:val="126"/>
        </w:numPr>
        <w:rPr>
          <w:rFonts w:ascii="Arial" w:cs="Arial" w:eastAsia="Arial" w:hAnsi="Arial"/>
          <w:sz w:val="36"/>
          <w:szCs w:val="36"/>
          <w:color w:val="auto"/>
          <w:vertAlign w:val="superscript"/>
        </w:rPr>
      </w:pPr>
      <w:r>
        <w:rPr>
          <w:rFonts w:ascii="Arial" w:cs="Arial" w:eastAsia="Arial" w:hAnsi="Arial"/>
          <w:sz w:val="18"/>
          <w:szCs w:val="18"/>
          <w:color w:val="auto"/>
        </w:rPr>
        <w:t>The Group ceased the amortization of goodwill from January 1</w:t>
      </w:r>
      <w:r>
        <w:rPr>
          <w:rFonts w:ascii="Arial" w:cs="Arial" w:eastAsia="Arial" w:hAnsi="Arial"/>
          <w:sz w:val="30"/>
          <w:szCs w:val="30"/>
          <w:color w:val="auto"/>
          <w:vertAlign w:val="superscript"/>
        </w:rPr>
        <w:t>st</w:t>
      </w:r>
      <w:r>
        <w:rPr>
          <w:rFonts w:ascii="Arial" w:cs="Arial" w:eastAsia="Arial" w:hAnsi="Arial"/>
          <w:sz w:val="18"/>
          <w:szCs w:val="18"/>
          <w:color w:val="auto"/>
        </w:rPr>
        <w:t>, 2005.</w:t>
      </w:r>
    </w:p>
    <w:p>
      <w:pPr>
        <w:sectPr>
          <w:pgSz w:w="11900" w:h="16838" w:orient="portrait"/>
          <w:cols w:equalWidth="0" w:num="1">
            <w:col w:w="11360"/>
          </w:cols>
          <w:pgMar w:left="240" w:top="402" w:right="299" w:bottom="1440" w:gutter="0" w:footer="0" w:header="0"/>
        </w:sectPr>
      </w:pPr>
    </w:p>
    <w:p>
      <w:pPr>
        <w:spacing w:after="0" w:line="133" w:lineRule="exact"/>
        <w:rPr>
          <w:sz w:val="20"/>
          <w:szCs w:val="20"/>
          <w:color w:val="auto"/>
        </w:rPr>
      </w:pPr>
    </w:p>
    <w:p>
      <w:pPr>
        <w:ind w:left="1800" w:hanging="339"/>
        <w:spacing w:after="0" w:line="293" w:lineRule="auto"/>
        <w:tabs>
          <w:tab w:leader="none" w:pos="1780" w:val="left"/>
        </w:tabs>
        <w:rPr>
          <w:sz w:val="20"/>
          <w:szCs w:val="20"/>
          <w:color w:val="auto"/>
        </w:rPr>
      </w:pPr>
      <w:r>
        <w:rPr>
          <w:rFonts w:ascii="Arial" w:cs="Arial" w:eastAsia="Arial" w:hAnsi="Arial"/>
          <w:sz w:val="18"/>
          <w:szCs w:val="18"/>
          <w:color w:val="auto"/>
        </w:rPr>
        <w:t>(ii)</w:t>
        <w:tab/>
        <w:t>Accumulated amortization as of December 31, 2004 has been eliminated with a goodwill.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corresponding decrease in the cost of</w:t>
      </w:r>
    </w:p>
    <w:p>
      <w:pPr>
        <w:spacing w:after="0" w:line="480" w:lineRule="exact"/>
        <w:rPr>
          <w:sz w:val="20"/>
          <w:szCs w:val="20"/>
          <w:color w:val="auto"/>
        </w:rPr>
      </w:pPr>
    </w:p>
    <w:p>
      <w:pPr>
        <w:sectPr>
          <w:pgSz w:w="11900" w:h="16838" w:orient="portrait"/>
          <w:cols w:equalWidth="0" w:num="2">
            <w:col w:w="7520" w:space="580"/>
            <w:col w:w="3260"/>
          </w:cols>
          <w:pgMar w:left="240" w:top="402" w:right="299" w:bottom="1440" w:gutter="0" w:footer="0" w:header="0"/>
          <w:type w:val="continuous"/>
        </w:sectPr>
      </w:pPr>
    </w:p>
    <w:p>
      <w:pPr>
        <w:spacing w:after="0" w:line="5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(iii) From the year ended December 31, 2004 onwards, goodwill is tested annually for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impairment.</w:t>
      </w:r>
    </w:p>
    <w:p>
      <w:pPr>
        <w:spacing w:after="0" w:line="200" w:lineRule="exact"/>
        <w:rPr>
          <w:sz w:val="20"/>
          <w:szCs w:val="20"/>
          <w:color w:val="auto"/>
        </w:rPr>
      </w:pPr>
    </w:p>
    <w:p>
      <w:pPr>
        <w:sectPr>
          <w:pgSz w:w="11900" w:h="16838" w:orient="portrait"/>
          <w:cols w:equalWidth="0" w:num="2">
            <w:col w:w="7660" w:space="600"/>
            <w:col w:w="3100"/>
          </w:cols>
          <w:pgMar w:left="240" w:top="402" w:right="299" w:bottom="1440" w:gutter="0" w:footer="0" w:header="0"/>
          <w:type w:val="continuous"/>
        </w:sectPr>
      </w:pPr>
    </w:p>
    <w:p>
      <w:pPr>
        <w:spacing w:after="0" w:line="116" w:lineRule="exact"/>
        <w:rPr>
          <w:sz w:val="20"/>
          <w:szCs w:val="20"/>
          <w:color w:val="auto"/>
        </w:rPr>
      </w:pPr>
    </w:p>
    <w:p>
      <w:pPr>
        <w:ind w:left="1460" w:hanging="318"/>
        <w:spacing w:after="0"/>
        <w:tabs>
          <w:tab w:leader="none" w:pos="14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adoption of IFRS 4 does not require significant changes in the Group’s accounting policies.</w:t>
      </w:r>
    </w:p>
    <w:p>
      <w:pPr>
        <w:spacing w:after="0" w:line="279" w:lineRule="exact"/>
        <w:rPr>
          <w:rFonts w:ascii="Arial" w:cs="Arial" w:eastAsia="Arial" w:hAnsi="Arial"/>
          <w:sz w:val="18"/>
          <w:szCs w:val="18"/>
          <w:color w:val="auto"/>
        </w:rPr>
      </w:pPr>
    </w:p>
    <w:p>
      <w:pPr>
        <w:ind w:left="1460" w:right="520" w:hanging="318"/>
        <w:spacing w:after="0" w:line="277" w:lineRule="auto"/>
        <w:tabs>
          <w:tab w:leader="none" w:pos="14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Group has reassessed the useful lives of its intangible assets in accordance with the provision of IAS 38 (revised in 2004). No adjustment resulted from this reassessment.</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Consolidation -</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Subsidiaries -</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Subsidiaries are all entities (including special purpose entities) over which the Group has the power to govern the financial and operating policies.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generally evidenced by a shareholding of more than one half of the voting rights.</w:t>
      </w:r>
    </w:p>
    <w:p>
      <w:pPr>
        <w:spacing w:after="0" w:line="265"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Subsidiaries are fully consolidated from the date on which effective control is transferred to the Group and are no longer consolidated from the date that control ceases. The consolidated financial statements include the assets, liabilities, income and expenses of Credicorp and its Subsidiaries. Inter-company transactions between Group Companies as balances, gains or losses are eliminated. The unrealized gains and losses between companies from the Group are eliminated, except for the losses that indicate an impairment in the value of the asset transferred.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policies of subsidiaries have been changed when necessary to ensure consistency with the policies adopted by the Group and the IFRS.</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line="276" w:lineRule="auto"/>
        <w:rPr>
          <w:sz w:val="20"/>
          <w:szCs w:val="20"/>
          <w:color w:val="auto"/>
        </w:rPr>
      </w:pPr>
      <w:r>
        <w:rPr>
          <w:rFonts w:ascii="Arial" w:cs="Arial" w:eastAsia="Arial" w:hAnsi="Arial"/>
          <w:sz w:val="17"/>
          <w:szCs w:val="17"/>
          <w:color w:val="auto"/>
        </w:rPr>
        <w:t>The Group uses the purchase method of accounting to register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and intangible assets acquired is recorded as goodwill. If the acquisition cost is lower than the fair value of the net asset of the acquired subsidiary, the difference is recognized directly in the consolidated income statement.</w:t>
      </w:r>
    </w:p>
    <w:p>
      <w:pPr>
        <w:spacing w:after="0" w:line="227" w:lineRule="exact"/>
        <w:rPr>
          <w:sz w:val="20"/>
          <w:szCs w:val="20"/>
          <w:color w:val="auto"/>
        </w:rPr>
      </w:pPr>
    </w:p>
    <w:p>
      <w:pPr>
        <w:ind w:left="1140" w:right="840"/>
        <w:spacing w:after="0" w:line="277" w:lineRule="auto"/>
        <w:rPr>
          <w:sz w:val="20"/>
          <w:szCs w:val="20"/>
          <w:color w:val="auto"/>
        </w:rPr>
      </w:pPr>
      <w:r>
        <w:rPr>
          <w:rFonts w:ascii="Arial" w:cs="Arial" w:eastAsia="Arial" w:hAnsi="Arial"/>
          <w:sz w:val="18"/>
          <w:szCs w:val="18"/>
          <w:color w:val="auto"/>
        </w:rPr>
        <w:t>Assets in custody or managed by the Group, the investment funds and the pension funds managed by the Group, are not part of the consolidated financial statement of the Group, note 3(w).</w:t>
      </w:r>
    </w:p>
    <w:p>
      <w:pPr>
        <w:spacing w:after="0" w:line="224" w:lineRule="exact"/>
        <w:rPr>
          <w:sz w:val="20"/>
          <w:szCs w:val="20"/>
          <w:color w:val="auto"/>
        </w:rPr>
      </w:pPr>
    </w:p>
    <w:p>
      <w:pPr>
        <w:ind w:left="1140" w:right="300"/>
        <w:spacing w:after="0" w:line="277" w:lineRule="auto"/>
        <w:rPr>
          <w:sz w:val="20"/>
          <w:szCs w:val="20"/>
          <w:color w:val="auto"/>
        </w:rPr>
      </w:pPr>
      <w:r>
        <w:rPr>
          <w:rFonts w:ascii="Arial" w:cs="Arial" w:eastAsia="Arial" w:hAnsi="Arial"/>
          <w:sz w:val="18"/>
          <w:szCs w:val="18"/>
          <w:color w:val="auto"/>
        </w:rPr>
        <w:t>The net equity and the net income attributable to the minority interest are shown separately on the consolidated balance sheets and income statements.</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Associates -</w:t>
      </w:r>
    </w:p>
    <w:p>
      <w:pPr>
        <w:spacing w:after="0" w:line="279" w:lineRule="exact"/>
        <w:rPr>
          <w:sz w:val="20"/>
          <w:szCs w:val="20"/>
          <w:color w:val="auto"/>
        </w:rPr>
      </w:pPr>
    </w:p>
    <w:p>
      <w:pPr>
        <w:ind w:left="1140" w:right="60"/>
        <w:spacing w:after="0" w:line="257" w:lineRule="auto"/>
        <w:rPr>
          <w:sz w:val="20"/>
          <w:szCs w:val="20"/>
          <w:color w:val="auto"/>
        </w:rPr>
      </w:pPr>
      <w:r>
        <w:rPr>
          <w:rFonts w:ascii="Arial" w:cs="Arial" w:eastAsia="Arial" w:hAnsi="Arial"/>
          <w:sz w:val="18"/>
          <w:szCs w:val="18"/>
          <w:color w:val="auto"/>
        </w:rPr>
        <w:t>Associates are all the entities over which the Group has significant influence but not control. Generally investment in these entities represents shareholding between 20 and 50 percent of the voting rights. The investments in associates are recognized initially at cost and then are accounted for by the equity method. The Group does not maintain a significant investment in associates; therefore these investments are recorded in the caption “Other assets” in the consolidated balance sheets and in the caption “Other income” of the consolidated income statements.</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Minority interest -</w:t>
      </w:r>
    </w:p>
    <w:p>
      <w:pPr>
        <w:spacing w:after="0" w:line="279" w:lineRule="exact"/>
        <w:rPr>
          <w:sz w:val="20"/>
          <w:szCs w:val="20"/>
          <w:color w:val="auto"/>
        </w:rPr>
      </w:pPr>
    </w:p>
    <w:p>
      <w:pPr>
        <w:jc w:val="both"/>
        <w:ind w:left="1140" w:right="220"/>
        <w:spacing w:after="0" w:line="259" w:lineRule="auto"/>
        <w:rPr>
          <w:sz w:val="20"/>
          <w:szCs w:val="20"/>
          <w:color w:val="auto"/>
        </w:rPr>
      </w:pPr>
      <w:r>
        <w:rPr>
          <w:rFonts w:ascii="Arial" w:cs="Arial" w:eastAsia="Arial" w:hAnsi="Arial"/>
          <w:sz w:val="18"/>
          <w:szCs w:val="18"/>
          <w:color w:val="auto"/>
        </w:rPr>
        <w:t>The Group applies a policy of treating transactions with minority interests as transactions with parties external to the Group. Disposals to minority interests result in gains and losses for the Group that are recorded in the consolidated income statement. Purchases from minority interests result in goodwill, being the difference between any consideration paid and the relevant share acquired of the carrying value of net assets of the subsidiary.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660" w:right="260"/>
        <w:spacing w:after="0" w:line="312" w:lineRule="auto"/>
        <w:rPr>
          <w:sz w:val="20"/>
          <w:szCs w:val="20"/>
          <w:color w:val="auto"/>
        </w:rPr>
      </w:pPr>
      <w:r>
        <w:rPr>
          <w:rFonts w:ascii="Arial" w:cs="Arial" w:eastAsia="Arial" w:hAnsi="Arial"/>
          <w:sz w:val="16"/>
          <w:szCs w:val="16"/>
          <w:color w:val="auto"/>
        </w:rPr>
        <w:t>The companies that comprise the Group as of December 31, 2006 and 2005, with an indication of the percentage owned directly and indirectly by Credicorp as of those dates, as well as other relevant information, based on the financial statements in accordance with IFRS and before the eliminations for consolidation, except for the elimination of Credicorp´s treasury shares and the related dividends,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Entity</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9"/>
              </w:rPr>
              <w:t>Percentage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vMerge w:val="continue"/>
          </w:tcPr>
          <w:p>
            <w:pPr>
              <w:spacing w:after="0"/>
              <w:rPr>
                <w:sz w:val="20"/>
                <w:szCs w:val="20"/>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participation</w:t>
            </w:r>
          </w:p>
        </w:tc>
        <w:tc>
          <w:tcPr>
            <w:tcW w:w="19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Assets</w:t>
            </w:r>
          </w:p>
        </w:tc>
        <w:tc>
          <w:tcPr>
            <w:tcW w:w="1900" w:type="dxa"/>
            <w:vAlign w:val="bottom"/>
            <w:gridSpan w:val="4"/>
          </w:tcPr>
          <w:p>
            <w:pPr>
              <w:ind w:left="52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gridSpan w:val="5"/>
          </w:tcPr>
          <w:p>
            <w:pPr>
              <w:ind w:left="500"/>
              <w:spacing w:after="0"/>
              <w:rPr>
                <w:sz w:val="20"/>
                <w:szCs w:val="20"/>
                <w:color w:val="auto"/>
              </w:rPr>
            </w:pPr>
            <w:r>
              <w:rPr>
                <w:rFonts w:ascii="Arial" w:cs="Arial" w:eastAsia="Arial" w:hAnsi="Arial"/>
                <w:sz w:val="18"/>
                <w:szCs w:val="18"/>
                <w:b w:val="1"/>
                <w:bCs w:val="1"/>
                <w:color w:val="auto"/>
              </w:rPr>
              <w:t>Equity</w:t>
            </w:r>
          </w:p>
        </w:tc>
        <w:tc>
          <w:tcPr>
            <w:tcW w:w="16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3"/>
              </w:rPr>
              <w:t>Net income (loss)</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US$(000)</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US$(000)</w:t>
            </w:r>
          </w:p>
        </w:tc>
        <w:tc>
          <w:tcPr>
            <w:tcW w:w="860" w:type="dxa"/>
            <w:vAlign w:val="bottom"/>
            <w:gridSpan w:val="3"/>
          </w:tcPr>
          <w:p>
            <w:pPr>
              <w:ind w:left="40"/>
              <w:spacing w:after="0"/>
              <w:rPr>
                <w:sz w:val="20"/>
                <w:szCs w:val="20"/>
                <w:color w:val="auto"/>
              </w:rPr>
            </w:pPr>
            <w:r>
              <w:rPr>
                <w:rFonts w:ascii="Arial" w:cs="Arial" w:eastAsia="Arial" w:hAnsi="Arial"/>
                <w:sz w:val="18"/>
                <w:szCs w:val="18"/>
                <w:color w:val="auto"/>
              </w:rPr>
              <w:t>US$(000)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US$(000)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02"/>
        </w:trPr>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Banco de Crédito del Perú and</w:t>
            </w: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Subsidiaries (i)</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96.98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10,802,737</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9,262,352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9,838,881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8,402,202</w:t>
            </w:r>
          </w:p>
        </w:tc>
        <w:tc>
          <w:tcPr>
            <w:tcW w:w="1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963,856</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860,150</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247,756</w:t>
            </w:r>
          </w:p>
        </w:tc>
        <w:tc>
          <w:tcPr>
            <w:tcW w:w="80" w:type="dxa"/>
            <w:vAlign w:val="bottom"/>
            <w:shd w:val="clear" w:color="auto" w:fill="CCFFCC"/>
          </w:tcPr>
          <w:p>
            <w:pPr>
              <w:spacing w:after="0"/>
              <w:rPr>
                <w:sz w:val="20"/>
                <w:szCs w:val="20"/>
                <w:color w:val="auto"/>
              </w:rPr>
            </w:pP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184,156</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Atlantic Security Holding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Corporation and Subsidiaries (ii)</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1,320,535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1,052,386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1,200,170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949,757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120,365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102,629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15,402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13,483</w:t>
            </w:r>
          </w:p>
        </w:tc>
        <w:tc>
          <w:tcPr>
            <w:tcW w:w="0" w:type="dxa"/>
            <w:vAlign w:val="bottom"/>
          </w:tcPr>
          <w:p>
            <w:pPr>
              <w:spacing w:after="0"/>
              <w:rPr>
                <w:sz w:val="1"/>
                <w:szCs w:val="1"/>
                <w:color w:val="auto"/>
              </w:rPr>
            </w:pPr>
          </w:p>
        </w:tc>
      </w:tr>
      <w:tr>
        <w:trPr>
          <w:trHeight w:val="202"/>
        </w:trPr>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El Pacífico Peruano-Suiza Compañía</w:t>
            </w: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 Seguros y Reaseguros and</w:t>
            </w: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Subsidiaries (iii)</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75.72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75.72</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1,002,358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833,573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712,430</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613,978</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289,928</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219,595</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59,087</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7"/>
              </w:rPr>
              <w:t>Grupo Crédito S.A. and Subsidiaries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(iv)</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314,540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61,832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115,702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4,877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198,838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56,955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(12,380)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CCV Inc. (v)</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8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CCR Inc. (v)</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382,930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282,124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2,930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2,124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Credicorp Securities Inc. (vi)</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1,503</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1,485</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998</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487</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right="140" w:hanging="484"/>
        <w:spacing w:after="0" w:line="264"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Banco de Crédito (BCP) is a universal bank, incorporated in Peru in 1889, authorized to engage in banking activities by the Superintendence of Banking, Insurance and AFP (SBS), the Peruvian banking, insurance and AFP authority. On November 2006, Credicorp acquired equivalent to 0.25 percent of BCP shares owned by minority interest. See (iii) below.</w:t>
      </w:r>
    </w:p>
    <w:p>
      <w:pPr>
        <w:spacing w:after="0" w:line="235" w:lineRule="exact"/>
        <w:rPr>
          <w:rFonts w:ascii="Arial" w:cs="Arial" w:eastAsia="Arial" w:hAnsi="Arial"/>
          <w:sz w:val="18"/>
          <w:szCs w:val="18"/>
          <w:color w:val="auto"/>
        </w:rPr>
      </w:pPr>
    </w:p>
    <w:p>
      <w:pPr>
        <w:ind w:left="1140" w:right="40" w:hanging="484"/>
        <w:spacing w:after="0" w:line="259"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and the Republic of Panama, its main activity is private and institutional banking and trustee administration.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20" w:hanging="484"/>
        <w:spacing w:after="0" w:line="218" w:lineRule="auto"/>
        <w:tabs>
          <w:tab w:leader="none" w:pos="1140" w:val="left"/>
        </w:tabs>
        <w:numPr>
          <w:ilvl w:val="0"/>
          <w:numId w:val="129"/>
        </w:numPr>
        <w:rPr>
          <w:rFonts w:ascii="Arial" w:cs="Arial" w:eastAsia="Arial" w:hAnsi="Arial"/>
          <w:sz w:val="40"/>
          <w:szCs w:val="40"/>
          <w:color w:val="auto"/>
          <w:vertAlign w:val="subscript"/>
        </w:rPr>
      </w:pPr>
      <w:r>
        <w:rPr>
          <w:rFonts w:ascii="Arial" w:cs="Arial" w:eastAsia="Arial" w:hAnsi="Arial"/>
          <w:sz w:val="17"/>
          <w:szCs w:val="17"/>
          <w:color w:val="auto"/>
        </w:rPr>
        <w:t>El Pacífico Peruano-Suiza Compañía de Seguros y Reaseguros (PPS) is a Peruvian corporation, whose main activity is the issuance and administration of insurance for property and casualty and related activities, and also provides insurance for life, health and personal accidents. Its main subsidiaries are El Pacífico Vida Compañía de Seguros y Reaseguros S.A. and Pacífico S.A. Entidad Prestadora de Salud (EPS), in which maintain a share of 61.99 percent and 100.00 percent, respectively. On November 2006, PPS sold to Credicorp 1.02 percent of BCP shares that maintained to that date, generating a goodwill for the purchase of the corresponding percentage of minority interest (0.25 percent) amounted to approximately US$ 7.2 million, note 10(b).</w:t>
      </w:r>
    </w:p>
    <w:p>
      <w:pPr>
        <w:spacing w:after="0" w:line="261" w:lineRule="exact"/>
        <w:rPr>
          <w:rFonts w:ascii="Arial" w:cs="Arial" w:eastAsia="Arial" w:hAnsi="Arial"/>
          <w:sz w:val="40"/>
          <w:szCs w:val="40"/>
          <w:color w:val="auto"/>
          <w:vertAlign w:val="subscript"/>
        </w:rPr>
      </w:pPr>
    </w:p>
    <w:p>
      <w:pPr>
        <w:ind w:left="1140" w:hanging="484"/>
        <w:spacing w:after="0" w:line="293" w:lineRule="auto"/>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Grupo Crédito S.A. is a company incorporated in Peru on February 1987, whose main activity is to invest in listed and not listed securities in Peru. Since 2005, Group Crédito incorporated Prima AFP, a new subsidiary engaged in fund management activities. On August, 2006, Prima AFP acquired 99.97 percent of the representative capital shares of AFP Unión Vida S.A., which was merged on December 2006, note 2(a). As of December 31, 2006, Prima AFP total assets amount approximately US$233.9 million, liabilities for US$115.4 million and a net loss of US$20.7 million (US$18.3 million, US$2.8 million and US$7.6 million, respectively, as of December 31,2005). Additionally, the Company owns 100.00 percent of the shares of Soluciones en Procesamiento S.A. (Servicorp), an entity specialized in collection services.</w:t>
      </w:r>
    </w:p>
    <w:p>
      <w:pPr>
        <w:spacing w:after="0" w:line="218" w:lineRule="exact"/>
        <w:rPr>
          <w:rFonts w:ascii="Arial" w:cs="Arial" w:eastAsia="Arial" w:hAnsi="Arial"/>
          <w:sz w:val="16"/>
          <w:szCs w:val="16"/>
          <w:color w:val="auto"/>
        </w:rPr>
      </w:pPr>
    </w:p>
    <w:p>
      <w:pPr>
        <w:ind w:left="1140" w:right="20" w:hanging="484"/>
        <w:spacing w:after="0" w:line="308" w:lineRule="auto"/>
        <w:tabs>
          <w:tab w:leader="none" w:pos="11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CCV Inc. and CCR Inc., are special purposes entities incorporated in Bahamas in 2001, whose main activity is to manage the loans granted to BCP from foreign financial entities, note 14(b). These loans are collateralized by transactions realized by the Bank.</w:t>
      </w:r>
    </w:p>
    <w:p>
      <w:pPr>
        <w:spacing w:after="0" w:line="200" w:lineRule="exact"/>
        <w:rPr>
          <w:rFonts w:ascii="Arial" w:cs="Arial" w:eastAsia="Arial" w:hAnsi="Arial"/>
          <w:sz w:val="17"/>
          <w:szCs w:val="17"/>
          <w:color w:val="auto"/>
        </w:rPr>
      </w:pPr>
    </w:p>
    <w:p>
      <w:pPr>
        <w:ind w:left="1140" w:right="280" w:hanging="484"/>
        <w:spacing w:after="0" w:line="277" w:lineRule="auto"/>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Credicorp Securities Inc., an entity incorporated in the United States of America on January 2003, whose main activity is to be engaged in brokerage activities in the securities market, directed principally to retail customers in Latin America.</w:t>
      </w:r>
    </w:p>
    <w:p>
      <w:pPr>
        <w:spacing w:after="0" w:line="224" w:lineRule="exact"/>
        <w:rPr>
          <w:sz w:val="20"/>
          <w:szCs w:val="20"/>
          <w:color w:val="auto"/>
        </w:rPr>
      </w:pPr>
    </w:p>
    <w:p>
      <w:pPr>
        <w:ind w:left="1140" w:right="7460" w:hanging="484"/>
        <w:spacing w:after="0" w:line="634" w:lineRule="auto"/>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Foreign currency translation - Functional and presentation currency -</w:t>
      </w:r>
    </w:p>
    <w:p>
      <w:pPr>
        <w:ind w:left="1140"/>
        <w:spacing w:after="0" w:line="302" w:lineRule="auto"/>
        <w:rPr>
          <w:rFonts w:ascii="Arial" w:cs="Arial" w:eastAsia="Arial" w:hAnsi="Arial"/>
          <w:sz w:val="16"/>
          <w:szCs w:val="16"/>
          <w:color w:val="auto"/>
        </w:rPr>
      </w:pPr>
      <w:r>
        <w:rPr>
          <w:rFonts w:ascii="Arial" w:cs="Arial" w:eastAsia="Arial" w:hAnsi="Arial"/>
          <w:sz w:val="16"/>
          <w:szCs w:val="16"/>
          <w:color w:val="auto"/>
        </w:rPr>
        <w:t>The Group considers that its functional and presentation currency to be the United States dollar (U.S. Dollar),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liquidated in U.S. Dollars.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Financial statements of each of the Credicorp’s subsidiaries are measured using the currency of the country in which each entity operates.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Their financial statements are translated into U.S. Dollars (functional and presentation currency) as follows:</w:t>
      </w:r>
    </w:p>
    <w:p>
      <w:pPr>
        <w:spacing w:after="0" w:line="265" w:lineRule="exact"/>
        <w:rPr>
          <w:sz w:val="20"/>
          <w:szCs w:val="20"/>
          <w:color w:val="auto"/>
        </w:rPr>
      </w:pPr>
    </w:p>
    <w:p>
      <w:pPr>
        <w:ind w:left="1460" w:right="800" w:hanging="318"/>
        <w:spacing w:after="0" w:line="277" w:lineRule="auto"/>
        <w:tabs>
          <w:tab w:leader="none" w:pos="14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Monetary assets and liabilities for each balance sheet presented are translated at the free market exchange rate at the date of the consolidated balance sheet.</w:t>
      </w:r>
    </w:p>
    <w:p>
      <w:pPr>
        <w:spacing w:after="0" w:line="224" w:lineRule="exact"/>
        <w:rPr>
          <w:rFonts w:ascii="Arial" w:cs="Arial" w:eastAsia="Arial" w:hAnsi="Arial"/>
          <w:sz w:val="18"/>
          <w:szCs w:val="18"/>
          <w:color w:val="auto"/>
        </w:rPr>
      </w:pPr>
    </w:p>
    <w:p>
      <w:pPr>
        <w:ind w:left="1460" w:hanging="318"/>
        <w:spacing w:after="0"/>
        <w:tabs>
          <w:tab w:leader="none" w:pos="14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302" w:lineRule="exact"/>
        <w:rPr>
          <w:rFonts w:ascii="Arial" w:cs="Arial" w:eastAsia="Arial" w:hAnsi="Arial"/>
          <w:sz w:val="16"/>
          <w:szCs w:val="16"/>
          <w:color w:val="auto"/>
        </w:rPr>
      </w:pPr>
    </w:p>
    <w:p>
      <w:pPr>
        <w:ind w:left="1460" w:right="120" w:hanging="318"/>
        <w:spacing w:after="0" w:line="277" w:lineRule="auto"/>
        <w:tabs>
          <w:tab w:leader="none" w:pos="14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24"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All resulting translation differences are recognized in the consolidated income statement.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79" w:lineRule="exact"/>
        <w:rPr>
          <w:rFonts w:ascii="Arial" w:cs="Arial" w:eastAsia="Arial" w:hAnsi="Arial"/>
          <w:sz w:val="18"/>
          <w:szCs w:val="18"/>
          <w:color w:val="auto"/>
        </w:rPr>
      </w:pPr>
    </w:p>
    <w:p>
      <w:pPr>
        <w:ind w:left="1140" w:right="60"/>
        <w:spacing w:after="0" w:line="312" w:lineRule="auto"/>
        <w:rPr>
          <w:rFonts w:ascii="Arial" w:cs="Arial" w:eastAsia="Arial" w:hAnsi="Arial"/>
          <w:sz w:val="18"/>
          <w:szCs w:val="18"/>
          <w:color w:val="auto"/>
        </w:rPr>
      </w:pPr>
      <w:r>
        <w:rPr>
          <w:rFonts w:ascii="Arial" w:cs="Arial" w:eastAsia="Arial" w:hAnsi="Arial"/>
          <w:sz w:val="16"/>
          <w:szCs w:val="16"/>
          <w:color w:val="auto"/>
        </w:rPr>
        <w:t>Interest income and expense are recognized in the income statement for all instruments measured at amortized cost using the effective interest method. It is a method of calculating the amortized cost of a financial assets or a financial liability and allocating the interest income or interest expense over the relevant period on an accrual basis. Interest rates are determined based on negotiations with clients.</w:t>
      </w:r>
    </w:p>
    <w:p>
      <w:pPr>
        <w:spacing w:after="0" w:line="200" w:lineRule="exact"/>
        <w:rPr>
          <w:rFonts w:ascii="Arial" w:cs="Arial" w:eastAsia="Arial" w:hAnsi="Arial"/>
          <w:sz w:val="18"/>
          <w:szCs w:val="18"/>
          <w:color w:val="auto"/>
        </w:rPr>
      </w:pPr>
    </w:p>
    <w:p>
      <w:pPr>
        <w:ind w:left="1140" w:right="8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40"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rFonts w:ascii="Arial" w:cs="Arial" w:eastAsia="Arial" w:hAnsi="Arial"/>
          <w:sz w:val="18"/>
          <w:szCs w:val="18"/>
          <w:color w:val="auto"/>
        </w:rPr>
      </w:pPr>
    </w:p>
    <w:p>
      <w:pPr>
        <w:ind w:left="1140" w:right="300"/>
        <w:spacing w:after="0" w:line="277" w:lineRule="auto"/>
        <w:rPr>
          <w:rFonts w:ascii="Arial" w:cs="Arial" w:eastAsia="Arial" w:hAnsi="Arial"/>
          <w:sz w:val="18"/>
          <w:szCs w:val="18"/>
          <w:color w:val="auto"/>
        </w:rPr>
      </w:pPr>
      <w:r>
        <w:rPr>
          <w:rFonts w:ascii="Arial" w:cs="Arial" w:eastAsia="Arial" w:hAnsi="Arial"/>
          <w:sz w:val="18"/>
          <w:szCs w:val="18"/>
          <w:color w:val="auto"/>
        </w:rPr>
        <w:t>Commission income is recognized on an accrual basis when earned. All other revenues and expenses are recognized on an accrual basis as earned or incurred.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Recognition of income and expenses of insurance activities -</w:t>
      </w:r>
    </w:p>
    <w:p>
      <w:pPr>
        <w:spacing w:after="0" w:line="279" w:lineRule="exact"/>
        <w:rPr>
          <w:rFonts w:ascii="Arial" w:cs="Arial" w:eastAsia="Arial" w:hAnsi="Arial"/>
          <w:sz w:val="18"/>
          <w:szCs w:val="18"/>
          <w:color w:val="auto"/>
        </w:rPr>
      </w:pPr>
    </w:p>
    <w:p>
      <w:pPr>
        <w:ind w:left="1140" w:right="340"/>
        <w:spacing w:after="0" w:line="277" w:lineRule="auto"/>
        <w:rPr>
          <w:rFonts w:ascii="Arial" w:cs="Arial" w:eastAsia="Arial" w:hAnsi="Arial"/>
          <w:sz w:val="18"/>
          <w:szCs w:val="18"/>
          <w:color w:val="auto"/>
        </w:rPr>
      </w:pPr>
      <w:r>
        <w:rPr>
          <w:rFonts w:ascii="Arial" w:cs="Arial" w:eastAsia="Arial" w:hAnsi="Arial"/>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24"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rFonts w:ascii="Arial" w:cs="Arial" w:eastAsia="Arial" w:hAnsi="Arial"/>
          <w:sz w:val="18"/>
          <w:szCs w:val="18"/>
          <w:color w:val="auto"/>
        </w:rPr>
      </w:pPr>
    </w:p>
    <w:p>
      <w:pPr>
        <w:ind w:left="1140" w:right="40"/>
        <w:spacing w:after="0" w:line="271" w:lineRule="auto"/>
        <w:rPr>
          <w:rFonts w:ascii="Arial" w:cs="Arial" w:eastAsia="Arial" w:hAnsi="Arial"/>
          <w:sz w:val="18"/>
          <w:szCs w:val="18"/>
          <w:color w:val="auto"/>
        </w:rPr>
      </w:pPr>
      <w:r>
        <w:rPr>
          <w:rFonts w:ascii="Arial" w:cs="Arial" w:eastAsia="Arial" w:hAnsi="Arial"/>
          <w:sz w:val="17"/>
          <w:szCs w:val="17"/>
          <w:color w:val="auto"/>
        </w:rPr>
        <w:t>In the case of life insurance, the claims reserves are calculated taking into account an estimation of the mortality (for life insurance), survival (life annuities, death and disability pension system insurance and complementary Insurance for work risk), (a type of life insurance for certain types of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jc w:val="both"/>
        <w:ind w:left="1140" w:right="160"/>
        <w:spacing w:after="0" w:line="312" w:lineRule="auto"/>
        <w:rPr>
          <w:sz w:val="20"/>
          <w:szCs w:val="20"/>
          <w:color w:val="auto"/>
        </w:rPr>
      </w:pPr>
      <w:r>
        <w:rPr>
          <w:rFonts w:ascii="Arial" w:cs="Arial" w:eastAsia="Arial" w:hAnsi="Arial"/>
          <w:sz w:val="16"/>
          <w:szCs w:val="16"/>
          <w:color w:val="auto"/>
        </w:rPr>
        <w:t>The reserves corresponding to the universal life insurance policies form part of the technical life insurance reserves. The additional benefits granted to the policyholders originating from this type of policy are shown in the footnote net premiums earned for life and health insurance contract (note 21) which include the surplus and interest accrued during the period which are credited to the balance of the policyholder.</w:t>
      </w:r>
    </w:p>
    <w:p>
      <w:pPr>
        <w:spacing w:after="0" w:line="201" w:lineRule="exact"/>
        <w:rPr>
          <w:sz w:val="20"/>
          <w:szCs w:val="20"/>
          <w:color w:val="auto"/>
        </w:rPr>
      </w:pPr>
    </w:p>
    <w:p>
      <w:pPr>
        <w:ind w:left="1140" w:right="180"/>
        <w:spacing w:after="0" w:line="297" w:lineRule="auto"/>
        <w:rPr>
          <w:sz w:val="20"/>
          <w:szCs w:val="20"/>
          <w:color w:val="auto"/>
        </w:rPr>
      </w:pPr>
      <w:r>
        <w:rPr>
          <w:rFonts w:ascii="Arial" w:cs="Arial" w:eastAsia="Arial" w:hAnsi="Arial"/>
          <w:sz w:val="16"/>
          <w:szCs w:val="16"/>
          <w:color w:val="auto"/>
        </w:rPr>
        <w:t>The insurance claims are recorded when the event occurs. The incurred but non-reported claims (IBNR) are estimated and included in the provision (liabilities). The reserves for IBNR at December 31, 2006 and 2005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considers that the estimated reserve is sufficient to cover liability for IBNR occurred at December 31, 2006 and 2005.</w:t>
      </w:r>
    </w:p>
    <w:p>
      <w:pPr>
        <w:spacing w:after="0" w:line="212"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To determine the reserves for life, property and casualty and health insurance, the Group carries out a continuous review of its overall position as well as its techniques for computing the claim reserves and its reinsurance. The provisions are reviewed periodically by qualified actuaries contracted by the Group. Additionally, for those cases the Group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43" w:lineRule="exact"/>
        <w:rPr>
          <w:sz w:val="20"/>
          <w:szCs w:val="20"/>
          <w:color w:val="auto"/>
        </w:rPr>
      </w:pPr>
    </w:p>
    <w:p>
      <w:pPr>
        <w:jc w:val="both"/>
        <w:ind w:left="1140" w:right="100"/>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The recoverability of these deferred acquisition costs are reviewed annually.</w:t>
      </w:r>
    </w:p>
    <w:p>
      <w:pPr>
        <w:spacing w:after="0" w:line="235" w:lineRule="exact"/>
        <w:rPr>
          <w:sz w:val="20"/>
          <w:szCs w:val="20"/>
          <w:color w:val="auto"/>
        </w:rPr>
      </w:pPr>
    </w:p>
    <w:p>
      <w:pPr>
        <w:ind w:left="1140" w:right="420"/>
        <w:spacing w:after="0" w:line="277" w:lineRule="auto"/>
        <w:rPr>
          <w:sz w:val="20"/>
          <w:szCs w:val="20"/>
          <w:color w:val="auto"/>
        </w:rPr>
      </w:pPr>
      <w:r>
        <w:rPr>
          <w:rFonts w:ascii="Arial" w:cs="Arial" w:eastAsia="Arial" w:hAnsi="Arial"/>
          <w:sz w:val="18"/>
          <w:szCs w:val="18"/>
          <w:color w:val="auto"/>
        </w:rPr>
        <w:t>Based on the periodic reviews of the client portfolio, Management determines the provision for bad debt related to premiums and quotas receivable.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Loans and allowance for loan losses -</w:t>
      </w:r>
    </w:p>
    <w:p>
      <w:pPr>
        <w:spacing w:after="0" w:line="279" w:lineRule="exact"/>
        <w:rPr>
          <w:rFonts w:ascii="Arial" w:cs="Arial" w:eastAsia="Arial" w:hAnsi="Arial"/>
          <w:sz w:val="18"/>
          <w:szCs w:val="18"/>
          <w:color w:val="auto"/>
        </w:rPr>
      </w:pPr>
    </w:p>
    <w:p>
      <w:pPr>
        <w:ind w:left="1140" w:right="20"/>
        <w:spacing w:after="0" w:line="264"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5"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An allowance for credit loss is established if there is objective evidence that the Group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w:t>
      </w:r>
    </w:p>
    <w:p>
      <w:pPr>
        <w:spacing w:after="0" w:line="240" w:lineRule="exact"/>
        <w:rPr>
          <w:rFonts w:ascii="Arial" w:cs="Arial" w:eastAsia="Arial" w:hAnsi="Arial"/>
          <w:sz w:val="18"/>
          <w:szCs w:val="18"/>
          <w:color w:val="auto"/>
        </w:rPr>
      </w:pPr>
    </w:p>
    <w:p>
      <w:pPr>
        <w:ind w:left="1140" w:right="80"/>
        <w:spacing w:after="0" w:line="273" w:lineRule="auto"/>
        <w:rPr>
          <w:rFonts w:ascii="Arial" w:cs="Arial" w:eastAsia="Arial" w:hAnsi="Arial"/>
          <w:sz w:val="18"/>
          <w:szCs w:val="18"/>
          <w:color w:val="auto"/>
        </w:rPr>
      </w:pPr>
      <w:r>
        <w:rPr>
          <w:rFonts w:ascii="Arial" w:cs="Arial" w:eastAsia="Arial" w:hAnsi="Arial"/>
          <w:sz w:val="17"/>
          <w:szCs w:val="17"/>
          <w:color w:val="auto"/>
        </w:rPr>
        <w:t>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232" w:lineRule="exact"/>
        <w:rPr>
          <w:rFonts w:ascii="Arial" w:cs="Arial" w:eastAsia="Arial" w:hAnsi="Arial"/>
          <w:sz w:val="18"/>
          <w:szCs w:val="18"/>
          <w:color w:val="auto"/>
        </w:rPr>
      </w:pPr>
    </w:p>
    <w:p>
      <w:pPr>
        <w:ind w:left="1140" w:right="400"/>
        <w:spacing w:after="0" w:line="259" w:lineRule="auto"/>
        <w:rPr>
          <w:rFonts w:ascii="Arial" w:cs="Arial" w:eastAsia="Arial" w:hAnsi="Arial"/>
          <w:sz w:val="18"/>
          <w:szCs w:val="18"/>
          <w:color w:val="auto"/>
        </w:rPr>
      </w:pPr>
      <w:r>
        <w:rPr>
          <w:rFonts w:ascii="Arial" w:cs="Arial" w:eastAsia="Arial" w:hAnsi="Arial"/>
          <w:sz w:val="18"/>
          <w:szCs w:val="18"/>
          <w:color w:val="auto"/>
        </w:rPr>
        <w:t>The allowance for loan losses is established based in the risk classifications and taking into consideration the guarantees and collateral obtained by the Group.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240" w:lineRule="exact"/>
        <w:rPr>
          <w:rFonts w:ascii="Arial" w:cs="Arial" w:eastAsia="Arial" w:hAnsi="Arial"/>
          <w:sz w:val="18"/>
          <w:szCs w:val="18"/>
          <w:color w:val="auto"/>
        </w:rPr>
      </w:pPr>
    </w:p>
    <w:p>
      <w:pPr>
        <w:ind w:left="1140" w:right="220"/>
        <w:spacing w:after="0" w:line="277" w:lineRule="auto"/>
        <w:rPr>
          <w:rFonts w:ascii="Arial" w:cs="Arial" w:eastAsia="Arial" w:hAnsi="Arial"/>
          <w:sz w:val="18"/>
          <w:szCs w:val="18"/>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24" w:lineRule="exact"/>
        <w:rPr>
          <w:rFonts w:ascii="Arial" w:cs="Arial" w:eastAsia="Arial" w:hAnsi="Arial"/>
          <w:sz w:val="18"/>
          <w:szCs w:val="18"/>
          <w:color w:val="auto"/>
        </w:rPr>
      </w:pPr>
    </w:p>
    <w:p>
      <w:pPr>
        <w:ind w:left="1140" w:right="20"/>
        <w:spacing w:after="0" w:line="279" w:lineRule="auto"/>
        <w:rPr>
          <w:rFonts w:ascii="Arial" w:cs="Arial" w:eastAsia="Arial" w:hAnsi="Arial"/>
          <w:sz w:val="18"/>
          <w:szCs w:val="18"/>
          <w:color w:val="auto"/>
        </w:rPr>
      </w:pPr>
      <w:r>
        <w:rPr>
          <w:rFonts w:ascii="Arial" w:cs="Arial" w:eastAsia="Arial" w:hAnsi="Arial"/>
          <w:sz w:val="17"/>
          <w:szCs w:val="17"/>
          <w:color w:val="auto"/>
        </w:rPr>
        <w:t>All loans considered impaired (the ones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225" w:lineRule="exact"/>
        <w:rPr>
          <w:rFonts w:ascii="Arial" w:cs="Arial" w:eastAsia="Arial" w:hAnsi="Arial"/>
          <w:sz w:val="18"/>
          <w:szCs w:val="18"/>
          <w:color w:val="auto"/>
        </w:rPr>
      </w:pPr>
    </w:p>
    <w:p>
      <w:pPr>
        <w:ind w:left="1140" w:right="740"/>
        <w:spacing w:after="0" w:line="277" w:lineRule="auto"/>
        <w:rPr>
          <w:rFonts w:ascii="Arial" w:cs="Arial" w:eastAsia="Arial" w:hAnsi="Arial"/>
          <w:sz w:val="18"/>
          <w:szCs w:val="18"/>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allowance for loan losses also covers the estimated losses for impairment loans not specifically identified.</w:t>
      </w:r>
    </w:p>
    <w:p>
      <w:pPr>
        <w:spacing w:after="0" w:line="279" w:lineRule="exact"/>
        <w:rPr>
          <w:sz w:val="20"/>
          <w:szCs w:val="20"/>
          <w:color w:val="auto"/>
        </w:rPr>
      </w:pPr>
    </w:p>
    <w:p>
      <w:pPr>
        <w:ind w:left="1140" w:right="36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20" w:lineRule="exact"/>
        <w:rPr>
          <w:sz w:val="20"/>
          <w:szCs w:val="20"/>
          <w:color w:val="auto"/>
        </w:rPr>
      </w:pPr>
    </w:p>
    <w:p>
      <w:pPr>
        <w:ind w:left="1140" w:right="8980" w:hanging="484"/>
        <w:spacing w:after="0" w:line="676" w:lineRule="auto"/>
        <w:tabs>
          <w:tab w:leader="none" w:pos="11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Leases - Operating leases -</w:t>
      </w:r>
    </w:p>
    <w:p>
      <w:pPr>
        <w:ind w:left="1140" w:right="140"/>
        <w:spacing w:after="0" w:line="277" w:lineRule="auto"/>
        <w:rPr>
          <w:rFonts w:ascii="Arial" w:cs="Arial" w:eastAsia="Arial" w:hAnsi="Arial"/>
          <w:sz w:val="15"/>
          <w:szCs w:val="15"/>
          <w:color w:val="auto"/>
        </w:rPr>
      </w:pPr>
      <w:r>
        <w:rPr>
          <w:rFonts w:ascii="Arial" w:cs="Arial" w:eastAsia="Arial" w:hAnsi="Arial"/>
          <w:sz w:val="18"/>
          <w:szCs w:val="18"/>
          <w:color w:val="auto"/>
        </w:rPr>
        <w:t>Leases in which a significant portion of the risks and relative benefits of the property are hold by the lessor are classified as operating leases. By this concept, the Group maintains principally leases used as offices and agencies for the Bank.</w:t>
      </w:r>
    </w:p>
    <w:p>
      <w:pPr>
        <w:spacing w:after="0" w:line="224" w:lineRule="exact"/>
        <w:rPr>
          <w:rFonts w:ascii="Arial" w:cs="Arial" w:eastAsia="Arial" w:hAnsi="Arial"/>
          <w:sz w:val="15"/>
          <w:szCs w:val="15"/>
          <w:color w:val="auto"/>
        </w:rPr>
      </w:pPr>
    </w:p>
    <w:p>
      <w:pPr>
        <w:ind w:left="1140" w:right="60"/>
        <w:spacing w:after="0" w:line="277" w:lineRule="auto"/>
        <w:rPr>
          <w:rFonts w:ascii="Arial" w:cs="Arial" w:eastAsia="Arial" w:hAnsi="Arial"/>
          <w:sz w:val="15"/>
          <w:szCs w:val="15"/>
          <w:color w:val="auto"/>
        </w:rPr>
      </w:pPr>
      <w:r>
        <w:rPr>
          <w:rFonts w:ascii="Arial" w:cs="Arial" w:eastAsia="Arial" w:hAnsi="Arial"/>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2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Finance leases -</w:t>
      </w:r>
    </w:p>
    <w:p>
      <w:pPr>
        <w:spacing w:after="0" w:line="279" w:lineRule="exact"/>
        <w:rPr>
          <w:rFonts w:ascii="Arial" w:cs="Arial" w:eastAsia="Arial" w:hAnsi="Arial"/>
          <w:sz w:val="15"/>
          <w:szCs w:val="15"/>
          <w:color w:val="auto"/>
        </w:rPr>
      </w:pPr>
    </w:p>
    <w:p>
      <w:pPr>
        <w:ind w:left="1140"/>
        <w:spacing w:after="0" w:line="286" w:lineRule="auto"/>
        <w:rPr>
          <w:rFonts w:ascii="Arial" w:cs="Arial" w:eastAsia="Arial" w:hAnsi="Arial"/>
          <w:sz w:val="15"/>
          <w:szCs w:val="15"/>
          <w:color w:val="auto"/>
        </w:rPr>
      </w:pPr>
      <w:r>
        <w:rPr>
          <w:rFonts w:ascii="Arial" w:cs="Arial" w:eastAsia="Arial" w:hAnsi="Arial"/>
          <w:sz w:val="17"/>
          <w:szCs w:val="17"/>
          <w:color w:val="auto"/>
        </w:rPr>
        <w:t>The Group grants loans through finance leases; therefore,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19" w:lineRule="exact"/>
        <w:rPr>
          <w:rFonts w:ascii="Arial" w:cs="Arial" w:eastAsia="Arial" w:hAnsi="Arial"/>
          <w:sz w:val="15"/>
          <w:szCs w:val="15"/>
          <w:color w:val="auto"/>
        </w:rPr>
      </w:pPr>
    </w:p>
    <w:p>
      <w:pPr>
        <w:ind w:left="1140" w:hanging="484"/>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Investments -</w:t>
      </w:r>
    </w:p>
    <w:p>
      <w:pPr>
        <w:spacing w:after="0" w:line="279" w:lineRule="exact"/>
        <w:rPr>
          <w:rFonts w:ascii="Arial" w:cs="Arial" w:eastAsia="Arial" w:hAnsi="Arial"/>
          <w:sz w:val="18"/>
          <w:szCs w:val="18"/>
          <w:color w:val="auto"/>
        </w:rPr>
      </w:pPr>
    </w:p>
    <w:p>
      <w:pPr>
        <w:ind w:left="1140" w:right="420"/>
        <w:spacing w:after="0" w:line="277" w:lineRule="auto"/>
        <w:rPr>
          <w:rFonts w:ascii="Arial" w:cs="Arial" w:eastAsia="Arial" w:hAnsi="Arial"/>
          <w:sz w:val="18"/>
          <w:szCs w:val="18"/>
          <w:color w:val="auto"/>
        </w:rPr>
      </w:pPr>
      <w:r>
        <w:rPr>
          <w:rFonts w:ascii="Arial" w:cs="Arial" w:eastAsia="Arial" w:hAnsi="Arial"/>
          <w:sz w:val="18"/>
          <w:szCs w:val="18"/>
          <w:color w:val="auto"/>
        </w:rPr>
        <w:t>The purchases and sales of investments are recognized at the date of the negotiation (trade date) that corresponds to the date in which the Group commits itself to buy or sell the assets.</w:t>
      </w:r>
    </w:p>
    <w:p>
      <w:pPr>
        <w:spacing w:after="0" w:line="224" w:lineRule="exact"/>
        <w:rPr>
          <w:rFonts w:ascii="Arial" w:cs="Arial" w:eastAsia="Arial" w:hAnsi="Arial"/>
          <w:sz w:val="18"/>
          <w:szCs w:val="18"/>
          <w:color w:val="auto"/>
        </w:rPr>
      </w:pPr>
    </w:p>
    <w:p>
      <w:pPr>
        <w:ind w:left="1140" w:right="40"/>
        <w:spacing w:after="0" w:line="259" w:lineRule="auto"/>
        <w:rPr>
          <w:rFonts w:ascii="Arial" w:cs="Arial" w:eastAsia="Arial" w:hAnsi="Arial"/>
          <w:sz w:val="18"/>
          <w:szCs w:val="18"/>
          <w:color w:val="auto"/>
        </w:rPr>
      </w:pPr>
      <w:r>
        <w:rPr>
          <w:rFonts w:ascii="Arial" w:cs="Arial" w:eastAsia="Arial" w:hAnsi="Arial"/>
          <w:sz w:val="18"/>
          <w:szCs w:val="18"/>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240" w:lineRule="exact"/>
        <w:rPr>
          <w:rFonts w:ascii="Arial" w:cs="Arial" w:eastAsia="Arial" w:hAnsi="Arial"/>
          <w:sz w:val="18"/>
          <w:szCs w:val="18"/>
          <w:color w:val="auto"/>
        </w:rPr>
      </w:pPr>
    </w:p>
    <w:p>
      <w:pPr>
        <w:ind w:left="1140" w:right="140"/>
        <w:spacing w:after="0" w:line="277" w:lineRule="auto"/>
        <w:rPr>
          <w:rFonts w:ascii="Arial" w:cs="Arial" w:eastAsia="Arial" w:hAnsi="Arial"/>
          <w:sz w:val="18"/>
          <w:szCs w:val="18"/>
          <w:color w:val="auto"/>
        </w:rPr>
      </w:pPr>
      <w:r>
        <w:rPr>
          <w:rFonts w:ascii="Arial" w:cs="Arial" w:eastAsia="Arial" w:hAnsi="Arial"/>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224" w:lineRule="exact"/>
        <w:rPr>
          <w:rFonts w:ascii="Arial" w:cs="Arial" w:eastAsia="Arial" w:hAnsi="Arial"/>
          <w:sz w:val="18"/>
          <w:szCs w:val="18"/>
          <w:color w:val="auto"/>
        </w:rPr>
      </w:pPr>
    </w:p>
    <w:p>
      <w:pPr>
        <w:ind w:left="1140" w:right="120"/>
        <w:spacing w:after="0" w:line="276" w:lineRule="auto"/>
        <w:rPr>
          <w:rFonts w:ascii="Arial" w:cs="Arial" w:eastAsia="Arial" w:hAnsi="Arial"/>
          <w:sz w:val="18"/>
          <w:szCs w:val="18"/>
          <w:color w:val="auto"/>
        </w:rPr>
      </w:pPr>
      <w:r>
        <w:rPr>
          <w:rFonts w:ascii="Arial" w:cs="Arial" w:eastAsia="Arial" w:hAnsi="Arial"/>
          <w:sz w:val="17"/>
          <w:szCs w:val="17"/>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The Group determines that an available-for-sale investment is impaired when there has been a significant or prolonged decline in the fair value below its cost. The determination of what is significant or prolonged requires the Management’s judgment. In making this judgment, the Group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42" w:lineRule="exact"/>
        <w:rPr>
          <w:sz w:val="20"/>
          <w:szCs w:val="20"/>
          <w:color w:val="auto"/>
        </w:rPr>
      </w:pPr>
    </w:p>
    <w:p>
      <w:pPr>
        <w:ind w:left="1140" w:hanging="484"/>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79" w:lineRule="exact"/>
        <w:rPr>
          <w:rFonts w:ascii="Arial" w:cs="Arial" w:eastAsia="Arial" w:hAnsi="Arial"/>
          <w:sz w:val="18"/>
          <w:szCs w:val="18"/>
          <w:color w:val="auto"/>
        </w:rPr>
      </w:pPr>
    </w:p>
    <w:p>
      <w:pPr>
        <w:ind w:left="1140" w:right="200"/>
        <w:spacing w:after="0" w:line="264"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balance sheet when there is a legally enforceable right to offset the recognized amounts and Management has the intention to settle on a net basis, or realize the assets and settle the liability simultaneously.</w:t>
      </w:r>
    </w:p>
    <w:p>
      <w:pPr>
        <w:spacing w:after="0" w:line="235" w:lineRule="exact"/>
        <w:rPr>
          <w:rFonts w:ascii="Arial" w:cs="Arial" w:eastAsia="Arial" w:hAnsi="Arial"/>
          <w:sz w:val="18"/>
          <w:szCs w:val="18"/>
          <w:color w:val="auto"/>
        </w:rPr>
      </w:pPr>
    </w:p>
    <w:p>
      <w:pPr>
        <w:ind w:left="1140" w:hanging="484"/>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79" w:lineRule="exact"/>
        <w:rPr>
          <w:rFonts w:ascii="Arial" w:cs="Arial" w:eastAsia="Arial" w:hAnsi="Arial"/>
          <w:sz w:val="18"/>
          <w:szCs w:val="18"/>
          <w:color w:val="auto"/>
        </w:rPr>
      </w:pPr>
    </w:p>
    <w:p>
      <w:pPr>
        <w:ind w:left="1140" w:right="200"/>
        <w:spacing w:after="0" w:line="302" w:lineRule="auto"/>
        <w:rPr>
          <w:rFonts w:ascii="Arial" w:cs="Arial" w:eastAsia="Arial" w:hAnsi="Arial"/>
          <w:sz w:val="18"/>
          <w:szCs w:val="18"/>
          <w:color w:val="auto"/>
        </w:rPr>
      </w:pPr>
      <w:r>
        <w:rPr>
          <w:rFonts w:ascii="Arial" w:cs="Arial" w:eastAsia="Arial" w:hAnsi="Arial"/>
          <w:sz w:val="16"/>
          <w:szCs w:val="16"/>
          <w:color w:val="auto"/>
        </w:rPr>
        <w:t>Land and buildings comprise mainly branches and offices. All property, furniture and equipment are stated at historical acquisition cost less depreciation.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for the asset.</w:t>
      </w:r>
    </w:p>
    <w:p>
      <w:pPr>
        <w:spacing w:after="0" w:line="208" w:lineRule="exact"/>
        <w:rPr>
          <w:rFonts w:ascii="Arial" w:cs="Arial" w:eastAsia="Arial" w:hAnsi="Arial"/>
          <w:sz w:val="18"/>
          <w:szCs w:val="18"/>
          <w:color w:val="auto"/>
        </w:rPr>
      </w:pPr>
    </w:p>
    <w:p>
      <w:pPr>
        <w:ind w:left="1140" w:right="50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computed on a straight-line to assign a cost at their residual value during its estimated useful lives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3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Years</w:t>
            </w:r>
          </w:p>
        </w:tc>
      </w:tr>
      <w:tr>
        <w:trPr>
          <w:trHeight w:val="237"/>
        </w:trPr>
        <w:tc>
          <w:tcPr>
            <w:tcW w:w="994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33</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Installations</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Computer hardware</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9"/>
              </w:rPr>
              <w:t>4</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Vehicles and equipment</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r>
    </w:tbl>
    <w:p>
      <w:pPr>
        <w:spacing w:after="0" w:line="256" w:lineRule="exact"/>
        <w:rPr>
          <w:sz w:val="20"/>
          <w:szCs w:val="20"/>
          <w:color w:val="auto"/>
        </w:rPr>
      </w:pPr>
    </w:p>
    <w:p>
      <w:pPr>
        <w:ind w:left="1140" w:right="80"/>
        <w:spacing w:after="0" w:line="342" w:lineRule="auto"/>
        <w:rPr>
          <w:sz w:val="20"/>
          <w:szCs w:val="20"/>
          <w:color w:val="auto"/>
        </w:rPr>
      </w:pPr>
      <w:r>
        <w:rPr>
          <w:rFonts w:ascii="Arial" w:cs="Arial" w:eastAsia="Arial" w:hAnsi="Arial"/>
          <w:sz w:val="16"/>
          <w:szCs w:val="16"/>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Assets seized -</w:t>
      </w:r>
    </w:p>
    <w:p>
      <w:pPr>
        <w:spacing w:after="0" w:line="279" w:lineRule="exact"/>
        <w:rPr>
          <w:rFonts w:ascii="Arial" w:cs="Arial" w:eastAsia="Arial" w:hAnsi="Arial"/>
          <w:sz w:val="18"/>
          <w:szCs w:val="18"/>
          <w:color w:val="auto"/>
        </w:rPr>
      </w:pPr>
    </w:p>
    <w:p>
      <w:pPr>
        <w:ind w:left="1140" w:right="520"/>
        <w:spacing w:after="0" w:line="563" w:lineRule="auto"/>
        <w:rPr>
          <w:rFonts w:ascii="Arial" w:cs="Arial" w:eastAsia="Arial" w:hAnsi="Arial"/>
          <w:sz w:val="18"/>
          <w:szCs w:val="18"/>
          <w:color w:val="auto"/>
        </w:rPr>
      </w:pPr>
      <w:r>
        <w:rPr>
          <w:rFonts w:ascii="Arial" w:cs="Arial" w:eastAsia="Arial" w:hAnsi="Arial"/>
          <w:sz w:val="18"/>
          <w:szCs w:val="18"/>
          <w:color w:val="auto"/>
        </w:rPr>
        <w:t>Assets seized are recorded at the lower of cost or the estimated market value obtained from valuations made by independent appraisals. Changes in market values are recorded in the consolidated income statements.</w:t>
      </w:r>
    </w:p>
    <w:p>
      <w:pPr>
        <w:spacing w:after="0" w:line="1" w:lineRule="exact"/>
        <w:rPr>
          <w:rFonts w:ascii="Arial" w:cs="Arial" w:eastAsia="Arial" w:hAnsi="Arial"/>
          <w:sz w:val="18"/>
          <w:szCs w:val="18"/>
          <w:color w:val="auto"/>
        </w:rPr>
      </w:pPr>
    </w:p>
    <w:p>
      <w:pPr>
        <w:ind w:left="1140" w:hanging="484"/>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79" w:lineRule="exact"/>
        <w:rPr>
          <w:rFonts w:ascii="Arial" w:cs="Arial" w:eastAsia="Arial" w:hAnsi="Arial"/>
          <w:sz w:val="18"/>
          <w:szCs w:val="18"/>
          <w:color w:val="auto"/>
        </w:rPr>
      </w:pPr>
    </w:p>
    <w:p>
      <w:pPr>
        <w:jc w:val="both"/>
        <w:ind w:left="1140" w:right="260"/>
        <w:spacing w:after="0" w:line="264" w:lineRule="auto"/>
        <w:rPr>
          <w:rFonts w:ascii="Arial" w:cs="Arial" w:eastAsia="Arial" w:hAnsi="Arial"/>
          <w:sz w:val="18"/>
          <w:szCs w:val="18"/>
          <w:color w:val="auto"/>
        </w:rPr>
      </w:pPr>
      <w:r>
        <w:rPr>
          <w:rFonts w:ascii="Arial" w:cs="Arial" w:eastAsia="Arial" w:hAnsi="Arial"/>
          <w:sz w:val="18"/>
          <w:szCs w:val="18"/>
          <w:color w:val="auto"/>
        </w:rPr>
        <w:t>Comprise mainly internal development and acquired software licenses used by the Group. The software licenses acquired by the Group are capitalized on basis of the incurred cost to acquire or used a specific program. These intangible assets are amortized using the straight-line method over their estimated useful life (between 3 and 5 years).</w:t>
      </w:r>
    </w:p>
    <w:p>
      <w:pPr>
        <w:spacing w:after="0" w:line="235"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Additionally, it includes other intangible assets identified as consequence of the acquisition AFP Unión Vida, note 2(a), principally the “Client relationships”. Such intangibles are recognized on the consolidated balance sheet at their fair values determine on the acquisition date and are amortized using the straight line method over their estimated useful life of 20 years, for the “Client relationships” and 5 years for the other identified intangible assets.</w:t>
      </w:r>
    </w:p>
    <w:p>
      <w:pPr>
        <w:spacing w:after="0" w:line="240" w:lineRule="exact"/>
        <w:rPr>
          <w:rFonts w:ascii="Arial" w:cs="Arial" w:eastAsia="Arial" w:hAnsi="Arial"/>
          <w:sz w:val="18"/>
          <w:szCs w:val="18"/>
          <w:color w:val="auto"/>
        </w:rPr>
      </w:pPr>
    </w:p>
    <w:p>
      <w:pPr>
        <w:ind w:left="1140" w:hanging="484"/>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Goodwill -</w:t>
      </w:r>
    </w:p>
    <w:p>
      <w:pPr>
        <w:spacing w:after="0" w:line="279" w:lineRule="exact"/>
        <w:rPr>
          <w:rFonts w:ascii="Arial" w:cs="Arial" w:eastAsia="Arial" w:hAnsi="Arial"/>
          <w:sz w:val="18"/>
          <w:szCs w:val="18"/>
          <w:color w:val="auto"/>
        </w:rPr>
      </w:pPr>
    </w:p>
    <w:p>
      <w:pPr>
        <w:ind w:left="1140" w:right="260"/>
        <w:spacing w:after="0" w:line="259" w:lineRule="auto"/>
        <w:rPr>
          <w:rFonts w:ascii="Arial" w:cs="Arial" w:eastAsia="Arial" w:hAnsi="Arial"/>
          <w:sz w:val="18"/>
          <w:szCs w:val="18"/>
          <w:color w:val="auto"/>
        </w:rPr>
      </w:pPr>
      <w:r>
        <w:rPr>
          <w:rFonts w:ascii="Arial" w:cs="Arial" w:eastAsia="Arial" w:hAnsi="Arial"/>
          <w:sz w:val="18"/>
          <w:szCs w:val="18"/>
          <w:color w:val="auto"/>
        </w:rPr>
        <w:t>Goodwill represents the excess of the cost of acquisition of a subsidiary over the fair value of the net identifiable assets of the acquired subsidiary undertaking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44" w:lineRule="exact"/>
        <w:rPr>
          <w:rFonts w:ascii="Arial" w:cs="Arial" w:eastAsia="Arial" w:hAnsi="Arial"/>
          <w:sz w:val="18"/>
          <w:szCs w:val="18"/>
          <w:color w:val="auto"/>
        </w:rPr>
      </w:pPr>
    </w:p>
    <w:p>
      <w:pPr>
        <w:ind w:left="1140" w:right="360"/>
        <w:spacing w:after="0" w:line="224" w:lineRule="auto"/>
        <w:rPr>
          <w:rFonts w:ascii="Arial" w:cs="Arial" w:eastAsia="Arial" w:hAnsi="Arial"/>
          <w:sz w:val="18"/>
          <w:szCs w:val="18"/>
          <w:color w:val="auto"/>
        </w:rPr>
      </w:pPr>
      <w:r>
        <w:rPr>
          <w:rFonts w:ascii="Arial" w:cs="Arial" w:eastAsia="Arial" w:hAnsi="Arial"/>
          <w:sz w:val="17"/>
          <w:szCs w:val="17"/>
          <w:color w:val="auto"/>
        </w:rPr>
        <w:t>In accordance with the disposals of IFRS 3, since January 1</w:t>
      </w:r>
      <w:r>
        <w:rPr>
          <w:rFonts w:ascii="Arial" w:cs="Arial" w:eastAsia="Arial" w:hAnsi="Arial"/>
          <w:sz w:val="28"/>
          <w:szCs w:val="28"/>
          <w:color w:val="auto"/>
          <w:vertAlign w:val="superscript"/>
        </w:rPr>
        <w:t>st</w:t>
      </w:r>
      <w:r>
        <w:rPr>
          <w:rFonts w:ascii="Arial" w:cs="Arial" w:eastAsia="Arial" w:hAnsi="Arial"/>
          <w:sz w:val="17"/>
          <w:szCs w:val="17"/>
          <w:color w:val="auto"/>
        </w:rPr>
        <w:t>, 2005, the Group has ceased the amortization of goodwill. The accumulated amortization as of December 31, 2004 has been eliminated with a corresponding decrease in the cost of goodwill.</w:t>
      </w:r>
    </w:p>
    <w:p>
      <w:pPr>
        <w:spacing w:after="0" w:line="256"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7"/>
          <w:szCs w:val="17"/>
          <w:color w:val="auto"/>
        </w:rPr>
        <w:t>As of December 31, 2004, goodwill amortization was calculated using the straight-line method, with the followings estimated useful life: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r>
      <w:tr>
        <w:trPr>
          <w:trHeight w:val="237"/>
        </w:trPr>
        <w:tc>
          <w:tcPr>
            <w:tcW w:w="9940" w:type="dxa"/>
            <w:vAlign w:val="bottom"/>
          </w:tcPr>
          <w:p>
            <w:pPr>
              <w:spacing w:after="0"/>
              <w:rPr>
                <w:sz w:val="20"/>
                <w:szCs w:val="20"/>
                <w:color w:val="auto"/>
              </w:rPr>
            </w:pPr>
            <w:r>
              <w:rPr>
                <w:rFonts w:ascii="Arial" w:cs="Arial" w:eastAsia="Arial" w:hAnsi="Arial"/>
                <w:sz w:val="18"/>
                <w:szCs w:val="18"/>
                <w:color w:val="auto"/>
              </w:rPr>
              <w:t>ASHC and PPS</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Corporación Novasalud Perú S.A. EPS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56" w:lineRule="exact"/>
        <w:rPr>
          <w:sz w:val="20"/>
          <w:szCs w:val="20"/>
          <w:color w:val="auto"/>
        </w:rPr>
      </w:pPr>
    </w:p>
    <w:p>
      <w:pPr>
        <w:ind w:left="1140" w:hanging="484"/>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79" w:lineRule="exact"/>
        <w:rPr>
          <w:rFonts w:ascii="Arial" w:cs="Arial" w:eastAsia="Arial" w:hAnsi="Arial"/>
          <w:sz w:val="18"/>
          <w:szCs w:val="18"/>
          <w:color w:val="auto"/>
        </w:rPr>
      </w:pPr>
    </w:p>
    <w:p>
      <w:pPr>
        <w:ind w:left="1140" w:right="160"/>
        <w:spacing w:after="0" w:line="264" w:lineRule="auto"/>
        <w:rPr>
          <w:rFonts w:ascii="Arial" w:cs="Arial" w:eastAsia="Arial" w:hAnsi="Arial"/>
          <w:sz w:val="18"/>
          <w:szCs w:val="18"/>
          <w:color w:val="auto"/>
        </w:rPr>
      </w:pPr>
      <w:r>
        <w:rPr>
          <w:rFonts w:ascii="Arial" w:cs="Arial" w:eastAsia="Arial" w:hAnsi="Arial"/>
          <w:sz w:val="18"/>
          <w:szCs w:val="18"/>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Bonds and subordinated notes issued -</w:t>
      </w:r>
    </w:p>
    <w:p>
      <w:pPr>
        <w:spacing w:after="0" w:line="279" w:lineRule="exact"/>
        <w:rPr>
          <w:rFonts w:ascii="Arial" w:cs="Arial" w:eastAsia="Arial" w:hAnsi="Arial"/>
          <w:sz w:val="18"/>
          <w:szCs w:val="18"/>
          <w:color w:val="auto"/>
        </w:rPr>
      </w:pPr>
    </w:p>
    <w:p>
      <w:pPr>
        <w:ind w:left="1140" w:right="180"/>
        <w:spacing w:after="0" w:line="264" w:lineRule="auto"/>
        <w:rPr>
          <w:rFonts w:ascii="Arial" w:cs="Arial" w:eastAsia="Arial" w:hAnsi="Arial"/>
          <w:sz w:val="18"/>
          <w:szCs w:val="18"/>
          <w:color w:val="auto"/>
        </w:rPr>
      </w:pPr>
      <w:r>
        <w:rPr>
          <w:rFonts w:ascii="Arial" w:cs="Arial" w:eastAsia="Arial" w:hAnsi="Arial"/>
          <w:sz w:val="18"/>
          <w:szCs w:val="18"/>
          <w:color w:val="auto"/>
        </w:rPr>
        <w:t>Liabilities arising from the issuance bonds and subordinated notes are recorded at their amortized cost and the corresponding interest is recognized in the consolidated income statements on an accrual basis. Bond discounts or premiums determined at issuance are deferred and amortized over the term of the bonds using the effective interest method.</w:t>
      </w:r>
    </w:p>
    <w:p>
      <w:pPr>
        <w:spacing w:after="0" w:line="235" w:lineRule="exact"/>
        <w:rPr>
          <w:rFonts w:ascii="Arial" w:cs="Arial" w:eastAsia="Arial" w:hAnsi="Arial"/>
          <w:sz w:val="18"/>
          <w:szCs w:val="18"/>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333" w:lineRule="exact"/>
        <w:rPr>
          <w:rFonts w:ascii="Arial" w:cs="Arial" w:eastAsia="Arial" w:hAnsi="Arial"/>
          <w:sz w:val="18"/>
          <w:szCs w:val="18"/>
          <w:color w:val="auto"/>
        </w:rPr>
      </w:pPr>
    </w:p>
    <w:p>
      <w:pPr>
        <w:ind w:left="1140" w:right="460"/>
        <w:spacing w:after="0" w:line="312" w:lineRule="auto"/>
        <w:rPr>
          <w:rFonts w:ascii="Arial" w:cs="Arial" w:eastAsia="Arial" w:hAnsi="Arial"/>
          <w:sz w:val="18"/>
          <w:szCs w:val="18"/>
          <w:color w:val="auto"/>
        </w:rPr>
      </w:pPr>
      <w:r>
        <w:rPr>
          <w:rFonts w:ascii="Arial" w:cs="Arial" w:eastAsia="Arial" w:hAnsi="Arial"/>
          <w:sz w:val="16"/>
          <w:szCs w:val="16"/>
          <w:color w:val="auto"/>
        </w:rPr>
        <w:t>Provisions for legal claims are recognized when the Group has a present (legal) or constructive obligation as a result of past events, it is probable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200" w:lineRule="exact"/>
        <w:rPr>
          <w:rFonts w:ascii="Arial" w:cs="Arial" w:eastAsia="Arial" w:hAnsi="Arial"/>
          <w:sz w:val="18"/>
          <w:szCs w:val="18"/>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79" w:lineRule="exact"/>
        <w:rPr>
          <w:rFonts w:ascii="Arial" w:cs="Arial" w:eastAsia="Arial" w:hAnsi="Arial"/>
          <w:sz w:val="18"/>
          <w:szCs w:val="18"/>
          <w:color w:val="auto"/>
        </w:rPr>
      </w:pPr>
    </w:p>
    <w:p>
      <w:pPr>
        <w:ind w:left="1140" w:right="440"/>
        <w:spacing w:after="0" w:line="277"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Income tax and workers’ profit sharing -</w:t>
      </w:r>
    </w:p>
    <w:p>
      <w:pPr>
        <w:spacing w:after="0" w:line="279" w:lineRule="exact"/>
        <w:rPr>
          <w:rFonts w:ascii="Arial" w:cs="Arial" w:eastAsia="Arial" w:hAnsi="Arial"/>
          <w:sz w:val="18"/>
          <w:szCs w:val="18"/>
          <w:color w:val="auto"/>
        </w:rPr>
      </w:pPr>
    </w:p>
    <w:p>
      <w:pPr>
        <w:ind w:left="1140" w:right="800"/>
        <w:spacing w:after="0" w:line="277" w:lineRule="auto"/>
        <w:rPr>
          <w:rFonts w:ascii="Arial" w:cs="Arial" w:eastAsia="Arial" w:hAnsi="Arial"/>
          <w:sz w:val="18"/>
          <w:szCs w:val="18"/>
          <w:color w:val="auto"/>
        </w:rPr>
      </w:pPr>
      <w:r>
        <w:rPr>
          <w:rFonts w:ascii="Arial" w:cs="Arial" w:eastAsia="Arial" w:hAnsi="Arial"/>
          <w:sz w:val="18"/>
          <w:szCs w:val="18"/>
          <w:color w:val="auto"/>
        </w:rPr>
        <w:t>Income tax and workers’ profit sharing and are computed based on individual financial statements of Credicorp and each one of its subsidiaries.</w:t>
      </w:r>
    </w:p>
    <w:p>
      <w:pPr>
        <w:spacing w:after="0" w:line="224" w:lineRule="exact"/>
        <w:rPr>
          <w:rFonts w:ascii="Arial" w:cs="Arial" w:eastAsia="Arial" w:hAnsi="Arial"/>
          <w:sz w:val="18"/>
          <w:szCs w:val="18"/>
          <w:color w:val="auto"/>
        </w:rPr>
      </w:pPr>
    </w:p>
    <w:p>
      <w:pPr>
        <w:ind w:left="1140"/>
        <w:spacing w:after="0" w:line="297" w:lineRule="auto"/>
        <w:rPr>
          <w:rFonts w:ascii="Arial" w:cs="Arial" w:eastAsia="Arial" w:hAnsi="Arial"/>
          <w:sz w:val="18"/>
          <w:szCs w:val="18"/>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212" w:lineRule="exact"/>
        <w:rPr>
          <w:rFonts w:ascii="Arial" w:cs="Arial" w:eastAsia="Arial" w:hAnsi="Arial"/>
          <w:sz w:val="18"/>
          <w:szCs w:val="18"/>
          <w:color w:val="auto"/>
        </w:rPr>
      </w:pPr>
    </w:p>
    <w:p>
      <w:pPr>
        <w:ind w:left="1140" w:right="140"/>
        <w:spacing w:after="0" w:line="259" w:lineRule="auto"/>
        <w:rPr>
          <w:rFonts w:ascii="Arial" w:cs="Arial" w:eastAsia="Arial" w:hAnsi="Arial"/>
          <w:sz w:val="18"/>
          <w:szCs w:val="18"/>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41" w:lineRule="exact"/>
        <w:rPr>
          <w:sz w:val="20"/>
          <w:szCs w:val="20"/>
          <w:color w:val="auto"/>
        </w:rPr>
      </w:pPr>
    </w:p>
    <w:p>
      <w:pPr>
        <w:ind w:left="1140" w:right="40"/>
        <w:spacing w:after="0" w:line="277"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79" w:lineRule="exact"/>
        <w:rPr>
          <w:rFonts w:ascii="Arial" w:cs="Arial" w:eastAsia="Arial" w:hAnsi="Arial"/>
          <w:sz w:val="18"/>
          <w:szCs w:val="18"/>
          <w:color w:val="auto"/>
        </w:rPr>
      </w:pPr>
    </w:p>
    <w:p>
      <w:pPr>
        <w:ind w:left="1140" w:right="500"/>
        <w:spacing w:after="0" w:line="288" w:lineRule="auto"/>
        <w:rPr>
          <w:rFonts w:ascii="Arial" w:cs="Arial" w:eastAsia="Arial" w:hAnsi="Arial"/>
          <w:sz w:val="18"/>
          <w:szCs w:val="18"/>
          <w:color w:val="auto"/>
        </w:rPr>
      </w:pPr>
      <w:r>
        <w:rPr>
          <w:rFonts w:ascii="Arial" w:cs="Arial" w:eastAsia="Arial" w:hAnsi="Arial"/>
          <w:sz w:val="16"/>
          <w:szCs w:val="16"/>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2006, 2005 and 2004 Credicorp has no financial instruments with dilutive effects.</w:t>
      </w:r>
    </w:p>
    <w:p>
      <w:pPr>
        <w:ind w:left="1140"/>
        <w:spacing w:after="0"/>
        <w:rPr>
          <w:rFonts w:ascii="Arial" w:cs="Arial" w:eastAsia="Arial" w:hAnsi="Arial"/>
          <w:sz w:val="18"/>
          <w:szCs w:val="18"/>
          <w:color w:val="auto"/>
        </w:rPr>
      </w:pPr>
      <w:r>
        <w:rPr>
          <w:rFonts w:ascii="Arial" w:cs="Arial" w:eastAsia="Arial" w:hAnsi="Arial"/>
          <w:sz w:val="18"/>
          <w:szCs w:val="18"/>
          <w:color w:val="auto"/>
        </w:rPr>
        <w:t>Therefore, basic and diluted earnings per share are the same for all years presented.</w:t>
      </w:r>
    </w:p>
    <w:p>
      <w:pPr>
        <w:spacing w:after="0" w:line="264" w:lineRule="exact"/>
        <w:rPr>
          <w:rFonts w:ascii="Arial" w:cs="Arial" w:eastAsia="Arial" w:hAnsi="Arial"/>
          <w:sz w:val="18"/>
          <w:szCs w:val="18"/>
          <w:color w:val="auto"/>
        </w:rPr>
      </w:pPr>
    </w:p>
    <w:p>
      <w:pPr>
        <w:ind w:left="1140" w:hanging="484"/>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79" w:lineRule="exact"/>
        <w:rPr>
          <w:rFonts w:ascii="Arial" w:cs="Arial" w:eastAsia="Arial" w:hAnsi="Arial"/>
          <w:sz w:val="18"/>
          <w:szCs w:val="18"/>
          <w:color w:val="auto"/>
        </w:rPr>
      </w:pPr>
    </w:p>
    <w:p>
      <w:pPr>
        <w:ind w:left="1140"/>
        <w:spacing w:after="0" w:line="257" w:lineRule="auto"/>
        <w:rPr>
          <w:rFonts w:ascii="Arial" w:cs="Arial" w:eastAsia="Arial" w:hAnsi="Arial"/>
          <w:sz w:val="18"/>
          <w:szCs w:val="18"/>
          <w:color w:val="auto"/>
        </w:rPr>
      </w:pPr>
      <w:r>
        <w:rPr>
          <w:rFonts w:ascii="Arial" w:cs="Arial" w:eastAsia="Arial" w:hAnsi="Arial"/>
          <w:sz w:val="18"/>
          <w:szCs w:val="18"/>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see note 19.</w:t>
      </w:r>
    </w:p>
    <w:p>
      <w:pPr>
        <w:spacing w:after="0" w:line="242" w:lineRule="exact"/>
        <w:rPr>
          <w:rFonts w:ascii="Arial" w:cs="Arial" w:eastAsia="Arial" w:hAnsi="Arial"/>
          <w:sz w:val="18"/>
          <w:szCs w:val="18"/>
          <w:color w:val="auto"/>
        </w:rPr>
      </w:pPr>
    </w:p>
    <w:p>
      <w:pPr>
        <w:jc w:val="both"/>
        <w:ind w:left="1140"/>
        <w:spacing w:after="0" w:line="312" w:lineRule="auto"/>
        <w:rPr>
          <w:rFonts w:ascii="Arial" w:cs="Arial" w:eastAsia="Arial" w:hAnsi="Arial"/>
          <w:sz w:val="18"/>
          <w:szCs w:val="18"/>
          <w:color w:val="auto"/>
        </w:rPr>
      </w:pPr>
      <w:r>
        <w:rPr>
          <w:rFonts w:ascii="Arial" w:cs="Arial" w:eastAsia="Arial" w:hAnsi="Arial"/>
          <w:sz w:val="16"/>
          <w:szCs w:val="16"/>
          <w:color w:val="auto"/>
        </w:rPr>
        <w:t>The recorded expense in each year for these participations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200" w:lineRule="exact"/>
        <w:rPr>
          <w:rFonts w:ascii="Arial" w:cs="Arial" w:eastAsia="Arial" w:hAnsi="Arial"/>
          <w:sz w:val="18"/>
          <w:szCs w:val="18"/>
          <w:color w:val="auto"/>
        </w:rPr>
      </w:pPr>
    </w:p>
    <w:p>
      <w:pPr>
        <w:ind w:left="1140" w:right="7840" w:hanging="484"/>
        <w:spacing w:after="0" w:line="563"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Derivative financial instruments - Trading -</w:t>
      </w:r>
    </w:p>
    <w:p>
      <w:pPr>
        <w:spacing w:after="0" w:line="1" w:lineRule="exact"/>
        <w:rPr>
          <w:rFonts w:ascii="Arial" w:cs="Arial" w:eastAsia="Arial" w:hAnsi="Arial"/>
          <w:sz w:val="18"/>
          <w:szCs w:val="18"/>
          <w:color w:val="auto"/>
        </w:rPr>
      </w:pPr>
    </w:p>
    <w:p>
      <w:pPr>
        <w:ind w:left="1140" w:right="180"/>
        <w:spacing w:after="0" w:line="277" w:lineRule="auto"/>
        <w:rPr>
          <w:rFonts w:ascii="Arial" w:cs="Arial" w:eastAsia="Arial" w:hAnsi="Arial"/>
          <w:sz w:val="18"/>
          <w:szCs w:val="18"/>
          <w:color w:val="auto"/>
        </w:rPr>
      </w:pPr>
      <w:r>
        <w:rPr>
          <w:rFonts w:ascii="Arial" w:cs="Arial" w:eastAsia="Arial" w:hAnsi="Arial"/>
          <w:sz w:val="18"/>
          <w:szCs w:val="18"/>
          <w:color w:val="auto"/>
        </w:rPr>
        <w:t>Most transactions with derivatives, while providing effective economic hedges under Group’s risk management positions, do not qualify for hedge accounting under the specific rules of IAS 39 and are therefore treated as trading derivatives.</w:t>
      </w:r>
    </w:p>
    <w:p>
      <w:pPr>
        <w:spacing w:after="0" w:line="224" w:lineRule="exact"/>
        <w:rPr>
          <w:rFonts w:ascii="Arial" w:cs="Arial" w:eastAsia="Arial" w:hAnsi="Arial"/>
          <w:sz w:val="18"/>
          <w:szCs w:val="18"/>
          <w:color w:val="auto"/>
        </w:rPr>
      </w:pPr>
    </w:p>
    <w:p>
      <w:pPr>
        <w:ind w:left="1140" w:right="2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4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 -</w:t>
      </w:r>
    </w:p>
    <w:p>
      <w:pPr>
        <w:spacing w:after="0" w:line="279" w:lineRule="exact"/>
        <w:rPr>
          <w:rFonts w:ascii="Arial" w:cs="Arial" w:eastAsia="Arial" w:hAnsi="Arial"/>
          <w:sz w:val="18"/>
          <w:szCs w:val="18"/>
          <w:color w:val="auto"/>
        </w:rPr>
      </w:pPr>
    </w:p>
    <w:p>
      <w:pPr>
        <w:jc w:val="both"/>
        <w:ind w:left="1140" w:right="300"/>
        <w:spacing w:after="0" w:line="264" w:lineRule="auto"/>
        <w:rPr>
          <w:rFonts w:ascii="Arial" w:cs="Arial" w:eastAsia="Arial" w:hAnsi="Arial"/>
          <w:sz w:val="18"/>
          <w:szCs w:val="18"/>
          <w:color w:val="auto"/>
        </w:rPr>
      </w:pPr>
      <w:r>
        <w:rPr>
          <w:rFonts w:ascii="Arial" w:cs="Arial" w:eastAsia="Arial" w:hAnsi="Arial"/>
          <w:sz w:val="18"/>
          <w:szCs w:val="18"/>
          <w:color w:val="auto"/>
        </w:rPr>
        <w:t>To qualify as a hedge, a derivative must be highly effective in offsetting the risk designated as being hedged. The Group documents, at the inception of the transaction, the relationship between hedging instruments and hedged items, as well as its risk management objective and strategy for undertaking the hedge transactions.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60"/>
        <w:spacing w:after="0" w:line="279" w:lineRule="auto"/>
        <w:rPr>
          <w:sz w:val="20"/>
          <w:szCs w:val="20"/>
          <w:color w:val="auto"/>
        </w:rPr>
      </w:pPr>
      <w:r>
        <w:rPr>
          <w:rFonts w:ascii="Arial" w:cs="Arial" w:eastAsia="Arial" w:hAnsi="Arial"/>
          <w:sz w:val="17"/>
          <w:szCs w:val="17"/>
          <w:color w:val="auto"/>
        </w:rPr>
        <w:t>The Group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225" w:lineRule="exact"/>
        <w:rPr>
          <w:sz w:val="20"/>
          <w:szCs w:val="20"/>
          <w:color w:val="auto"/>
        </w:rPr>
      </w:pPr>
    </w:p>
    <w:p>
      <w:pPr>
        <w:ind w:left="1140" w:right="80"/>
        <w:spacing w:after="0" w:line="279" w:lineRule="auto"/>
        <w:rPr>
          <w:sz w:val="20"/>
          <w:szCs w:val="20"/>
          <w:color w:val="auto"/>
        </w:rPr>
      </w:pPr>
      <w:r>
        <w:rPr>
          <w:rFonts w:ascii="Arial" w:cs="Arial" w:eastAsia="Arial" w:hAnsi="Arial"/>
          <w:sz w:val="17"/>
          <w:szCs w:val="17"/>
          <w:color w:val="auto"/>
        </w:rPr>
        <w:t>As of December 31, 2006, the Group has only one derivative that qualifies for hedge purposes, see note 20(d), which is an interest rate swap, classified as a cash flow hedge. The effective portion of changes in the fair value of this derivative is recognized in equity, the gain or loss relating to the ineffective portion is recognized immediately in the consolidated income statements. Amounts accumulated in equity are recycled to the income statement in the periods in which the hedged item affects profit or loss.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Embedded derivates -</w:t>
      </w:r>
    </w:p>
    <w:p>
      <w:pPr>
        <w:spacing w:after="0" w:line="23" w:lineRule="exact"/>
        <w:rPr>
          <w:sz w:val="20"/>
          <w:szCs w:val="20"/>
          <w:color w:val="auto"/>
        </w:rPr>
      </w:pPr>
    </w:p>
    <w:p>
      <w:pPr>
        <w:ind w:left="1140" w:right="140"/>
        <w:spacing w:after="0" w:line="254" w:lineRule="auto"/>
        <w:rPr>
          <w:sz w:val="20"/>
          <w:szCs w:val="20"/>
          <w:color w:val="auto"/>
        </w:rPr>
      </w:pPr>
      <w:r>
        <w:rPr>
          <w:rFonts w:ascii="Arial" w:cs="Arial" w:eastAsia="Arial" w:hAnsi="Arial"/>
          <w:sz w:val="18"/>
          <w:szCs w:val="18"/>
          <w:color w:val="auto"/>
        </w:rPr>
        <w:t>On 2006, the Group has acquired certificates indexed to its shares price that will be settled off in cash, note 11(c). These instruments have been classified by the Group as a “financial asset at fair value though profit or loss”, because they reduce the liability exposure for the stock appreciation rights granted to the workers. These instruments have been accounted at their fair value and are presented in the caption “Other assets” of the consolidated balance sheets.</w:t>
      </w:r>
    </w:p>
    <w:p>
      <w:pPr>
        <w:spacing w:after="0" w:line="244" w:lineRule="exact"/>
        <w:rPr>
          <w:sz w:val="20"/>
          <w:szCs w:val="20"/>
          <w:color w:val="auto"/>
        </w:rPr>
      </w:pPr>
    </w:p>
    <w:p>
      <w:pPr>
        <w:ind w:left="1140" w:hanging="484"/>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79" w:lineRule="exact"/>
        <w:rPr>
          <w:rFonts w:ascii="Arial" w:cs="Arial" w:eastAsia="Arial" w:hAnsi="Arial"/>
          <w:sz w:val="18"/>
          <w:szCs w:val="18"/>
          <w:color w:val="auto"/>
        </w:rPr>
      </w:pPr>
    </w:p>
    <w:p>
      <w:pPr>
        <w:ind w:left="1140" w:right="120"/>
        <w:spacing w:after="0" w:line="259" w:lineRule="auto"/>
        <w:rPr>
          <w:rFonts w:ascii="Arial" w:cs="Arial" w:eastAsia="Arial" w:hAnsi="Arial"/>
          <w:sz w:val="18"/>
          <w:szCs w:val="18"/>
          <w:color w:val="auto"/>
        </w:rPr>
      </w:pPr>
      <w:r>
        <w:rPr>
          <w:rFonts w:ascii="Arial" w:cs="Arial" w:eastAsia="Arial" w:hAnsi="Arial"/>
          <w:sz w:val="18"/>
          <w:szCs w:val="18"/>
          <w:color w:val="auto"/>
        </w:rPr>
        <w:t>The Group considers business segment as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25.</w:t>
      </w:r>
    </w:p>
    <w:p>
      <w:pPr>
        <w:spacing w:after="0" w:line="240" w:lineRule="exact"/>
        <w:rPr>
          <w:rFonts w:ascii="Arial" w:cs="Arial" w:eastAsia="Arial" w:hAnsi="Arial"/>
          <w:sz w:val="18"/>
          <w:szCs w:val="18"/>
          <w:color w:val="auto"/>
        </w:rPr>
      </w:pPr>
    </w:p>
    <w:p>
      <w:pPr>
        <w:ind w:left="1140" w:hanging="484"/>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Fiduciary activities, management of investment and pension funds -</w:t>
      </w:r>
    </w:p>
    <w:p>
      <w:pPr>
        <w:spacing w:after="0" w:line="279" w:lineRule="exact"/>
        <w:rPr>
          <w:rFonts w:ascii="Arial" w:cs="Arial" w:eastAsia="Arial" w:hAnsi="Arial"/>
          <w:sz w:val="18"/>
          <w:szCs w:val="18"/>
          <w:color w:val="auto"/>
        </w:rPr>
      </w:pPr>
    </w:p>
    <w:p>
      <w:pPr>
        <w:jc w:val="both"/>
        <w:ind w:left="1140"/>
        <w:spacing w:after="0" w:line="381" w:lineRule="auto"/>
        <w:rPr>
          <w:rFonts w:ascii="Arial" w:cs="Arial" w:eastAsia="Arial" w:hAnsi="Arial"/>
          <w:sz w:val="18"/>
          <w:szCs w:val="18"/>
          <w:color w:val="auto"/>
        </w:rPr>
      </w:pPr>
      <w:r>
        <w:rPr>
          <w:rFonts w:ascii="Arial" w:cs="Arial" w:eastAsia="Arial" w:hAnsi="Arial"/>
          <w:sz w:val="15"/>
          <w:szCs w:val="15"/>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w:t>
      </w:r>
    </w:p>
    <w:p>
      <w:pPr>
        <w:spacing w:after="0" w:line="154"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The commissions generated for these activities are included on the caption “Other income” in the consolidated income statements, note 26.</w:t>
      </w:r>
    </w:p>
    <w:p>
      <w:pPr>
        <w:spacing w:after="0" w:line="302" w:lineRule="exact"/>
        <w:rPr>
          <w:rFonts w:ascii="Arial" w:cs="Arial" w:eastAsia="Arial" w:hAnsi="Arial"/>
          <w:sz w:val="18"/>
          <w:szCs w:val="18"/>
          <w:color w:val="auto"/>
        </w:rPr>
      </w:pPr>
    </w:p>
    <w:p>
      <w:pPr>
        <w:ind w:left="1140" w:hanging="484"/>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79" w:lineRule="exact"/>
        <w:rPr>
          <w:sz w:val="20"/>
          <w:szCs w:val="20"/>
          <w:color w:val="auto"/>
        </w:rPr>
      </w:pPr>
    </w:p>
    <w:p>
      <w:pPr>
        <w:ind w:left="1140" w:right="20"/>
        <w:spacing w:after="0" w:line="264" w:lineRule="auto"/>
        <w:rPr>
          <w:sz w:val="20"/>
          <w:szCs w:val="20"/>
          <w:color w:val="auto"/>
        </w:rPr>
      </w:pPr>
      <w:r>
        <w:rPr>
          <w:rFonts w:ascii="Arial" w:cs="Arial" w:eastAsia="Arial" w:hAnsi="Arial"/>
          <w:sz w:val="18"/>
          <w:szCs w:val="18"/>
          <w:color w:val="auto"/>
        </w:rPr>
        <w:t>Securities sold subject to repurchase agreements (‘Repos’) are presented as pledged assets when the transferee has the right to sell or repledge the collateral; the counterparty liability is included in the caption “Due to banks and correspondents”, or “Deposits and obligations”, as appropriate, in the consolidated balance sheet.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The difference between sale and repurchase price is treated as interest and accrued over the life of the agreements using the effective interest method.</w:t>
      </w:r>
    </w:p>
    <w:p>
      <w:pPr>
        <w:spacing w:after="0" w:line="224" w:lineRule="exact"/>
        <w:rPr>
          <w:sz w:val="20"/>
          <w:szCs w:val="20"/>
          <w:color w:val="auto"/>
        </w:rPr>
      </w:pPr>
    </w:p>
    <w:p>
      <w:pPr>
        <w:ind w:left="1140" w:hanging="484"/>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Operations with reinsurers and coinsurers -</w:t>
      </w:r>
    </w:p>
    <w:p>
      <w:pPr>
        <w:spacing w:after="0" w:line="279" w:lineRule="exact"/>
        <w:rPr>
          <w:rFonts w:ascii="Arial" w:cs="Arial" w:eastAsia="Arial" w:hAnsi="Arial"/>
          <w:sz w:val="18"/>
          <w:szCs w:val="18"/>
          <w:color w:val="auto"/>
        </w:rPr>
      </w:pPr>
    </w:p>
    <w:p>
      <w:pPr>
        <w:ind w:left="1140" w:right="60"/>
        <w:spacing w:after="0" w:line="259" w:lineRule="auto"/>
        <w:rPr>
          <w:rFonts w:ascii="Arial" w:cs="Arial" w:eastAsia="Arial" w:hAnsi="Arial"/>
          <w:sz w:val="18"/>
          <w:szCs w:val="18"/>
          <w:color w:val="auto"/>
        </w:rPr>
      </w:pPr>
      <w:r>
        <w:rPr>
          <w:rFonts w:ascii="Arial" w:cs="Arial" w:eastAsia="Arial" w:hAnsi="Arial"/>
          <w:sz w:val="18"/>
          <w:szCs w:val="18"/>
          <w:color w:val="auto"/>
        </w:rPr>
        <w:t>During the normal course of business, PPS, a subsidiary of Credicorp, is dedicated to insurance activities and cedes reinsurance to other insurance and reinsurance companies to distribute the risks of its insurance contracts and to limit the potential losses that might arise from the coverages. PPS is ultimately responsible for the payment of benefit payments to the policy holders if the reinsurer is not capable of fulfilling said obligation.</w:t>
      </w:r>
    </w:p>
    <w:p>
      <w:pPr>
        <w:spacing w:after="0" w:line="240" w:lineRule="exact"/>
        <w:rPr>
          <w:rFonts w:ascii="Arial" w:cs="Arial" w:eastAsia="Arial" w:hAnsi="Arial"/>
          <w:sz w:val="18"/>
          <w:szCs w:val="18"/>
          <w:color w:val="auto"/>
        </w:rPr>
      </w:pPr>
    </w:p>
    <w:p>
      <w:pPr>
        <w:ind w:left="1140" w:right="100"/>
        <w:spacing w:after="0" w:line="264" w:lineRule="auto"/>
        <w:rPr>
          <w:rFonts w:ascii="Arial" w:cs="Arial" w:eastAsia="Arial" w:hAnsi="Arial"/>
          <w:sz w:val="18"/>
          <w:szCs w:val="18"/>
          <w:color w:val="auto"/>
        </w:rPr>
      </w:pPr>
      <w:r>
        <w:rPr>
          <w:rFonts w:ascii="Arial" w:cs="Arial" w:eastAsia="Arial" w:hAnsi="Arial"/>
          <w:sz w:val="18"/>
          <w:szCs w:val="18"/>
          <w:color w:val="auto"/>
        </w:rPr>
        <w:t>The reinsurance and coinsurance include quota share of the excess of loss and facultative (voluntary) types of contracts. The amounts recoverable from the reinsurers and coinsurers are estimated in a manner consistent with the liabilities of the related claims and are presented as a component of reinsured and coinsured assets.</w:t>
      </w:r>
    </w:p>
    <w:p>
      <w:pPr>
        <w:spacing w:after="0" w:line="235" w:lineRule="exact"/>
        <w:rPr>
          <w:rFonts w:ascii="Arial" w:cs="Arial" w:eastAsia="Arial" w:hAnsi="Arial"/>
          <w:sz w:val="18"/>
          <w:szCs w:val="18"/>
          <w:color w:val="auto"/>
        </w:rPr>
      </w:pPr>
    </w:p>
    <w:p>
      <w:pPr>
        <w:ind w:left="1140" w:right="40"/>
        <w:spacing w:after="0" w:line="264" w:lineRule="auto"/>
        <w:rPr>
          <w:rFonts w:ascii="Arial" w:cs="Arial" w:eastAsia="Arial" w:hAnsi="Arial"/>
          <w:sz w:val="18"/>
          <w:szCs w:val="18"/>
          <w:color w:val="auto"/>
        </w:rPr>
      </w:pPr>
      <w:r>
        <w:rPr>
          <w:rFonts w:ascii="Arial" w:cs="Arial" w:eastAsia="Arial" w:hAnsi="Arial"/>
          <w:sz w:val="18"/>
          <w:szCs w:val="18"/>
          <w:color w:val="auto"/>
        </w:rPr>
        <w:t>The accounts receivable from reinsurers and coinsurers originate from the incurred claims in which PPS assumes the responsibility for the indemnity in favor of the policyholder for the ceded reinsurance and coinsurance contracts; these accounts receivable are recognized based on contracts or coverage notes (with reinsurers) and clauses of coinsurance.</w:t>
      </w:r>
    </w:p>
    <w:p>
      <w:pPr>
        <w:spacing w:after="0" w:line="235" w:lineRule="exact"/>
        <w:rPr>
          <w:rFonts w:ascii="Arial" w:cs="Arial" w:eastAsia="Arial" w:hAnsi="Arial"/>
          <w:sz w:val="18"/>
          <w:szCs w:val="18"/>
          <w:color w:val="auto"/>
        </w:rPr>
      </w:pPr>
    </w:p>
    <w:p>
      <w:pPr>
        <w:ind w:left="1140" w:right="560"/>
        <w:spacing w:after="0" w:line="308" w:lineRule="auto"/>
        <w:rPr>
          <w:rFonts w:ascii="Arial" w:cs="Arial" w:eastAsia="Arial" w:hAnsi="Arial"/>
          <w:sz w:val="18"/>
          <w:szCs w:val="18"/>
          <w:color w:val="auto"/>
        </w:rPr>
      </w:pPr>
      <w:r>
        <w:rPr>
          <w:rFonts w:ascii="Arial" w:cs="Arial" w:eastAsia="Arial" w:hAnsi="Arial"/>
          <w:sz w:val="17"/>
          <w:szCs w:val="17"/>
          <w:color w:val="auto"/>
        </w:rPr>
        <w:t>The allowance for bad debt for accounts receivable from reinsurance and coinsurance contracts is determined on the basis of a specific evaluation of the claims liquidated and paid by PPS that are pending reimbursement from the reinsurers and coinsurers.</w:t>
      </w:r>
    </w:p>
    <w:p>
      <w:pPr>
        <w:spacing w:after="0" w:line="200" w:lineRule="exact"/>
        <w:rPr>
          <w:rFonts w:ascii="Arial" w:cs="Arial" w:eastAsia="Arial" w:hAnsi="Arial"/>
          <w:sz w:val="18"/>
          <w:szCs w:val="18"/>
          <w:color w:val="auto"/>
        </w:rPr>
      </w:pPr>
    </w:p>
    <w:p>
      <w:pPr>
        <w:ind w:left="1140" w:right="120"/>
        <w:spacing w:after="0" w:line="264" w:lineRule="auto"/>
        <w:rPr>
          <w:rFonts w:ascii="Arial" w:cs="Arial" w:eastAsia="Arial" w:hAnsi="Arial"/>
          <w:sz w:val="18"/>
          <w:szCs w:val="18"/>
          <w:color w:val="auto"/>
        </w:rPr>
      </w:pPr>
      <w:r>
        <w:rPr>
          <w:rFonts w:ascii="Arial" w:cs="Arial" w:eastAsia="Arial" w:hAnsi="Arial"/>
          <w:sz w:val="18"/>
          <w:szCs w:val="18"/>
          <w:color w:val="auto"/>
        </w:rPr>
        <w:t>The accounts payable to reinsurers and coinsurers are based on the evaluation of the assumed risk, which is determined by PPS (reinsurance) and also includes the policyholder’s consent; and are based on contracts or notes of coverage with the reinsurer and/or clauses of ceded coinsurance.</w:t>
      </w:r>
    </w:p>
    <w:p>
      <w:pPr>
        <w:spacing w:after="0" w:line="235" w:lineRule="exact"/>
        <w:rPr>
          <w:rFonts w:ascii="Arial" w:cs="Arial" w:eastAsia="Arial" w:hAnsi="Arial"/>
          <w:sz w:val="18"/>
          <w:szCs w:val="18"/>
          <w:color w:val="auto"/>
        </w:rPr>
      </w:pPr>
    </w:p>
    <w:p>
      <w:pPr>
        <w:ind w:left="1140" w:right="180"/>
        <w:spacing w:after="0" w:line="277" w:lineRule="auto"/>
        <w:rPr>
          <w:rFonts w:ascii="Arial" w:cs="Arial" w:eastAsia="Arial" w:hAnsi="Arial"/>
          <w:sz w:val="18"/>
          <w:szCs w:val="18"/>
          <w:color w:val="auto"/>
        </w:rPr>
      </w:pPr>
      <w:r>
        <w:rPr>
          <w:rFonts w:ascii="Arial" w:cs="Arial" w:eastAsia="Arial" w:hAnsi="Arial"/>
          <w:sz w:val="18"/>
          <w:szCs w:val="18"/>
          <w:color w:val="auto"/>
        </w:rPr>
        <w:t>Claims originating from accepted reinsurance contracts and executed clauses of coinsurance are recognized each time a note of collection is received from reinsurance companies.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Cash and cash equivalents -</w:t>
      </w:r>
    </w:p>
    <w:p>
      <w:pPr>
        <w:spacing w:after="0" w:line="279" w:lineRule="exact"/>
        <w:rPr>
          <w:sz w:val="20"/>
          <w:szCs w:val="20"/>
          <w:color w:val="auto"/>
        </w:rPr>
      </w:pPr>
    </w:p>
    <w:p>
      <w:pPr>
        <w:ind w:left="1140"/>
        <w:spacing w:after="0" w:line="308" w:lineRule="auto"/>
        <w:rPr>
          <w:sz w:val="20"/>
          <w:szCs w:val="20"/>
          <w:color w:val="auto"/>
        </w:rPr>
      </w:pPr>
      <w:r>
        <w:rPr>
          <w:rFonts w:ascii="Arial" w:cs="Arial" w:eastAsia="Arial" w:hAnsi="Arial"/>
          <w:sz w:val="17"/>
          <w:szCs w:val="17"/>
          <w:color w:val="auto"/>
        </w:rPr>
        <w:t>For the purposes of the consolidated cash flow statement, cash and cash equivalents comprise balances of less than three months from the date of acquisition, including cash and balances with central banks, overnight deposits and amounts due from banks.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Reclassifications -</w:t>
      </w:r>
    </w:p>
    <w:p>
      <w:pPr>
        <w:spacing w:after="0" w:line="279" w:lineRule="exact"/>
        <w:rPr>
          <w:rFonts w:ascii="Arial" w:cs="Arial" w:eastAsia="Arial" w:hAnsi="Arial"/>
          <w:sz w:val="18"/>
          <w:szCs w:val="18"/>
          <w:color w:val="auto"/>
        </w:rPr>
      </w:pPr>
    </w:p>
    <w:p>
      <w:pPr>
        <w:ind w:left="1140" w:right="100"/>
        <w:spacing w:after="0" w:line="277" w:lineRule="auto"/>
        <w:rPr>
          <w:rFonts w:ascii="Arial" w:cs="Arial" w:eastAsia="Arial" w:hAnsi="Arial"/>
          <w:sz w:val="18"/>
          <w:szCs w:val="18"/>
          <w:color w:val="auto"/>
        </w:rPr>
      </w:pPr>
      <w:r>
        <w:rPr>
          <w:rFonts w:ascii="Arial" w:cs="Arial" w:eastAsia="Arial" w:hAnsi="Arial"/>
          <w:sz w:val="18"/>
          <w:szCs w:val="18"/>
          <w:color w:val="auto"/>
        </w:rPr>
        <w:t>When it is necessary, the comparative figures have been reclassified to conform with the current year presentation. The main reclassifications to the report as of December 31, 2006 are the following:</w:t>
      </w:r>
    </w:p>
    <w:p>
      <w:pPr>
        <w:spacing w:after="0" w:line="224" w:lineRule="exact"/>
        <w:rPr>
          <w:rFonts w:ascii="Arial" w:cs="Arial" w:eastAsia="Arial" w:hAnsi="Arial"/>
          <w:sz w:val="18"/>
          <w:szCs w:val="18"/>
          <w:color w:val="auto"/>
        </w:rPr>
      </w:pPr>
    </w:p>
    <w:p>
      <w:pPr>
        <w:ind w:left="1460" w:right="140" w:hanging="318"/>
        <w:spacing w:after="0" w:line="264" w:lineRule="auto"/>
        <w:tabs>
          <w:tab w:leader="none" w:pos="14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At December 31, 2005, the intangibles assets and goodwill were shown as part of the caption “Other assets” on the consolidated balance sheet. As of December 31, 2006, these concepts are shown separately of the caption “Other assets” due to the increase of the balances, due to the purchase of AFP Unión Vida S.A., note 2(a).</w:t>
      </w:r>
    </w:p>
    <w:p>
      <w:pPr>
        <w:spacing w:after="0" w:line="235" w:lineRule="exact"/>
        <w:rPr>
          <w:rFonts w:ascii="Arial" w:cs="Arial" w:eastAsia="Arial" w:hAnsi="Arial"/>
          <w:sz w:val="18"/>
          <w:szCs w:val="18"/>
          <w:color w:val="auto"/>
        </w:rPr>
      </w:pPr>
    </w:p>
    <w:p>
      <w:pPr>
        <w:ind w:left="1460" w:right="180" w:hanging="318"/>
        <w:spacing w:after="0" w:line="264" w:lineRule="auto"/>
        <w:tabs>
          <w:tab w:leader="none" w:pos="14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At December 31, 2005, the borrowed fund were presented in the consolidated balance sheet together with due to banks and correspondents. Since 2006, these concepts have been shown separately for a better presentation of the long term borrowed funds of the Group.</w:t>
      </w: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Management considers that these reclassifications result in a better presentation of the Group activities.</w:t>
      </w:r>
    </w:p>
    <w:p>
      <w:pPr>
        <w:spacing w:after="0" w:line="27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(ab)</w:t>
        <w:tab/>
        <w:t>Recently issued International Financial Reporting Standards but not yet effective -</w:t>
      </w:r>
    </w:p>
    <w:p>
      <w:pPr>
        <w:spacing w:after="0" w:line="283" w:lineRule="exact"/>
        <w:rPr>
          <w:sz w:val="20"/>
          <w:szCs w:val="20"/>
          <w:color w:val="auto"/>
        </w:rPr>
      </w:pPr>
    </w:p>
    <w:p>
      <w:pPr>
        <w:ind w:left="1140" w:right="80"/>
        <w:spacing w:after="0" w:line="251" w:lineRule="auto"/>
        <w:rPr>
          <w:sz w:val="20"/>
          <w:szCs w:val="20"/>
          <w:color w:val="auto"/>
        </w:rPr>
      </w:pPr>
      <w:r>
        <w:rPr>
          <w:rFonts w:ascii="Arial" w:cs="Arial" w:eastAsia="Arial" w:hAnsi="Arial"/>
          <w:sz w:val="16"/>
          <w:szCs w:val="16"/>
          <w:color w:val="auto"/>
        </w:rPr>
        <w:t>The Group has chosen not to early adopt the IFRS 7 - Financial Instruments - Disclosures, effective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 2007. The objective of this IFRS is to provide disclosures in the financial statements that enable users to evaluate the significance of financial instruments for the entity’s financial position and performance; to understand the nature and extent of risk arising from financial instruments to which the entity is</w:t>
      </w:r>
    </w:p>
    <w:p>
      <w:pPr>
        <w:spacing w:after="0" w:line="2" w:lineRule="exact"/>
        <w:rPr>
          <w:sz w:val="20"/>
          <w:szCs w:val="20"/>
          <w:color w:val="auto"/>
        </w:rPr>
      </w:pPr>
    </w:p>
    <w:p>
      <w:pPr>
        <w:ind w:left="1140" w:right="360"/>
        <w:spacing w:after="0" w:line="217" w:lineRule="auto"/>
        <w:rPr>
          <w:sz w:val="20"/>
          <w:szCs w:val="20"/>
          <w:color w:val="auto"/>
        </w:rPr>
      </w:pPr>
      <w:r>
        <w:rPr>
          <w:rFonts w:ascii="Arial" w:cs="Arial" w:eastAsia="Arial" w:hAnsi="Arial"/>
          <w:sz w:val="18"/>
          <w:szCs w:val="18"/>
          <w:color w:val="auto"/>
        </w:rPr>
        <w:t>exposed and how the entity manages those risks. The Group will adopt this standard on 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2007. Because this standard does not modify any criteria of recognition or measurement, it will not have any effect on the net income and the equity of Credicorp and its Subsidiaries.</w:t>
      </w:r>
    </w:p>
    <w:p>
      <w:pPr>
        <w:spacing w:after="0" w:line="258"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Also, the Group has decided not adopted the following standards and interpretations that have been issued but not have been effective as December 31, 2006.</w:t>
      </w:r>
    </w:p>
    <w:p>
      <w:pPr>
        <w:spacing w:after="0" w:line="204" w:lineRule="exact"/>
        <w:rPr>
          <w:sz w:val="20"/>
          <w:szCs w:val="20"/>
          <w:color w:val="auto"/>
        </w:rPr>
      </w:pPr>
    </w:p>
    <w:p>
      <w:pPr>
        <w:ind w:left="1460" w:hanging="318"/>
        <w:spacing w:after="0"/>
        <w:tabs>
          <w:tab w:leader="none" w:pos="146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IFRS 8, Operating Segments (effective for accounting periods beginning on or after 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2009).</w:t>
      </w:r>
    </w:p>
    <w:p>
      <w:pPr>
        <w:spacing w:after="0" w:line="149" w:lineRule="exact"/>
        <w:rPr>
          <w:rFonts w:ascii="Arial" w:cs="Arial" w:eastAsia="Arial" w:hAnsi="Arial"/>
          <w:sz w:val="36"/>
          <w:szCs w:val="36"/>
          <w:color w:val="auto"/>
          <w:vertAlign w:val="superscript"/>
        </w:rPr>
      </w:pPr>
    </w:p>
    <w:p>
      <w:pPr>
        <w:ind w:left="1460" w:hanging="318"/>
        <w:spacing w:after="0"/>
        <w:tabs>
          <w:tab w:leader="none" w:pos="1460" w:val="left"/>
        </w:tabs>
        <w:numPr>
          <w:ilvl w:val="0"/>
          <w:numId w:val="142"/>
        </w:numPr>
        <w:rPr>
          <w:rFonts w:ascii="Arial" w:cs="Arial" w:eastAsia="Arial" w:hAnsi="Arial"/>
          <w:sz w:val="34"/>
          <w:szCs w:val="34"/>
          <w:color w:val="auto"/>
          <w:vertAlign w:val="superscript"/>
        </w:rPr>
      </w:pPr>
      <w:r>
        <w:rPr>
          <w:rFonts w:ascii="Arial" w:cs="Arial" w:eastAsia="Arial" w:hAnsi="Arial"/>
          <w:sz w:val="17"/>
          <w:szCs w:val="17"/>
          <w:color w:val="auto"/>
        </w:rPr>
        <w:t>IFRIC 7, Applying the Restatement Approach under IAS 29 (effective for annual periods beginning on or after March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 2006).</w:t>
      </w:r>
    </w:p>
    <w:p>
      <w:pPr>
        <w:spacing w:after="0" w:line="126" w:lineRule="exact"/>
        <w:rPr>
          <w:rFonts w:ascii="Arial" w:cs="Arial" w:eastAsia="Arial" w:hAnsi="Arial"/>
          <w:sz w:val="34"/>
          <w:szCs w:val="34"/>
          <w:color w:val="auto"/>
          <w:vertAlign w:val="superscript"/>
        </w:rPr>
      </w:pPr>
    </w:p>
    <w:p>
      <w:pPr>
        <w:ind w:left="1460" w:hanging="318"/>
        <w:spacing w:after="0"/>
        <w:tabs>
          <w:tab w:leader="none" w:pos="146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IFRIC 8, Scope of IFRS 2 (effective for annual periods beginning on or after May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2006).</w:t>
      </w:r>
    </w:p>
    <w:p>
      <w:pPr>
        <w:spacing w:after="0" w:line="126" w:lineRule="exact"/>
        <w:rPr>
          <w:rFonts w:ascii="Arial" w:cs="Arial" w:eastAsia="Arial" w:hAnsi="Arial"/>
          <w:sz w:val="36"/>
          <w:szCs w:val="36"/>
          <w:color w:val="auto"/>
          <w:vertAlign w:val="superscript"/>
        </w:rPr>
      </w:pPr>
    </w:p>
    <w:p>
      <w:pPr>
        <w:ind w:left="1460" w:hanging="318"/>
        <w:spacing w:after="0"/>
        <w:tabs>
          <w:tab w:leader="none" w:pos="146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IFRIC 9, Reassessment of Embedded Derivatives (effective for annual periods beginning on or after June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2006).</w:t>
      </w:r>
    </w:p>
    <w:p>
      <w:pPr>
        <w:spacing w:after="0" w:line="149" w:lineRule="exact"/>
        <w:rPr>
          <w:rFonts w:ascii="Arial" w:cs="Arial" w:eastAsia="Arial" w:hAnsi="Arial"/>
          <w:sz w:val="36"/>
          <w:szCs w:val="36"/>
          <w:color w:val="auto"/>
          <w:vertAlign w:val="superscript"/>
        </w:rPr>
      </w:pPr>
    </w:p>
    <w:p>
      <w:pPr>
        <w:jc w:val="both"/>
        <w:ind w:left="1140" w:right="680" w:firstLine="2"/>
        <w:spacing w:after="0" w:line="454" w:lineRule="auto"/>
        <w:tabs>
          <w:tab w:leader="none" w:pos="1464" w:val="left"/>
        </w:tabs>
        <w:numPr>
          <w:ilvl w:val="0"/>
          <w:numId w:val="142"/>
        </w:numPr>
        <w:rPr>
          <w:rFonts w:ascii="Arial" w:cs="Arial" w:eastAsia="Arial" w:hAnsi="Arial"/>
          <w:sz w:val="31"/>
          <w:szCs w:val="31"/>
          <w:color w:val="auto"/>
          <w:vertAlign w:val="superscript"/>
        </w:rPr>
      </w:pPr>
      <w:r>
        <w:rPr>
          <w:rFonts w:ascii="Arial" w:cs="Arial" w:eastAsia="Arial" w:hAnsi="Arial"/>
          <w:sz w:val="16"/>
          <w:szCs w:val="16"/>
          <w:color w:val="auto"/>
        </w:rPr>
        <w:t>IFRIC 11 and IFRS 2 - Group Treasury Share Transactions (effective for annual periods beginning on or after March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 2007). The Group is in process of assessing the impact, if any, that the application of these standards may have on their financial statements.</w:t>
      </w: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due from banks</w:t>
      </w:r>
    </w:p>
    <w:p>
      <w:pPr>
        <w:spacing w:after="0" w:line="283"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470,584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361,490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380" w:type="dxa"/>
            <w:vAlign w:val="bottom"/>
          </w:tcPr>
          <w:p>
            <w:pPr>
              <w:jc w:val="right"/>
              <w:spacing w:after="0"/>
              <w:rPr>
                <w:sz w:val="20"/>
                <w:szCs w:val="20"/>
                <w:color w:val="auto"/>
              </w:rPr>
            </w:pPr>
            <w:r>
              <w:rPr>
                <w:rFonts w:ascii="Arial" w:cs="Arial" w:eastAsia="Arial" w:hAnsi="Arial"/>
                <w:sz w:val="18"/>
                <w:szCs w:val="18"/>
                <w:color w:val="auto"/>
              </w:rPr>
              <w:t>1,405,853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1,599,153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853,203</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693,601</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2,729,640</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2,654,244</w:t>
            </w:r>
          </w:p>
        </w:tc>
        <w:tc>
          <w:tcPr>
            <w:tcW w:w="100" w:type="dxa"/>
            <w:vAlign w:val="bottom"/>
            <w:tcBorders>
              <w:top w:val="single" w:sz="8" w:color="CCFFCC"/>
            </w:tcBorders>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6,571</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2,733,530</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2,660,815</w:t>
            </w:r>
          </w:p>
        </w:tc>
        <w:tc>
          <w:tcPr>
            <w:tcW w:w="100" w:type="dxa"/>
            <w:vAlign w:val="bottom"/>
            <w:tcBorders>
              <w:top w:val="single" w:sz="8" w:color="CCFFCC"/>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0" w:hanging="484"/>
        <w:spacing w:after="0" w:line="272" w:lineRule="auto"/>
        <w:tabs>
          <w:tab w:leader="none" w:pos="11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 of December 31, 2006 and 2005, cash and due from banks balances include approximately US$1,675.1 and US$1,288.9 million, respectively, mainly from Banco de Crédito del Perú, which represent the legal reserve that the Peruvian banks must maintain for its obligations with the public. These funds are deposited in the vaults of the Bank and in the BCRP, and are within the limits established by prevailing legislation. In addition, as of December 31, 2006, the cash and due from banks caption includes US$70.0 million and S/120.0 (equivalent to US$37.5 million), corresponds to overnight operations deposited in the BCRP, these operations earned interest at a nominal rate of 4.97 percent and an effective rate of 3.75 percent and had a 4 day maturity (approximately US$450.0 million, interest at an annual nominal rate of 3.97 percent and 3 day maturity as of December 31, 2005).</w:t>
      </w:r>
    </w:p>
    <w:p>
      <w:pPr>
        <w:spacing w:after="0" w:line="232"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Reserve funds kept in BCRP do not earn interest, except for the part of the demandable reserve in foreign currency that exceeds the minimum legal reserve. As of December 31, 2006, this excess amounts to approximately US$1,068.9 million and earns interest in U.S. Dollars at an annual average rate of 2.67 percent (approximately US$975.8 million and earned interest in U.S. Dollars at an annual average rate of 2.25 percent as of December 31, 2005).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Trading securities</w:t>
      </w:r>
    </w:p>
    <w:p>
      <w:pPr>
        <w:spacing w:after="0" w:line="323" w:lineRule="exact"/>
        <w:rPr>
          <w:rFonts w:ascii="Arial" w:cs="Arial" w:eastAsia="Arial" w:hAnsi="Arial"/>
          <w:sz w:val="18"/>
          <w:szCs w:val="18"/>
          <w:b w:val="1"/>
          <w:bCs w:val="1"/>
          <w:color w:val="auto"/>
        </w:rPr>
      </w:pPr>
    </w:p>
    <w:p>
      <w:pPr>
        <w:ind w:left="720" w:hanging="226"/>
        <w:spacing w:after="0"/>
        <w:tabs>
          <w:tab w:leader="none" w:pos="7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Listed equity securities (b)</w:t>
            </w:r>
          </w:p>
        </w:tc>
        <w:tc>
          <w:tcPr>
            <w:tcW w:w="1380" w:type="dxa"/>
            <w:vAlign w:val="bottom"/>
          </w:tcPr>
          <w:p>
            <w:pPr>
              <w:jc w:val="right"/>
              <w:spacing w:after="0"/>
              <w:rPr>
                <w:sz w:val="20"/>
                <w:szCs w:val="20"/>
                <w:color w:val="auto"/>
              </w:rPr>
            </w:pPr>
            <w:r>
              <w:rPr>
                <w:rFonts w:ascii="Arial" w:cs="Arial" w:eastAsia="Arial" w:hAnsi="Arial"/>
                <w:sz w:val="18"/>
                <w:szCs w:val="18"/>
                <w:color w:val="auto"/>
              </w:rPr>
              <w:t>34,692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45,487</w:t>
            </w:r>
          </w:p>
        </w:tc>
      </w:tr>
      <w:tr>
        <w:trPr>
          <w:trHeight w:val="237"/>
        </w:trPr>
        <w:tc>
          <w:tcPr>
            <w:tcW w:w="8340" w:type="dxa"/>
            <w:vAlign w:val="bottom"/>
          </w:tcPr>
          <w:p>
            <w:pPr>
              <w:spacing w:after="0"/>
              <w:rPr>
                <w:sz w:val="20"/>
                <w:szCs w:val="20"/>
                <w:color w:val="auto"/>
              </w:rPr>
            </w:pPr>
            <w:r>
              <w:rPr>
                <w:rFonts w:ascii="Arial" w:cs="Arial" w:eastAsia="Arial" w:hAnsi="Arial"/>
                <w:sz w:val="18"/>
                <w:szCs w:val="18"/>
                <w:b w:val="1"/>
                <w:bCs w:val="1"/>
                <w:color w:val="auto"/>
              </w:rPr>
              <w:t>Bonds and similar instruments -</w:t>
            </w: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Participation in mutual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Corporate and leasing bonds</w:t>
            </w:r>
          </w:p>
        </w:tc>
        <w:tc>
          <w:tcPr>
            <w:tcW w:w="1380" w:type="dxa"/>
            <w:vAlign w:val="bottom"/>
          </w:tcPr>
          <w:p>
            <w:pPr>
              <w:jc w:val="right"/>
              <w:spacing w:after="0"/>
              <w:rPr>
                <w:sz w:val="20"/>
                <w:szCs w:val="20"/>
                <w:color w:val="auto"/>
              </w:rPr>
            </w:pPr>
            <w:r>
              <w:rPr>
                <w:rFonts w:ascii="Arial" w:cs="Arial" w:eastAsia="Arial" w:hAnsi="Arial"/>
                <w:sz w:val="18"/>
                <w:szCs w:val="18"/>
                <w:color w:val="auto"/>
              </w:rPr>
              <w:t>2,260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8,442</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Peruvian treasury bonds (c)</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r>
      <w:tr>
        <w:trPr>
          <w:trHeight w:val="264"/>
        </w:trPr>
        <w:tc>
          <w:tcPr>
            <w:tcW w:w="834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Borders>
              <w:top w:val="single" w:sz="8" w:color="CCFFCC"/>
            </w:tcBorders>
          </w:tcPr>
          <w:p>
            <w:pPr>
              <w:spacing w:after="0"/>
              <w:rPr>
                <w:sz w:val="22"/>
                <w:szCs w:val="22"/>
                <w:color w:val="auto"/>
              </w:rPr>
            </w:pPr>
          </w:p>
        </w:tc>
      </w:tr>
      <w:tr>
        <w:trPr>
          <w:trHeight w:val="237"/>
        </w:trPr>
        <w:tc>
          <w:tcPr>
            <w:tcW w:w="83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45,134</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60,624</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45,136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60,785</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140" w:right="280" w:hanging="484"/>
        <w:spacing w:after="0" w:line="312" w:lineRule="auto"/>
        <w:tabs>
          <w:tab w:leader="none" w:pos="11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Correspond mainly to shares listed in the Peruvian stock market, which included US$12.5, US$3.5 and US$3.2 million of the companies Refinería la Pampilla S.A., Cementos Lima S.A. and Energía del Sur S.A., respectively (as of December 31, 2005, included approximately US$25.9, US$9.2 and US$3.2 million of Energia del Sur S.A.A., Cementos Lima S.A., and Mineras del Sur S.A., respectively).</w:t>
      </w:r>
    </w:p>
    <w:p>
      <w:pPr>
        <w:spacing w:after="0" w:line="200" w:lineRule="exact"/>
        <w:rPr>
          <w:rFonts w:ascii="Arial" w:cs="Arial" w:eastAsia="Arial" w:hAnsi="Arial"/>
          <w:sz w:val="16"/>
          <w:szCs w:val="16"/>
          <w:color w:val="auto"/>
        </w:rPr>
      </w:pPr>
    </w:p>
    <w:p>
      <w:pPr>
        <w:ind w:left="1140" w:right="80" w:hanging="484"/>
        <w:spacing w:after="0" w:line="259" w:lineRule="auto"/>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Peruvian treasury bonds represent sovereign debt issued in Peruvian currency (S/) by the Economic and Financial Ministry of Peru; they have an active market quotation in the Peruvian market and are traded daily with third parties. As of December 31, 2005, these bonds accrued interest at annual rates that ranged between 1.53 and 5.96 percent and have maturities between August 2006 and January 2035. During 2006, the bonds held as of December 31, 2005 were totally sold.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83"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Unrealized gross</w:t>
            </w:r>
          </w:p>
        </w:tc>
        <w:tc>
          <w:tcPr>
            <w:tcW w:w="10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Estimated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88"/>
              </w:rPr>
              <w:t>Unrealized gross</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amount</w:t>
            </w:r>
          </w:p>
        </w:tc>
        <w:tc>
          <w:tcPr>
            <w:tcW w:w="108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amount</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10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Amortized</w:t>
            </w: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market</w:t>
            </w:r>
          </w:p>
        </w:tc>
        <w:tc>
          <w:tcPr>
            <w:tcW w:w="10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Amortized</w:t>
            </w: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market</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2"/>
              </w:rPr>
              <w:t>Losses (b)</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Losses (b)</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US$(000)</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US$(000)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US$(000)</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Fixed maturity -</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BCRP deposit certificates (d)</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1,276,503</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1,143</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1,277,613</w:t>
            </w:r>
          </w:p>
        </w:tc>
        <w:tc>
          <w:tcPr>
            <w:tcW w:w="1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1,148,303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(2,672)</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1,145,815</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w w:val="94"/>
              </w:rPr>
              <w:t>Corporate, leasing and subordinated bonds (e)</w:t>
            </w:r>
          </w:p>
        </w:tc>
        <w:tc>
          <w:tcPr>
            <w:tcW w:w="940" w:type="dxa"/>
            <w:vAlign w:val="bottom"/>
          </w:tcPr>
          <w:p>
            <w:pPr>
              <w:jc w:val="right"/>
              <w:spacing w:after="0"/>
              <w:rPr>
                <w:sz w:val="20"/>
                <w:szCs w:val="20"/>
                <w:color w:val="auto"/>
              </w:rPr>
            </w:pPr>
            <w:r>
              <w:rPr>
                <w:rFonts w:ascii="Arial" w:cs="Arial" w:eastAsia="Arial" w:hAnsi="Arial"/>
                <w:sz w:val="18"/>
                <w:szCs w:val="18"/>
                <w:color w:val="auto"/>
              </w:rPr>
              <w:t>845,644</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15,769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(3,179)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858,234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599,191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9,835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(5,133)</w:t>
            </w:r>
          </w:p>
        </w:tc>
        <w:tc>
          <w:tcPr>
            <w:tcW w:w="940" w:type="dxa"/>
            <w:vAlign w:val="bottom"/>
          </w:tcPr>
          <w:p>
            <w:pPr>
              <w:jc w:val="right"/>
              <w:spacing w:after="0"/>
              <w:rPr>
                <w:sz w:val="20"/>
                <w:szCs w:val="20"/>
                <w:color w:val="auto"/>
              </w:rPr>
            </w:pPr>
            <w:r>
              <w:rPr>
                <w:rFonts w:ascii="Arial" w:cs="Arial" w:eastAsia="Arial" w:hAnsi="Arial"/>
                <w:sz w:val="18"/>
                <w:szCs w:val="18"/>
                <w:color w:val="auto"/>
              </w:rPr>
              <w:t>603,893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Government treasury bonds (f)</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476,036</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59,564</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(1,620)</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533,980</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365,820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22,080</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387,154</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US Government - Sponsored Enterprises (f)</w:t>
            </w:r>
          </w:p>
        </w:tc>
        <w:tc>
          <w:tcPr>
            <w:tcW w:w="940" w:type="dxa"/>
            <w:vAlign w:val="bottom"/>
          </w:tcPr>
          <w:p>
            <w:pPr>
              <w:jc w:val="right"/>
              <w:spacing w:after="0"/>
              <w:rPr>
                <w:sz w:val="20"/>
                <w:szCs w:val="20"/>
                <w:color w:val="auto"/>
              </w:rPr>
            </w:pPr>
            <w:r>
              <w:rPr>
                <w:rFonts w:ascii="Arial" w:cs="Arial" w:eastAsia="Arial" w:hAnsi="Arial"/>
                <w:sz w:val="18"/>
                <w:szCs w:val="18"/>
                <w:color w:val="auto"/>
              </w:rPr>
              <w:t>153,867</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(1,299)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154,229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177,925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3,651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(1,617)</w:t>
            </w:r>
          </w:p>
        </w:tc>
        <w:tc>
          <w:tcPr>
            <w:tcW w:w="940" w:type="dxa"/>
            <w:vAlign w:val="bottom"/>
          </w:tcPr>
          <w:p>
            <w:pPr>
              <w:jc w:val="right"/>
              <w:spacing w:after="0"/>
              <w:rPr>
                <w:sz w:val="20"/>
                <w:szCs w:val="20"/>
                <w:color w:val="auto"/>
              </w:rPr>
            </w:pPr>
            <w:r>
              <w:rPr>
                <w:rFonts w:ascii="Arial" w:cs="Arial" w:eastAsia="Arial" w:hAnsi="Arial"/>
                <w:sz w:val="18"/>
                <w:szCs w:val="18"/>
                <w:color w:val="auto"/>
              </w:rPr>
              <w:t>179,959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Participation in mutual funds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86,422</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9,920</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96,238</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82,038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(691)</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87,347</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8"/>
              </w:rPr>
              <w:t>Bonds from international financial institutions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(g)</w:t>
            </w:r>
          </w:p>
        </w:tc>
        <w:tc>
          <w:tcPr>
            <w:tcW w:w="940" w:type="dxa"/>
            <w:vAlign w:val="bottom"/>
          </w:tcPr>
          <w:p>
            <w:pPr>
              <w:jc w:val="right"/>
              <w:spacing w:after="0"/>
              <w:rPr>
                <w:sz w:val="20"/>
                <w:szCs w:val="20"/>
                <w:color w:val="auto"/>
              </w:rPr>
            </w:pPr>
            <w:r>
              <w:rPr>
                <w:rFonts w:ascii="Arial" w:cs="Arial" w:eastAsia="Arial" w:hAnsi="Arial"/>
                <w:sz w:val="18"/>
                <w:szCs w:val="18"/>
                <w:color w:val="auto"/>
              </w:rPr>
              <w:t>64,578</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64,643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112,184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112,184</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Participation in RAL’s funds (h)</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51,204</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51,204</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56,073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56,073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Restricted mutual funds (i)</w:t>
            </w:r>
          </w:p>
        </w:tc>
        <w:tc>
          <w:tcPr>
            <w:tcW w:w="940" w:type="dxa"/>
            <w:vAlign w:val="bottom"/>
          </w:tcPr>
          <w:p>
            <w:pPr>
              <w:jc w:val="right"/>
              <w:spacing w:after="0"/>
              <w:rPr>
                <w:sz w:val="20"/>
                <w:szCs w:val="20"/>
                <w:color w:val="auto"/>
              </w:rPr>
            </w:pPr>
            <w:r>
              <w:rPr>
                <w:rFonts w:ascii="Arial" w:cs="Arial" w:eastAsia="Arial" w:hAnsi="Arial"/>
                <w:sz w:val="18"/>
                <w:szCs w:val="18"/>
                <w:color w:val="auto"/>
              </w:rPr>
              <w:t>43,152</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6,085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49,237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2,531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94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Negotiable deposit certificates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47,225</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48,329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36,872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762</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37,622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Central Banks of Bolivia deposit certificates</w:t>
            </w:r>
          </w:p>
        </w:tc>
        <w:tc>
          <w:tcPr>
            <w:tcW w:w="940" w:type="dxa"/>
            <w:vAlign w:val="bottom"/>
          </w:tcPr>
          <w:p>
            <w:pPr>
              <w:jc w:val="right"/>
              <w:spacing w:after="0"/>
              <w:rPr>
                <w:sz w:val="20"/>
                <w:szCs w:val="20"/>
                <w:color w:val="auto"/>
              </w:rPr>
            </w:pPr>
            <w:r>
              <w:rPr>
                <w:rFonts w:ascii="Arial" w:cs="Arial" w:eastAsia="Arial" w:hAnsi="Arial"/>
                <w:sz w:val="18"/>
                <w:szCs w:val="18"/>
                <w:color w:val="auto"/>
              </w:rPr>
              <w:t>27,833</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28,021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Commercial papers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15,712</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15,741</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5,519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5,515</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26,930</w:t>
            </w:r>
          </w:p>
        </w:tc>
        <w:tc>
          <w:tcPr>
            <w:tcW w:w="1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28,795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13,818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13,987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3,115,106</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97,574</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3,206,264</w:t>
            </w:r>
          </w:p>
        </w:tc>
        <w:tc>
          <w:tcPr>
            <w:tcW w:w="1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2,600,274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43,003</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(11,230)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2,632,047</w:t>
            </w: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Shares -</w:t>
            </w: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Listed securities (j)</w:t>
            </w:r>
          </w:p>
        </w:tc>
        <w:tc>
          <w:tcPr>
            <w:tcW w:w="940" w:type="dxa"/>
            <w:vAlign w:val="bottom"/>
          </w:tcPr>
          <w:p>
            <w:pPr>
              <w:jc w:val="right"/>
              <w:spacing w:after="0"/>
              <w:rPr>
                <w:sz w:val="20"/>
                <w:szCs w:val="20"/>
                <w:color w:val="auto"/>
              </w:rPr>
            </w:pPr>
            <w:r>
              <w:rPr>
                <w:rFonts w:ascii="Arial" w:cs="Arial" w:eastAsia="Arial" w:hAnsi="Arial"/>
                <w:sz w:val="18"/>
                <w:szCs w:val="18"/>
                <w:color w:val="auto"/>
              </w:rPr>
              <w:t>78,649</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112,025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190,439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52,741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87,141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940" w:type="dxa"/>
            <w:vAlign w:val="bottom"/>
          </w:tcPr>
          <w:p>
            <w:pPr>
              <w:jc w:val="right"/>
              <w:spacing w:after="0"/>
              <w:rPr>
                <w:sz w:val="20"/>
                <w:szCs w:val="20"/>
                <w:color w:val="auto"/>
              </w:rPr>
            </w:pPr>
            <w:r>
              <w:rPr>
                <w:rFonts w:ascii="Arial" w:cs="Arial" w:eastAsia="Arial" w:hAnsi="Arial"/>
                <w:sz w:val="18"/>
                <w:szCs w:val="18"/>
                <w:color w:val="auto"/>
              </w:rPr>
              <w:t>139,546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Non-listed securities</w:t>
            </w: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17,837</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7,964</w:t>
            </w:r>
          </w:p>
        </w:tc>
        <w:tc>
          <w:tcPr>
            <w:tcW w:w="9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w:t>
            </w: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25,744</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19,477</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3,972</w:t>
            </w:r>
          </w:p>
        </w:tc>
        <w:tc>
          <w:tcPr>
            <w:tcW w:w="92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(413)</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23,036</w:t>
            </w:r>
          </w:p>
        </w:tc>
        <w:tc>
          <w:tcPr>
            <w:tcW w:w="0" w:type="dxa"/>
            <w:vAlign w:val="bottom"/>
          </w:tcPr>
          <w:p>
            <w:pPr>
              <w:spacing w:after="0"/>
              <w:rPr>
                <w:sz w:val="1"/>
                <w:szCs w:val="1"/>
                <w:color w:val="auto"/>
              </w:rPr>
            </w:pPr>
          </w:p>
        </w:tc>
      </w:tr>
      <w:tr>
        <w:trPr>
          <w:trHeight w:val="20"/>
        </w:trPr>
        <w:tc>
          <w:tcPr>
            <w:tcW w:w="354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96,486</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119,989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216,183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72,218</w:t>
            </w:r>
          </w:p>
        </w:tc>
        <w:tc>
          <w:tcPr>
            <w:tcW w:w="780" w:type="dxa"/>
            <w:vAlign w:val="bottom"/>
          </w:tcPr>
          <w:p>
            <w:pPr>
              <w:jc w:val="right"/>
              <w:spacing w:after="0"/>
              <w:rPr>
                <w:sz w:val="20"/>
                <w:szCs w:val="20"/>
                <w:color w:val="auto"/>
              </w:rPr>
            </w:pPr>
            <w:r>
              <w:rPr>
                <w:rFonts w:ascii="Arial" w:cs="Arial" w:eastAsia="Arial" w:hAnsi="Arial"/>
                <w:sz w:val="18"/>
                <w:szCs w:val="18"/>
                <w:color w:val="auto"/>
              </w:rPr>
              <w:t>91,113</w:t>
            </w:r>
          </w:p>
        </w:tc>
        <w:tc>
          <w:tcPr>
            <w:tcW w:w="12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940" w:type="dxa"/>
            <w:vAlign w:val="bottom"/>
          </w:tcPr>
          <w:p>
            <w:pPr>
              <w:jc w:val="right"/>
              <w:spacing w:after="0"/>
              <w:rPr>
                <w:sz w:val="20"/>
                <w:szCs w:val="20"/>
                <w:color w:val="auto"/>
              </w:rPr>
            </w:pPr>
            <w:r>
              <w:rPr>
                <w:rFonts w:ascii="Arial" w:cs="Arial" w:eastAsia="Arial" w:hAnsi="Arial"/>
                <w:sz w:val="18"/>
                <w:szCs w:val="18"/>
                <w:color w:val="auto"/>
              </w:rPr>
              <w:t>162,582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40" w:type="dxa"/>
            <w:vAlign w:val="bottom"/>
            <w:shd w:val="clear" w:color="auto" w:fill="CCFFCC"/>
          </w:tcPr>
          <w:p>
            <w:pPr>
              <w:spacing w:after="0"/>
              <w:rPr>
                <w:sz w:val="24"/>
                <w:szCs w:val="24"/>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3,211,592</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217,563</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(6,708)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3,422,447</w:t>
            </w:r>
          </w:p>
        </w:tc>
        <w:tc>
          <w:tcPr>
            <w:tcW w:w="120" w:type="dxa"/>
            <w:vAlign w:val="bottom"/>
            <w:shd w:val="clear" w:color="auto" w:fill="CCFFCC"/>
          </w:tcPr>
          <w:p>
            <w:pPr>
              <w:spacing w:after="0"/>
              <w:rPr>
                <w:sz w:val="24"/>
                <w:szCs w:val="24"/>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2,672,492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134,116</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(11,979)</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2,794,629</w:t>
            </w:r>
          </w:p>
        </w:tc>
        <w:tc>
          <w:tcPr>
            <w:tcW w:w="12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Accrued interest</w:t>
            </w: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8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28,264</w:t>
            </w: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6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37"/>
        </w:trPr>
        <w:tc>
          <w:tcPr>
            <w:tcW w:w="35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3,450,711</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2,810,705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color w:val="auto"/>
              </w:rPr>
              <w:t>F-33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220" w:hanging="484"/>
        <w:spacing w:after="0" w:line="259" w:lineRule="auto"/>
        <w:tabs>
          <w:tab w:leader="none" w:pos="1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Group has determinate that the unrealized losses as of December 31, 2006 and 2005, are originated by the variation of the interest rates and not for changes in the risk classification of the investment. Moreover, the Group has decided and has the capacity to maintain these investments until the recovery of their fair value which can occur at their maturity; therefore, the Group has concluded that no impairment exists on the value of these investments.</w:t>
      </w:r>
    </w:p>
    <w:p>
      <w:pPr>
        <w:spacing w:after="0" w:line="240" w:lineRule="exact"/>
        <w:rPr>
          <w:rFonts w:ascii="Arial" w:cs="Arial" w:eastAsia="Arial" w:hAnsi="Arial"/>
          <w:sz w:val="18"/>
          <w:szCs w:val="18"/>
          <w:color w:val="auto"/>
        </w:rPr>
      </w:pPr>
    </w:p>
    <w:p>
      <w:pPr>
        <w:ind w:left="1140" w:right="280"/>
        <w:spacing w:after="0" w:line="277" w:lineRule="auto"/>
        <w:rPr>
          <w:rFonts w:ascii="Arial" w:cs="Arial" w:eastAsia="Arial" w:hAnsi="Arial"/>
          <w:sz w:val="18"/>
          <w:szCs w:val="18"/>
          <w:color w:val="auto"/>
        </w:rPr>
      </w:pPr>
      <w:r>
        <w:rPr>
          <w:rFonts w:ascii="Arial" w:cs="Arial" w:eastAsia="Arial" w:hAnsi="Arial"/>
          <w:sz w:val="18"/>
          <w:szCs w:val="18"/>
          <w:color w:val="auto"/>
        </w:rPr>
        <w:t>The fair value and the gross unrealized losses of investment available-for-sale that are not considered as a permanent loss, classified by the date of such losses: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available-for-sale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Fixed maturity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available-for-sale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Fixed maturity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4707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Up to 12 months</w:t>
            </w:r>
          </w:p>
        </w:tc>
        <w:tc>
          <w:tcPr>
            <w:tcW w:w="24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More than 1 year</w:t>
            </w:r>
          </w:p>
        </w:tc>
        <w:tc>
          <w:tcPr>
            <w:tcW w:w="2480" w:type="dxa"/>
            <w:vAlign w:val="bottom"/>
            <w:gridSpan w:val="4"/>
          </w:tcPr>
          <w:p>
            <w:pPr>
              <w:ind w:left="980"/>
              <w:spacing w:after="0"/>
              <w:rPr>
                <w:sz w:val="20"/>
                <w:szCs w:val="20"/>
                <w:color w:val="auto"/>
              </w:rPr>
            </w:pPr>
            <w:r>
              <w:rPr>
                <w:rFonts w:ascii="Arial" w:cs="Arial" w:eastAsia="Arial" w:hAnsi="Arial"/>
                <w:sz w:val="18"/>
                <w:szCs w:val="18"/>
                <w:b w:val="1"/>
                <w:bCs w:val="1"/>
                <w:color w:val="auto"/>
              </w:rPr>
              <w:t>Total</w:t>
            </w:r>
          </w:p>
        </w:tc>
      </w:tr>
      <w:tr>
        <w:trPr>
          <w:trHeight w:val="191"/>
        </w:trPr>
        <w:tc>
          <w:tcPr>
            <w:tcW w:w="12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34"/>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unrealized loss</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unrealized loss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unrealized loss</w:t>
            </w:r>
          </w:p>
        </w:tc>
      </w:tr>
      <w:tr>
        <w:trPr>
          <w:trHeight w:val="237"/>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r>
      <w:tr>
        <w:trPr>
          <w:trHeight w:val="243"/>
        </w:trPr>
        <w:tc>
          <w:tcPr>
            <w:tcW w:w="1180" w:type="dxa"/>
            <w:vAlign w:val="bottom"/>
          </w:tcPr>
          <w:p>
            <w:pPr>
              <w:jc w:val="right"/>
              <w:spacing w:after="0"/>
              <w:rPr>
                <w:sz w:val="20"/>
                <w:szCs w:val="20"/>
                <w:color w:val="auto"/>
              </w:rPr>
            </w:pPr>
            <w:r>
              <w:rPr>
                <w:rFonts w:ascii="Arial" w:cs="Arial" w:eastAsia="Arial" w:hAnsi="Arial"/>
                <w:sz w:val="18"/>
                <w:szCs w:val="18"/>
                <w:color w:val="auto"/>
              </w:rPr>
              <w:t>571,882</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214,752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2,757</w:t>
            </w:r>
          </w:p>
        </w:tc>
        <w:tc>
          <w:tcPr>
            <w:tcW w:w="1120" w:type="dxa"/>
            <w:vAlign w:val="bottom"/>
          </w:tcPr>
          <w:p>
            <w:pPr>
              <w:jc w:val="right"/>
              <w:spacing w:after="0"/>
              <w:rPr>
                <w:sz w:val="20"/>
                <w:szCs w:val="20"/>
                <w:color w:val="auto"/>
              </w:rPr>
            </w:pPr>
            <w:r>
              <w:rPr>
                <w:rFonts w:ascii="Arial" w:cs="Arial" w:eastAsia="Arial" w:hAnsi="Arial"/>
                <w:sz w:val="18"/>
                <w:szCs w:val="18"/>
                <w:color w:val="auto"/>
              </w:rPr>
              <w:t>786,634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6,443</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120" w:type="dxa"/>
            <w:vAlign w:val="bottom"/>
          </w:tcPr>
          <w:p>
            <w:pPr>
              <w:jc w:val="right"/>
              <w:spacing w:after="0"/>
              <w:rPr>
                <w:sz w:val="20"/>
                <w:szCs w:val="20"/>
                <w:color w:val="auto"/>
              </w:rPr>
            </w:pPr>
            <w:r>
              <w:rPr>
                <w:rFonts w:ascii="Arial" w:cs="Arial" w:eastAsia="Arial" w:hAnsi="Arial"/>
                <w:sz w:val="18"/>
                <w:szCs w:val="18"/>
                <w:color w:val="auto"/>
              </w:rPr>
              <w:t>2,750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265</w:t>
            </w:r>
          </w:p>
        </w:tc>
      </w:tr>
      <w:tr>
        <w:trPr>
          <w:trHeight w:val="20"/>
        </w:trPr>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180" w:type="dxa"/>
            <w:vAlign w:val="bottom"/>
          </w:tcPr>
          <w:p>
            <w:pPr>
              <w:jc w:val="right"/>
              <w:spacing w:after="0"/>
              <w:rPr>
                <w:sz w:val="20"/>
                <w:szCs w:val="20"/>
                <w:color w:val="auto"/>
              </w:rPr>
            </w:pPr>
            <w:r>
              <w:rPr>
                <w:rFonts w:ascii="Arial" w:cs="Arial" w:eastAsia="Arial" w:hAnsi="Arial"/>
                <w:sz w:val="18"/>
                <w:szCs w:val="18"/>
                <w:color w:val="auto"/>
              </w:rPr>
              <w:t>573,839</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215,545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2,993</w:t>
            </w:r>
          </w:p>
        </w:tc>
        <w:tc>
          <w:tcPr>
            <w:tcW w:w="1120" w:type="dxa"/>
            <w:vAlign w:val="bottom"/>
          </w:tcPr>
          <w:p>
            <w:pPr>
              <w:jc w:val="right"/>
              <w:spacing w:after="0"/>
              <w:rPr>
                <w:sz w:val="20"/>
                <w:szCs w:val="20"/>
                <w:color w:val="auto"/>
              </w:rPr>
            </w:pPr>
            <w:r>
              <w:rPr>
                <w:rFonts w:ascii="Arial" w:cs="Arial" w:eastAsia="Arial" w:hAnsi="Arial"/>
                <w:sz w:val="18"/>
                <w:szCs w:val="18"/>
                <w:color w:val="auto"/>
              </w:rPr>
              <w:t>789,384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6,708</w:t>
            </w:r>
          </w:p>
        </w:tc>
      </w:tr>
      <w:tr>
        <w:trPr>
          <w:trHeight w:val="20"/>
        </w:trPr>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521"/>
        </w:trPr>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5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Up to 12 months</w:t>
            </w:r>
          </w:p>
        </w:tc>
        <w:tc>
          <w:tcPr>
            <w:tcW w:w="24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More than 1 year</w:t>
            </w:r>
          </w:p>
        </w:tc>
        <w:tc>
          <w:tcPr>
            <w:tcW w:w="2480" w:type="dxa"/>
            <w:vAlign w:val="bottom"/>
            <w:gridSpan w:val="4"/>
          </w:tcPr>
          <w:p>
            <w:pPr>
              <w:ind w:left="980"/>
              <w:spacing w:after="0"/>
              <w:rPr>
                <w:sz w:val="20"/>
                <w:szCs w:val="20"/>
                <w:color w:val="auto"/>
              </w:rPr>
            </w:pPr>
            <w:r>
              <w:rPr>
                <w:rFonts w:ascii="Arial" w:cs="Arial" w:eastAsia="Arial" w:hAnsi="Arial"/>
                <w:sz w:val="18"/>
                <w:szCs w:val="18"/>
                <w:b w:val="1"/>
                <w:bCs w:val="1"/>
                <w:color w:val="auto"/>
              </w:rPr>
              <w:t>Total</w:t>
            </w:r>
          </w:p>
        </w:tc>
      </w:tr>
      <w:tr>
        <w:trPr>
          <w:trHeight w:val="191"/>
        </w:trPr>
        <w:tc>
          <w:tcPr>
            <w:tcW w:w="12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34"/>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unrealized loss</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unrealized loss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unrealized loss</w:t>
            </w:r>
          </w:p>
        </w:tc>
      </w:tr>
      <w:tr>
        <w:trPr>
          <w:trHeight w:val="237"/>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r>
      <w:tr>
        <w:trPr>
          <w:trHeight w:val="243"/>
        </w:trPr>
        <w:tc>
          <w:tcPr>
            <w:tcW w:w="1180" w:type="dxa"/>
            <w:vAlign w:val="bottom"/>
          </w:tcPr>
          <w:p>
            <w:pPr>
              <w:jc w:val="right"/>
              <w:spacing w:after="0"/>
              <w:rPr>
                <w:sz w:val="20"/>
                <w:szCs w:val="20"/>
                <w:color w:val="auto"/>
              </w:rPr>
            </w:pPr>
            <w:r>
              <w:rPr>
                <w:rFonts w:ascii="Arial" w:cs="Arial" w:eastAsia="Arial" w:hAnsi="Arial"/>
                <w:sz w:val="18"/>
                <w:szCs w:val="18"/>
                <w:color w:val="auto"/>
              </w:rPr>
              <w:t>1,474,665</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9,288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96,092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1,942</w:t>
            </w:r>
          </w:p>
        </w:tc>
        <w:tc>
          <w:tcPr>
            <w:tcW w:w="1120" w:type="dxa"/>
            <w:vAlign w:val="bottom"/>
          </w:tcPr>
          <w:p>
            <w:pPr>
              <w:jc w:val="right"/>
              <w:spacing w:after="0"/>
              <w:rPr>
                <w:sz w:val="20"/>
                <w:szCs w:val="20"/>
                <w:color w:val="auto"/>
              </w:rPr>
            </w:pPr>
            <w:r>
              <w:rPr>
                <w:rFonts w:ascii="Arial" w:cs="Arial" w:eastAsia="Arial" w:hAnsi="Arial"/>
                <w:sz w:val="18"/>
                <w:szCs w:val="18"/>
                <w:color w:val="auto"/>
              </w:rPr>
              <w:t>1,570,757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11,230</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120" w:type="dxa"/>
            <w:vAlign w:val="bottom"/>
          </w:tcPr>
          <w:p>
            <w:pPr>
              <w:jc w:val="right"/>
              <w:spacing w:after="0"/>
              <w:rPr>
                <w:sz w:val="20"/>
                <w:szCs w:val="20"/>
                <w:color w:val="auto"/>
              </w:rPr>
            </w:pPr>
            <w:r>
              <w:rPr>
                <w:rFonts w:ascii="Arial" w:cs="Arial" w:eastAsia="Arial" w:hAnsi="Arial"/>
                <w:sz w:val="18"/>
                <w:szCs w:val="18"/>
                <w:color w:val="auto"/>
              </w:rPr>
              <w:t>4,839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749</w:t>
            </w:r>
          </w:p>
        </w:tc>
      </w:tr>
      <w:tr>
        <w:trPr>
          <w:trHeight w:val="20"/>
        </w:trPr>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180" w:type="dxa"/>
            <w:vAlign w:val="bottom"/>
          </w:tcPr>
          <w:p>
            <w:pPr>
              <w:jc w:val="right"/>
              <w:spacing w:after="0"/>
              <w:rPr>
                <w:sz w:val="20"/>
                <w:szCs w:val="20"/>
                <w:color w:val="auto"/>
              </w:rPr>
            </w:pPr>
            <w:r>
              <w:rPr>
                <w:rFonts w:ascii="Arial" w:cs="Arial" w:eastAsia="Arial" w:hAnsi="Arial"/>
                <w:sz w:val="18"/>
                <w:szCs w:val="18"/>
                <w:color w:val="auto"/>
              </w:rPr>
              <w:t>1,478,008</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9,762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97,588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2,217</w:t>
            </w:r>
          </w:p>
        </w:tc>
        <w:tc>
          <w:tcPr>
            <w:tcW w:w="1120" w:type="dxa"/>
            <w:vAlign w:val="bottom"/>
          </w:tcPr>
          <w:p>
            <w:pPr>
              <w:jc w:val="right"/>
              <w:spacing w:after="0"/>
              <w:rPr>
                <w:sz w:val="20"/>
                <w:szCs w:val="20"/>
                <w:color w:val="auto"/>
              </w:rPr>
            </w:pPr>
            <w:r>
              <w:rPr>
                <w:rFonts w:ascii="Arial" w:cs="Arial" w:eastAsia="Arial" w:hAnsi="Arial"/>
                <w:sz w:val="18"/>
                <w:szCs w:val="18"/>
                <w:color w:val="auto"/>
              </w:rPr>
              <w:t>1,575,596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11,979</w:t>
            </w:r>
          </w:p>
        </w:tc>
      </w:tr>
      <w:tr>
        <w:trPr>
          <w:trHeight w:val="20"/>
        </w:trPr>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-2117725</wp:posOffset>
            </wp:positionV>
            <wp:extent cx="72466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-1783080</wp:posOffset>
            </wp:positionV>
            <wp:extent cx="7246620" cy="180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-513715</wp:posOffset>
            </wp:positionV>
            <wp:extent cx="72466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-179705</wp:posOffset>
            </wp:positionV>
            <wp:extent cx="7246620"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20"/>
          </w:cols>
          <w:pgMar w:left="240" w:top="37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60" w:hanging="484"/>
        <w:spacing w:after="0" w:line="277"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movement of “Other reserves” in equity includes the net change in the realized and unrealized gains and losses, net of deferred taxes, and the provision for impairment. This caption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gains, net of taxes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69,411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7,121</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56,746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realized gains, net of taxes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6,620</w:t>
            </w:r>
          </w:p>
        </w:tc>
        <w:tc>
          <w:tcPr>
            <w:tcW w:w="1380" w:type="dxa"/>
            <w:vAlign w:val="bottom"/>
          </w:tcPr>
          <w:p>
            <w:pPr>
              <w:jc w:val="right"/>
              <w:spacing w:after="0"/>
              <w:rPr>
                <w:sz w:val="20"/>
                <w:szCs w:val="20"/>
                <w:color w:val="auto"/>
              </w:rPr>
            </w:pPr>
            <w:r>
              <w:rPr>
                <w:rFonts w:ascii="Arial" w:cs="Arial" w:eastAsia="Arial" w:hAnsi="Arial"/>
                <w:sz w:val="18"/>
                <w:szCs w:val="18"/>
                <w:color w:val="auto"/>
              </w:rPr>
              <w:t>1,572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1,365</w:t>
            </w:r>
          </w:p>
        </w:tc>
      </w:tr>
    </w:tbl>
    <w:p>
      <w:pPr>
        <w:spacing w:after="0" w:line="256" w:lineRule="exact"/>
        <w:rPr>
          <w:sz w:val="20"/>
          <w:szCs w:val="20"/>
          <w:color w:val="auto"/>
        </w:rPr>
      </w:pPr>
    </w:p>
    <w:p>
      <w:pPr>
        <w:ind w:left="1140" w:right="20" w:hanging="484"/>
        <w:spacing w:after="0" w:line="254"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BCRP deposit certificates are discounted Peruvian currency instruments with maturities due within one year. These certificates have been acquired in public auctions. Annual interest rates in Peruvian currency range between 4.53 and 5.78 percent as of December 31, 2006 (between 3.75 and 6.35 percent as of December 31, 2005) with maturities between January 2007 and December 2009 (between January 2006 and June 2008 as of December 31, 2005). As of December 31, 2006 and 2005, the Group has entered into BCRP - Repo transactions in Peruvian currency with its clients using these securities, for approximately US$167.7 and US$592.5 million, respectively. As of December 31, 2006, these operations earn an effective annual interest rate range between 4.08 and 5.26 annual percent and with maturities between January and June 2007 (interest rate between 3.55 and 6.23 annual percent and maturities between January 2006 and February 2008 as of December 31, 2005).</w:t>
      </w:r>
    </w:p>
    <w:p>
      <w:pPr>
        <w:spacing w:after="0" w:line="246" w:lineRule="exact"/>
        <w:rPr>
          <w:rFonts w:ascii="Arial" w:cs="Arial" w:eastAsia="Arial" w:hAnsi="Arial"/>
          <w:sz w:val="18"/>
          <w:szCs w:val="18"/>
          <w:color w:val="auto"/>
        </w:rPr>
      </w:pPr>
    </w:p>
    <w:p>
      <w:pPr>
        <w:ind w:left="1140" w:hanging="484"/>
        <w:spacing w:after="0"/>
        <w:tabs>
          <w:tab w:leader="none" w:pos="11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As of December 31, 2006, comprise corporate bonds by US$849.9 million, leasing bonds by US$3.9 million and subordinated bonds by</w:t>
      </w:r>
    </w:p>
    <w:p>
      <w:pPr>
        <w:spacing w:after="0" w:line="34" w:lineRule="exact"/>
        <w:rPr>
          <w:rFonts w:ascii="Arial" w:cs="Arial" w:eastAsia="Arial" w:hAnsi="Arial"/>
          <w:sz w:val="17"/>
          <w:szCs w:val="17"/>
          <w:color w:val="auto"/>
        </w:rPr>
      </w:pPr>
    </w:p>
    <w:p>
      <w:pPr>
        <w:ind w:left="1140" w:right="20"/>
        <w:spacing w:after="0" w:line="273" w:lineRule="auto"/>
        <w:rPr>
          <w:rFonts w:ascii="Arial" w:cs="Arial" w:eastAsia="Arial" w:hAnsi="Arial"/>
          <w:sz w:val="17"/>
          <w:szCs w:val="17"/>
          <w:color w:val="auto"/>
        </w:rPr>
      </w:pPr>
      <w:r>
        <w:rPr>
          <w:rFonts w:ascii="Arial" w:cs="Arial" w:eastAsia="Arial" w:hAnsi="Arial"/>
          <w:sz w:val="17"/>
          <w:szCs w:val="17"/>
          <w:color w:val="auto"/>
        </w:rPr>
        <w:t>US$4.4 million (US$598.1, US$1.8 and US$4.0 million, respectively, as December 31, 2005), with maturities between January 2007 and May 2049 (between January 2006 and November 2035 as of December 31, 2005). These bonds accrue interests at annual effective rates that range between 3.36 and 7.71 percent for the bonds denominated in Peruvian currency (between 2.92 and 8.00 percent in 2005), and between 2.88 and 11.00 percent for the bonds denominated in U.S. Dollars (between 2.23 and 12.03 percent in 2005).</w:t>
      </w:r>
    </w:p>
    <w:p>
      <w:pPr>
        <w:spacing w:after="0" w:line="230" w:lineRule="exact"/>
        <w:rPr>
          <w:rFonts w:ascii="Arial" w:cs="Arial" w:eastAsia="Arial" w:hAnsi="Arial"/>
          <w:sz w:val="17"/>
          <w:szCs w:val="17"/>
          <w:color w:val="auto"/>
        </w:rPr>
      </w:pPr>
    </w:p>
    <w:p>
      <w:pPr>
        <w:ind w:left="1140" w:right="20" w:hanging="484"/>
        <w:spacing w:after="0" w:line="255"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principally debt instruments for US$154.2, US$425.1, US$72.0 and US$14.0 million issued by US Government - Sponsored Enterprises, the Peruvian Government, the Colombian Government and the Government of El Salvador, respectively, as of December 31, 2006 (US$179.9, US$308.9 and US$18.7 million issued by US Government - Sponsored Enterprises, the Peruvian Government and the Government of El Salvador, respectively, as of December 31, 2005). Their maturities are between February 2007 and August 2038 (between January 2006 and August 2038 as of December 31, 2005) at annual interest rates that range between 2.38 and 11.75 percent (between 1.83 and 11.25 percent in 2005).</w:t>
      </w:r>
    </w:p>
    <w:p>
      <w:pPr>
        <w:spacing w:after="0" w:line="247" w:lineRule="exact"/>
        <w:rPr>
          <w:sz w:val="20"/>
          <w:szCs w:val="20"/>
          <w:color w:val="auto"/>
        </w:rPr>
      </w:pPr>
    </w:p>
    <w:p>
      <w:pPr>
        <w:ind w:left="1140" w:right="560"/>
        <w:spacing w:after="0" w:line="277" w:lineRule="auto"/>
        <w:rPr>
          <w:sz w:val="20"/>
          <w:szCs w:val="20"/>
          <w:color w:val="auto"/>
        </w:rPr>
      </w:pPr>
      <w:r>
        <w:rPr>
          <w:rFonts w:ascii="Arial" w:cs="Arial" w:eastAsia="Arial" w:hAnsi="Arial"/>
          <w:sz w:val="18"/>
          <w:szCs w:val="18"/>
          <w:color w:val="auto"/>
        </w:rPr>
        <w:t>As of December 31, 2006, the Group has entered into Repo transactions with its clients using part of the debt instruments issued by the Peruvian Government for approximately US$19.8 million with maturity in September 2007.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100" w:hanging="484"/>
        <w:spacing w:after="0" w:line="257"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Comprise mainly of US$55.1 and US$9.5 million of debt instruments issued by Corporación Andina de Fomento - CAF and by The World Bank, respectively (mainly of US$90.8 and US$18.7 million issued by Corporación Andina de Fomento - CAF and by Fondo Latinoamericano de Reservas - FLAR, respectively, as of December 31, 2005). Such bonds have maturities between January 2007 and July 2009 (between February 2006 and January 2023 as of December 31, 2005). Annual interest rates are between 5.32 and 5.92 percent (between 4.08 and 5.26 percent in 2005).</w:t>
      </w:r>
    </w:p>
    <w:p>
      <w:pPr>
        <w:spacing w:after="0" w:line="242" w:lineRule="exact"/>
        <w:rPr>
          <w:rFonts w:ascii="Arial" w:cs="Arial" w:eastAsia="Arial" w:hAnsi="Arial"/>
          <w:sz w:val="18"/>
          <w:szCs w:val="18"/>
          <w:color w:val="auto"/>
        </w:rPr>
      </w:pPr>
    </w:p>
    <w:p>
      <w:pPr>
        <w:ind w:left="1140"/>
        <w:spacing w:after="0" w:line="342" w:lineRule="auto"/>
        <w:rPr>
          <w:rFonts w:ascii="Arial" w:cs="Arial" w:eastAsia="Arial" w:hAnsi="Arial"/>
          <w:sz w:val="18"/>
          <w:szCs w:val="18"/>
          <w:color w:val="auto"/>
        </w:rPr>
      </w:pPr>
      <w:r>
        <w:rPr>
          <w:rFonts w:ascii="Arial" w:cs="Arial" w:eastAsia="Arial" w:hAnsi="Arial"/>
          <w:sz w:val="16"/>
          <w:szCs w:val="16"/>
          <w:color w:val="auto"/>
        </w:rPr>
        <w:t>As of December 31, 2006, the Group has entered into Repo transactions with its clients using these securities for approximately US$40.1 million. These operations earn an effective annual interest rate range between 5.32 and 5.92 annual percent and with maturity in January 2007.</w:t>
      </w:r>
    </w:p>
    <w:p>
      <w:pPr>
        <w:spacing w:after="0" w:line="177"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 accrues interest at an average annual rate of 5.61 percent (4.31 percent in 2005).</w:t>
      </w:r>
    </w:p>
    <w:p>
      <w:pPr>
        <w:spacing w:after="0" w:line="240" w:lineRule="exact"/>
        <w:rPr>
          <w:rFonts w:ascii="Arial" w:cs="Arial" w:eastAsia="Arial" w:hAnsi="Arial"/>
          <w:sz w:val="18"/>
          <w:szCs w:val="18"/>
          <w:color w:val="auto"/>
        </w:rPr>
      </w:pPr>
    </w:p>
    <w:p>
      <w:pPr>
        <w:ind w:left="1140" w:right="240" w:hanging="484"/>
        <w:spacing w:after="0" w:line="312" w:lineRule="auto"/>
        <w:tabs>
          <w:tab w:leader="none" w:pos="11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restricted mutual funds comprise participation quotas on the pension funds managed by the Group as required by the legal standards of Peru and they have a restricted disposal. The profitability obtained is the same as the obtained for the funds managed. The amount as of December 31, 2006, approximately US$32.3 million comes from the purchase of AFP Unión Vida S.A. as mentioned in note 2(a).</w:t>
      </w:r>
    </w:p>
    <w:p>
      <w:pPr>
        <w:spacing w:after="0" w:line="173" w:lineRule="exact"/>
        <w:rPr>
          <w:rFonts w:ascii="Arial" w:cs="Arial" w:eastAsia="Arial" w:hAnsi="Arial"/>
          <w:sz w:val="16"/>
          <w:szCs w:val="16"/>
          <w:color w:val="auto"/>
        </w:rPr>
      </w:pPr>
    </w:p>
    <w:p>
      <w:pPr>
        <w:ind w:left="1140" w:right="40" w:hanging="484"/>
        <w:spacing w:after="0" w:line="264"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December 31, 2006, the unrealized gains on trade shares comes principally from the shares of Banco de Crédito and Inversiones de Chile - BCI Chile and Alicorp S.A.A., which amounted to US$60.2 and US$ 26.9, respectively (amounted to US$48.8 and US$18.0 million as December 31, 2005, respectively).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646"/>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amortized cost and market value of the investments available-for-sale classified by maturity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80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6"/>
                <w:szCs w:val="16"/>
                <w:color w:val="auto"/>
              </w:rPr>
            </w:pPr>
          </w:p>
        </w:tc>
        <w:tc>
          <w:tcPr>
            <w:tcW w:w="180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US$(000)</w:t>
            </w: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US$(000)</w:t>
            </w:r>
          </w:p>
        </w:tc>
        <w:tc>
          <w:tcPr>
            <w:tcW w:w="18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766,650</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781,657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544,449</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549,215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380" w:type="dxa"/>
            <w:vAlign w:val="bottom"/>
          </w:tcPr>
          <w:p>
            <w:pPr>
              <w:jc w:val="right"/>
              <w:spacing w:after="0"/>
              <w:rPr>
                <w:sz w:val="20"/>
                <w:szCs w:val="20"/>
                <w:color w:val="auto"/>
              </w:rPr>
            </w:pPr>
            <w:r>
              <w:rPr>
                <w:rFonts w:ascii="Arial" w:cs="Arial" w:eastAsia="Arial" w:hAnsi="Arial"/>
                <w:sz w:val="18"/>
                <w:szCs w:val="18"/>
                <w:color w:val="auto"/>
              </w:rPr>
              <w:t>866,811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868,452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1,005,977</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1,003,580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458,796</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460,967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346,577</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345,970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From 3 to 5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222,215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228,805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149,422</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150,520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800,634</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866,383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553,849</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582,762</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96,486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216,183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72,218</w:t>
            </w: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162,582</w:t>
            </w: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3,211,592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3,422,447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2,672,492</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2,794,629</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Net loans</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r>
      <w:tr>
        <w:trPr>
          <w:trHeight w:val="243"/>
        </w:trPr>
        <w:tc>
          <w:tcPr>
            <w:tcW w:w="4240" w:type="dxa"/>
            <w:vAlign w:val="bottom"/>
          </w:tcPr>
          <w:p>
            <w:pPr>
              <w:spacing w:after="0"/>
              <w:rPr>
                <w:sz w:val="20"/>
                <w:szCs w:val="20"/>
                <w:color w:val="auto"/>
              </w:rPr>
            </w:pPr>
            <w:r>
              <w:rPr>
                <w:rFonts w:ascii="Arial" w:cs="Arial" w:eastAsia="Arial" w:hAnsi="Arial"/>
                <w:sz w:val="18"/>
                <w:szCs w:val="18"/>
                <w:b w:val="1"/>
                <w:bCs w:val="1"/>
                <w:color w:val="auto"/>
              </w:rPr>
              <w:t>Direct loans -</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4,224,102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3,567,970</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Leasing receivables</w:t>
            </w:r>
          </w:p>
        </w:tc>
        <w:tc>
          <w:tcPr>
            <w:tcW w:w="5700" w:type="dxa"/>
            <w:vAlign w:val="bottom"/>
            <w:gridSpan w:val="3"/>
          </w:tcPr>
          <w:p>
            <w:pPr>
              <w:jc w:val="right"/>
              <w:ind w:right="220"/>
              <w:spacing w:after="0"/>
              <w:rPr>
                <w:sz w:val="20"/>
                <w:szCs w:val="20"/>
                <w:color w:val="auto"/>
              </w:rPr>
            </w:pPr>
            <w:r>
              <w:rPr>
                <w:rFonts w:ascii="Arial" w:cs="Arial" w:eastAsia="Arial" w:hAnsi="Arial"/>
                <w:sz w:val="18"/>
                <w:szCs w:val="18"/>
                <w:color w:val="auto"/>
              </w:rPr>
              <w:t>675,804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564,575</w:t>
            </w: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Credit card receivables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438,628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297,673</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Discount notes</w:t>
            </w:r>
          </w:p>
        </w:tc>
        <w:tc>
          <w:tcPr>
            <w:tcW w:w="5700" w:type="dxa"/>
            <w:vAlign w:val="bottom"/>
            <w:gridSpan w:val="3"/>
          </w:tcPr>
          <w:p>
            <w:pPr>
              <w:jc w:val="right"/>
              <w:ind w:right="220"/>
              <w:spacing w:after="0"/>
              <w:rPr>
                <w:sz w:val="20"/>
                <w:szCs w:val="20"/>
                <w:color w:val="auto"/>
              </w:rPr>
            </w:pPr>
            <w:r>
              <w:rPr>
                <w:rFonts w:ascii="Arial" w:cs="Arial" w:eastAsia="Arial" w:hAnsi="Arial"/>
                <w:sz w:val="18"/>
                <w:szCs w:val="18"/>
                <w:color w:val="auto"/>
              </w:rPr>
              <w:t>256,534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213,232</w:t>
            </w: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Refinanced and restructured loans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126,006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175,211</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Factoring receivables</w:t>
            </w:r>
          </w:p>
        </w:tc>
        <w:tc>
          <w:tcPr>
            <w:tcW w:w="5700" w:type="dxa"/>
            <w:vAlign w:val="bottom"/>
            <w:gridSpan w:val="3"/>
          </w:tcPr>
          <w:p>
            <w:pPr>
              <w:jc w:val="right"/>
              <w:ind w:right="220"/>
              <w:spacing w:after="0"/>
              <w:rPr>
                <w:sz w:val="20"/>
                <w:szCs w:val="20"/>
                <w:color w:val="auto"/>
              </w:rPr>
            </w:pPr>
            <w:r>
              <w:rPr>
                <w:rFonts w:ascii="Arial" w:cs="Arial" w:eastAsia="Arial" w:hAnsi="Arial"/>
                <w:sz w:val="18"/>
                <w:szCs w:val="18"/>
                <w:color w:val="auto"/>
              </w:rPr>
              <w:t>89,171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87,757</w:t>
            </w: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84,262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49,283</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Past due and under legal collection loans</w:t>
            </w:r>
          </w:p>
        </w:tc>
        <w:tc>
          <w:tcPr>
            <w:tcW w:w="41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95,769</w:t>
            </w:r>
          </w:p>
        </w:tc>
        <w:tc>
          <w:tcPr>
            <w:tcW w:w="100" w:type="dxa"/>
            <w:vAlign w:val="bottom"/>
          </w:tcPr>
          <w:p>
            <w:pPr>
              <w:spacing w:after="0"/>
              <w:rPr>
                <w:sz w:val="23"/>
                <w:szCs w:val="23"/>
                <w:color w:val="auto"/>
              </w:rPr>
            </w:pPr>
          </w:p>
        </w:tc>
      </w:tr>
      <w:tr>
        <w:trPr>
          <w:trHeight w:val="237"/>
        </w:trPr>
        <w:tc>
          <w:tcPr>
            <w:tcW w:w="4240" w:type="dxa"/>
            <w:vAlign w:val="bottom"/>
            <w:shd w:val="clear" w:color="auto" w:fill="CCFFCC"/>
          </w:tcPr>
          <w:p>
            <w:pPr>
              <w:spacing w:after="0"/>
              <w:rPr>
                <w:sz w:val="20"/>
                <w:szCs w:val="20"/>
                <w:color w:val="auto"/>
              </w:rPr>
            </w:pP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5,971,277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5,051,470</w:t>
            </w:r>
          </w:p>
        </w:tc>
      </w:tr>
      <w:tr>
        <w:trPr>
          <w:trHeight w:val="243"/>
        </w:trPr>
        <w:tc>
          <w:tcPr>
            <w:tcW w:w="4240" w:type="dxa"/>
            <w:vAlign w:val="bottom"/>
          </w:tcPr>
          <w:p>
            <w:pPr>
              <w:spacing w:after="0"/>
              <w:rPr>
                <w:sz w:val="20"/>
                <w:szCs w:val="20"/>
                <w:color w:val="auto"/>
              </w:rPr>
            </w:pPr>
            <w:r>
              <w:rPr>
                <w:rFonts w:ascii="Arial" w:cs="Arial" w:eastAsia="Arial" w:hAnsi="Arial"/>
                <w:sz w:val="18"/>
                <w:szCs w:val="18"/>
                <w:b w:val="1"/>
                <w:bCs w:val="1"/>
                <w:color w:val="auto"/>
              </w:rPr>
              <w:t>Add (less) -</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49,740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41,280</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Unearned interest</w:t>
            </w:r>
          </w:p>
        </w:tc>
        <w:tc>
          <w:tcPr>
            <w:tcW w:w="5700" w:type="dxa"/>
            <w:vAlign w:val="bottom"/>
            <w:gridSpan w:val="3"/>
          </w:tcPr>
          <w:p>
            <w:pPr>
              <w:jc w:val="right"/>
              <w:ind w:right="160"/>
              <w:spacing w:after="0"/>
              <w:rPr>
                <w:sz w:val="20"/>
                <w:szCs w:val="20"/>
                <w:color w:val="auto"/>
              </w:rPr>
            </w:pPr>
            <w:r>
              <w:rPr>
                <w:rFonts w:ascii="Arial" w:cs="Arial" w:eastAsia="Arial" w:hAnsi="Arial"/>
                <w:sz w:val="18"/>
                <w:szCs w:val="18"/>
                <w:color w:val="auto"/>
              </w:rPr>
              <w:t>(93,916)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(78,495)</w:t>
            </w: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loan losses (f)</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(190,278)</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(197,495)</w:t>
            </w:r>
          </w:p>
        </w:tc>
      </w:tr>
      <w:tr>
        <w:trPr>
          <w:trHeight w:val="237"/>
        </w:trPr>
        <w:tc>
          <w:tcPr>
            <w:tcW w:w="42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direct loans, net</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5,736,823</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4,816,760</w:t>
            </w:r>
          </w:p>
        </w:tc>
      </w:tr>
      <w:tr>
        <w:trPr>
          <w:trHeight w:val="237"/>
        </w:trPr>
        <w:tc>
          <w:tcPr>
            <w:tcW w:w="42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Indirect loans, note 20(a)</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1,455,376</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1,220,946</w:t>
            </w:r>
          </w:p>
        </w:tc>
      </w:tr>
      <w:tr>
        <w:trPr>
          <w:trHeight w:val="480"/>
        </w:trPr>
        <w:tc>
          <w:tcPr>
            <w:tcW w:w="4240" w:type="dxa"/>
            <w:vAlign w:val="bottom"/>
            <w:tcBorders>
              <w:top w:val="single" w:sz="8" w:color="CCFFCC"/>
            </w:tcBorders>
          </w:tcPr>
          <w:p>
            <w:pPr>
              <w:spacing w:after="0"/>
              <w:rPr>
                <w:sz w:val="24"/>
                <w:szCs w:val="24"/>
                <w:color w:val="auto"/>
              </w:rPr>
            </w:pPr>
          </w:p>
        </w:tc>
        <w:tc>
          <w:tcPr>
            <w:tcW w:w="4100" w:type="dxa"/>
            <w:vAlign w:val="bottom"/>
            <w:tcBorders>
              <w:top w:val="single" w:sz="8" w:color="CCFFCC"/>
            </w:tcBorders>
          </w:tcPr>
          <w:p>
            <w:pPr>
              <w:ind w:left="1300"/>
              <w:spacing w:after="0"/>
              <w:rPr>
                <w:sz w:val="20"/>
                <w:szCs w:val="20"/>
                <w:color w:val="auto"/>
              </w:rPr>
            </w:pPr>
            <w:r>
              <w:rPr>
                <w:rFonts w:ascii="Arial" w:cs="Arial" w:eastAsia="Arial" w:hAnsi="Arial"/>
                <w:sz w:val="18"/>
                <w:szCs w:val="18"/>
                <w:color w:val="auto"/>
              </w:rPr>
              <w:t>F-37</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24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646"/>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79" w:lineRule="exact"/>
        <w:rPr>
          <w:rFonts w:ascii="Arial" w:cs="Arial" w:eastAsia="Arial" w:hAnsi="Arial"/>
          <w:sz w:val="18"/>
          <w:szCs w:val="18"/>
          <w:color w:val="auto"/>
        </w:rPr>
      </w:pPr>
    </w:p>
    <w:p>
      <w:pPr>
        <w:ind w:left="1140" w:hanging="646"/>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of December 31, 2006 and 2005, the Group’s direct loan portfolio is distributed among the following economic sectors: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Sector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1,624,765</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1,430,559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Mortgage loans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883,736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767,341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Commerce</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686,291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625,908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Consumer loans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539,077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373,447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Micro-business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306,869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224,122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Mining</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303,238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223,156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256,541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192,096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Communications, storage and transportation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255,730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210,002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Leaseholds and real estate activities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236,445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216,095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Financial services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163,946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105,484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Fishing</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152,538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117,104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Agriculture</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150,020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153,410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Education, health and other services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75,376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69,468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Construction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74,482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68,217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75"/>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262,223</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275,061</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r>
      <w:tr>
        <w:trPr>
          <w:trHeight w:val="237"/>
        </w:trPr>
        <w:tc>
          <w:tcPr>
            <w:tcW w:w="4920" w:type="dxa"/>
            <w:vAlign w:val="bottom"/>
            <w:tcBorders>
              <w:top w:val="single" w:sz="8" w:color="CCFFCC"/>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5,971,277</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5,051,470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F-38</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40" w:hanging="646"/>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of December 31, 2006 and 2005, the credit risk classification of the Group’s loan portfolio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2006</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2005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Direct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Indirect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Direct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Indirect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credits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credits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credits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credits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460" w:type="dxa"/>
            <w:vAlign w:val="bottom"/>
            <w:gridSpan w:val="3"/>
          </w:tcPr>
          <w:p>
            <w:pPr>
              <w:spacing w:after="0"/>
              <w:rPr>
                <w:sz w:val="20"/>
                <w:szCs w:val="20"/>
                <w:color w:val="auto"/>
              </w:rPr>
            </w:pPr>
            <w:r>
              <w:rPr>
                <w:rFonts w:ascii="Arial" w:cs="Arial" w:eastAsia="Arial" w:hAnsi="Arial"/>
                <w:sz w:val="16"/>
                <w:szCs w:val="16"/>
                <w:b w:val="1"/>
                <w:bCs w:val="1"/>
                <w:color w:val="auto"/>
              </w:rPr>
              <w:t>Risk category</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u w:val="single" w:color="auto"/>
                <w:color w:val="auto"/>
                <w:w w:val="99"/>
              </w:rPr>
              <w:t>US$</w:t>
            </w:r>
            <w:r>
              <w:rPr>
                <w:rFonts w:ascii="Arial" w:cs="Arial" w:eastAsia="Arial" w:hAnsi="Arial"/>
                <w:sz w:val="16"/>
                <w:szCs w:val="16"/>
                <w:color w:val="auto"/>
                <w:w w:val="99"/>
              </w:rPr>
              <w:t>(000)</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u w:val="single" w:color="auto"/>
                <w:color w:val="auto"/>
                <w:w w:val="99"/>
              </w:rPr>
              <w:t>US$</w:t>
            </w:r>
            <w:r>
              <w:rPr>
                <w:rFonts w:ascii="Arial" w:cs="Arial" w:eastAsia="Arial" w:hAnsi="Arial"/>
                <w:sz w:val="16"/>
                <w:szCs w:val="16"/>
                <w:color w:val="auto"/>
                <w:w w:val="99"/>
              </w:rPr>
              <w:t>(000)</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Normal</w:t>
            </w: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5,386,566</w:t>
            </w: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90.3</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1,398,662</w:t>
            </w:r>
          </w:p>
        </w:tc>
        <w:tc>
          <w:tcPr>
            <w:tcW w:w="140" w:type="dxa"/>
            <w:vAlign w:val="bottom"/>
            <w:shd w:val="clear" w:color="auto" w:fill="CCFFCC"/>
          </w:tcPr>
          <w:p>
            <w:pPr>
              <w:spacing w:after="0"/>
              <w:rPr>
                <w:sz w:val="17"/>
                <w:szCs w:val="17"/>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96.2</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6,785,228</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91.4</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4,352,214</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86.2</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1,137,033</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93.1</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5,489,247</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Potential problems</w:t>
            </w:r>
          </w:p>
        </w:tc>
        <w:tc>
          <w:tcPr>
            <w:tcW w:w="740" w:type="dxa"/>
            <w:vAlign w:val="bottom"/>
          </w:tcPr>
          <w:p>
            <w:pPr>
              <w:jc w:val="right"/>
              <w:spacing w:after="0"/>
              <w:rPr>
                <w:sz w:val="20"/>
                <w:szCs w:val="20"/>
                <w:color w:val="auto"/>
              </w:rPr>
            </w:pPr>
            <w:r>
              <w:rPr>
                <w:rFonts w:ascii="Arial" w:cs="Arial" w:eastAsia="Arial" w:hAnsi="Arial"/>
                <w:sz w:val="16"/>
                <w:szCs w:val="16"/>
                <w:color w:val="auto"/>
              </w:rPr>
              <w:t>341,187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33,787</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374,974</w:t>
            </w: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397,387</w:t>
            </w: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68,333</w:t>
            </w: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465,720</w:t>
            </w: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Substandard</w:t>
            </w: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62,504</w:t>
            </w: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17,668</w:t>
            </w:r>
          </w:p>
        </w:tc>
        <w:tc>
          <w:tcPr>
            <w:tcW w:w="140" w:type="dxa"/>
            <w:vAlign w:val="bottom"/>
            <w:shd w:val="clear" w:color="auto" w:fill="CCFFCC"/>
          </w:tcPr>
          <w:p>
            <w:pPr>
              <w:spacing w:after="0"/>
              <w:rPr>
                <w:sz w:val="17"/>
                <w:szCs w:val="17"/>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80,172</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82,858</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9,284</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0.8</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92,142</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Doubtful</w:t>
            </w:r>
          </w:p>
        </w:tc>
        <w:tc>
          <w:tcPr>
            <w:tcW w:w="740" w:type="dxa"/>
            <w:vAlign w:val="bottom"/>
          </w:tcPr>
          <w:p>
            <w:pPr>
              <w:jc w:val="right"/>
              <w:spacing w:after="0"/>
              <w:rPr>
                <w:sz w:val="20"/>
                <w:szCs w:val="20"/>
                <w:color w:val="auto"/>
              </w:rPr>
            </w:pPr>
            <w:r>
              <w:rPr>
                <w:rFonts w:ascii="Arial" w:cs="Arial" w:eastAsia="Arial" w:hAnsi="Arial"/>
                <w:sz w:val="16"/>
                <w:szCs w:val="16"/>
                <w:color w:val="auto"/>
              </w:rPr>
              <w:t>122,216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3,565</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125,781</w:t>
            </w: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146,898</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4,694</w:t>
            </w: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151,592</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6"/>
                <w:szCs w:val="16"/>
                <w:color w:val="auto"/>
              </w:rPr>
              <w:t>Loss</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58,804</w:t>
            </w:r>
          </w:p>
        </w:tc>
        <w:tc>
          <w:tcPr>
            <w:tcW w:w="100" w:type="dxa"/>
            <w:vAlign w:val="bottom"/>
            <w:tcBorders>
              <w:bottom w:val="single" w:sz="8" w:color="CCFFCC"/>
            </w:tcBorders>
            <w:shd w:val="clear" w:color="auto" w:fill="CCFFCC"/>
          </w:tcPr>
          <w:p>
            <w:pPr>
              <w:spacing w:after="0"/>
              <w:rPr>
                <w:sz w:val="18"/>
                <w:szCs w:val="18"/>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1,694</w:t>
            </w:r>
          </w:p>
        </w:tc>
        <w:tc>
          <w:tcPr>
            <w:tcW w:w="14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0.1</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60,498</w:t>
            </w: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0.8</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72,113</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94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1,602</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0.1</w:t>
            </w:r>
          </w:p>
        </w:tc>
        <w:tc>
          <w:tcPr>
            <w:tcW w:w="900" w:type="dxa"/>
            <w:vAlign w:val="bottom"/>
            <w:tcBorders>
              <w:bottom w:val="single" w:sz="8" w:color="CCFFCC"/>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73,715</w:t>
            </w:r>
          </w:p>
        </w:tc>
        <w:tc>
          <w:tcPr>
            <w:tcW w:w="46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46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6"/>
                <w:szCs w:val="16"/>
                <w:color w:val="auto"/>
              </w:rPr>
              <w:t>5,971,277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1,455,376</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7,426,653</w:t>
            </w: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5,051,470</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1,220,946</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6,272,416</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6925945</wp:posOffset>
            </wp:positionH>
            <wp:positionV relativeFrom="paragraph">
              <wp:posOffset>-179705</wp:posOffset>
            </wp:positionV>
            <wp:extent cx="3429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-179705</wp:posOffset>
            </wp:positionV>
            <wp:extent cx="3429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76" w:lineRule="exact"/>
        <w:rPr>
          <w:sz w:val="20"/>
          <w:szCs w:val="20"/>
          <w:color w:val="auto"/>
        </w:rPr>
      </w:pPr>
    </w:p>
    <w:p>
      <w:pPr>
        <w:ind w:left="1140" w:right="500" w:hanging="646"/>
        <w:spacing w:after="0" w:line="293" w:lineRule="auto"/>
        <w:tabs>
          <w:tab w:leader="none" w:pos="11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of December 31, 2006 and 2005, the Group’s structure of its direct loan portfolio by the country in which its clients are located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0" w:type="dxa"/>
            <w:vAlign w:val="bottom"/>
            <w:gridSpan w:val="3"/>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3680" w:type="dxa"/>
            <w:vAlign w:val="bottom"/>
          </w:tcPr>
          <w:p>
            <w:pPr>
              <w:spacing w:after="0"/>
              <w:rPr>
                <w:sz w:val="20"/>
                <w:szCs w:val="20"/>
                <w:color w:val="auto"/>
              </w:rPr>
            </w:pPr>
            <w:r>
              <w:rPr>
                <w:rFonts w:ascii="Arial" w:cs="Arial" w:eastAsia="Arial" w:hAnsi="Arial"/>
                <w:sz w:val="18"/>
                <w:szCs w:val="18"/>
                <w:b w:val="1"/>
                <w:bCs w:val="1"/>
                <w:color w:val="auto"/>
              </w:rPr>
              <w:t>Country -</w:t>
            </w:r>
          </w:p>
        </w:tc>
        <w:tc>
          <w:tcPr>
            <w:tcW w:w="4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5,481,003</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4,601,400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Bolivia</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397,197</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366,945</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34,370</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10,955</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Ecuador</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15,571</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30,265</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Republic of El Salvador</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14,249</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9,382</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13,393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5,373</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Republic of Panama</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3,986</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8,860</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46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Pr>
          <w:p>
            <w:pPr>
              <w:spacing w:after="0"/>
              <w:rPr>
                <w:sz w:val="23"/>
                <w:szCs w:val="23"/>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5,971,277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5,051,470</w:t>
            </w:r>
          </w:p>
        </w:tc>
        <w:tc>
          <w:tcPr>
            <w:tcW w:w="10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680" w:type="dxa"/>
            <w:vAlign w:val="bottom"/>
          </w:tcPr>
          <w:p>
            <w:pPr>
              <w:spacing w:after="0"/>
              <w:rPr>
                <w:sz w:val="24"/>
                <w:szCs w:val="24"/>
                <w:color w:val="auto"/>
              </w:rPr>
            </w:pPr>
          </w:p>
        </w:tc>
        <w:tc>
          <w:tcPr>
            <w:tcW w:w="6260" w:type="dxa"/>
            <w:vAlign w:val="bottom"/>
            <w:gridSpan w:val="4"/>
          </w:tcPr>
          <w:p>
            <w:pPr>
              <w:ind w:left="1860"/>
              <w:spacing w:after="0"/>
              <w:rPr>
                <w:sz w:val="20"/>
                <w:szCs w:val="20"/>
                <w:color w:val="auto"/>
              </w:rPr>
            </w:pPr>
            <w:r>
              <w:rPr>
                <w:rFonts w:ascii="Arial" w:cs="Arial" w:eastAsia="Arial" w:hAnsi="Arial"/>
                <w:sz w:val="18"/>
                <w:szCs w:val="18"/>
                <w:color w:val="auto"/>
              </w:rPr>
              <w:t>F-39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ind w:left="1160" w:hanging="666"/>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credit) is shown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2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218,636</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271,873</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326,677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(4,243)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44,284</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35,032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32,287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Allowance disposal related to the sale of Banco Tequendama, note 2(c)</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(9,024)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(49,859)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(71,405)</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(105,267)</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w:t>
            </w:r>
          </w:p>
        </w:tc>
        <w:tc>
          <w:tcPr>
            <w:tcW w:w="1380" w:type="dxa"/>
            <w:vAlign w:val="bottom"/>
          </w:tcPr>
          <w:p>
            <w:pPr>
              <w:jc w:val="right"/>
              <w:spacing w:after="0"/>
              <w:rPr>
                <w:sz w:val="20"/>
                <w:szCs w:val="20"/>
                <w:color w:val="auto"/>
              </w:rPr>
            </w:pPr>
            <w:r>
              <w:rPr>
                <w:rFonts w:ascii="Arial" w:cs="Arial" w:eastAsia="Arial" w:hAnsi="Arial"/>
                <w:sz w:val="18"/>
                <w:szCs w:val="18"/>
                <w:color w:val="auto"/>
              </w:rPr>
              <w:t>210,586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218,636</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300" w:right="300" w:hanging="320"/>
        <w:spacing w:after="0" w:line="264" w:lineRule="auto"/>
        <w:tabs>
          <w:tab w:leader="none" w:pos="149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credits for approximately US$190.3 and US$20.3 million, respectively, as of December 31, 2006 (approximately US$197.5 and US$21.1 million and US$253.4 and US$18.5 million, respectively, as of December 31, 2005 and 2004). The allowance for indirect loan losses is included in the “Other liabilities” caption of the consolidated balance sheet, note 11(a).</w:t>
      </w:r>
    </w:p>
    <w:p>
      <w:pPr>
        <w:spacing w:after="0" w:line="237"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2006, 2005 and 2004 has been established in accordance with IAS 39 and it is sufficient to cover the losses on the loans portfolio, note 3(f).</w:t>
      </w:r>
    </w:p>
    <w:p>
      <w:pPr>
        <w:spacing w:after="0" w:line="224" w:lineRule="exact"/>
        <w:rPr>
          <w:sz w:val="20"/>
          <w:szCs w:val="20"/>
          <w:color w:val="auto"/>
        </w:rPr>
      </w:pPr>
    </w:p>
    <w:p>
      <w:pPr>
        <w:ind w:left="1140" w:right="560" w:hanging="646"/>
        <w:spacing w:after="0" w:line="277" w:lineRule="auto"/>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80" w:hanging="646"/>
        <w:spacing w:after="0" w:line="277" w:lineRule="auto"/>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of December 31, 2006 and 2005, the direct gross loan portfolio classified by maturity, based in the remaining period to the repayment date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Outstanding loans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Up to 1 year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3,774,711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3,029,773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From 1 to 3 years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797,458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762,834</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From 3 to 5 years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464,718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474,294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Over 5 years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857,620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688,800</w:t>
            </w:r>
          </w:p>
        </w:tc>
      </w:tr>
      <w:tr>
        <w:trPr>
          <w:trHeight w:val="243"/>
        </w:trPr>
        <w:tc>
          <w:tcPr>
            <w:tcW w:w="83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Past due loans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Up to 4 months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20,655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3,644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Over 4 months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21,613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44,664</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Under legal collection loans</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34,502</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47,461</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5,971,277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5,051,470</w:t>
            </w:r>
          </w:p>
        </w:tc>
      </w:tr>
      <w:tr>
        <w:trPr>
          <w:trHeight w:val="467"/>
        </w:trPr>
        <w:tc>
          <w:tcPr>
            <w:tcW w:w="8340" w:type="dxa"/>
            <w:vAlign w:val="bottom"/>
            <w:tcBorders>
              <w:top w:val="single" w:sz="8" w:color="CCFFCC"/>
            </w:tcBorders>
          </w:tcPr>
          <w:p>
            <w:pPr>
              <w:ind w:left="1140"/>
              <w:spacing w:after="0"/>
              <w:rPr>
                <w:sz w:val="20"/>
                <w:szCs w:val="20"/>
                <w:color w:val="auto"/>
              </w:rPr>
            </w:pPr>
            <w:r>
              <w:rPr>
                <w:rFonts w:ascii="Arial" w:cs="Arial" w:eastAsia="Arial" w:hAnsi="Arial"/>
                <w:sz w:val="18"/>
                <w:szCs w:val="18"/>
                <w:color w:val="auto"/>
              </w:rPr>
              <w:t>Interest on past due loans and loans in legal collection are recognized when collected.</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pacing w:after="0" w:line="256" w:lineRule="exact"/>
        <w:rPr>
          <w:sz w:val="20"/>
          <w:szCs w:val="20"/>
          <w:color w:val="auto"/>
        </w:rPr>
      </w:pPr>
    </w:p>
    <w:p>
      <w:pPr>
        <w:ind w:left="1140" w:right="1020"/>
        <w:spacing w:after="0" w:line="277" w:lineRule="auto"/>
        <w:rPr>
          <w:sz w:val="20"/>
          <w:szCs w:val="20"/>
          <w:color w:val="auto"/>
        </w:rPr>
      </w:pPr>
      <w:r>
        <w:rPr>
          <w:rFonts w:ascii="Arial" w:cs="Arial" w:eastAsia="Arial" w:hAnsi="Arial"/>
          <w:sz w:val="18"/>
          <w:szCs w:val="18"/>
          <w:color w:val="auto"/>
        </w:rPr>
        <w:t>The interest income that would have been recorded for these credits in accordance with the terms of the original contract amount approximately US$28.1 and US$25.8 million as of December 31, 2006 and 2005, respectively.</w:t>
      </w:r>
    </w:p>
    <w:p>
      <w:pPr>
        <w:spacing w:after="0" w:line="224" w:lineRule="exact"/>
        <w:rPr>
          <w:sz w:val="20"/>
          <w:szCs w:val="20"/>
          <w:color w:val="auto"/>
        </w:rPr>
      </w:pPr>
    </w:p>
    <w:p>
      <w:pPr>
        <w:ind w:left="1140" w:right="140" w:hanging="646"/>
        <w:spacing w:after="0" w:line="277" w:lineRule="auto"/>
        <w:tabs>
          <w:tab w:leader="none" w:pos="12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of December 31, 2006 and 2005, 51 percent of the direct and indirect loans portfolio of the BCP was concentrated on approximately 443 and 313 clients,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323" w:lineRule="exact"/>
        <w:rPr>
          <w:rFonts w:ascii="Arial" w:cs="Arial" w:eastAsia="Arial" w:hAnsi="Arial"/>
          <w:sz w:val="18"/>
          <w:szCs w:val="18"/>
          <w:b w:val="1"/>
          <w:bCs w:val="1"/>
          <w:color w:val="auto"/>
        </w:rPr>
      </w:pPr>
    </w:p>
    <w:p>
      <w:pPr>
        <w:ind w:left="1120" w:hanging="626"/>
        <w:spacing w:after="0"/>
        <w:tabs>
          <w:tab w:leader="none" w:pos="11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movement of property, furniture and equipment and accumulated depreciation, for the years ended 2006 and 2005,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Buildings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Furniture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Vehicles</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Work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and other</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and</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Computer</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and</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in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Land</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construction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Installations</w:t>
            </w: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fixtures</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hardware</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equipment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progress</w:t>
            </w: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US$(000)</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US$(000)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Cost -</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00" w:type="dxa"/>
            <w:vAlign w:val="bottom"/>
            <w:shd w:val="clear" w:color="auto" w:fill="CCFFCC"/>
          </w:tcPr>
          <w:p>
            <w:pPr>
              <w:spacing w:after="0" w:line="249" w:lineRule="exact"/>
              <w:rPr>
                <w:sz w:val="20"/>
                <w:szCs w:val="20"/>
                <w:color w:val="auto"/>
              </w:rPr>
            </w:pPr>
            <w:r>
              <w:rPr>
                <w:rFonts w:ascii="Arial" w:cs="Arial" w:eastAsia="Arial" w:hAnsi="Arial"/>
                <w:sz w:val="16"/>
                <w:szCs w:val="16"/>
                <w:b w:val="1"/>
                <w:bCs w:val="1"/>
                <w:color w:val="auto"/>
              </w:rPr>
              <w:t>Balance as of January 1</w:t>
            </w:r>
            <w:r>
              <w:rPr>
                <w:rFonts w:ascii="Arial" w:cs="Arial" w:eastAsia="Arial" w:hAnsi="Arial"/>
                <w:sz w:val="27"/>
                <w:szCs w:val="27"/>
                <w:b w:val="1"/>
                <w:bCs w:val="1"/>
                <w:color w:val="auto"/>
                <w:vertAlign w:val="superscript"/>
              </w:rPr>
              <w:t>st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29,729</w:t>
            </w: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255,351</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80,990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65,521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168,784</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13,999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11,946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626,320</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610,239</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Additions</w:t>
            </w:r>
          </w:p>
        </w:tc>
        <w:tc>
          <w:tcPr>
            <w:tcW w:w="720" w:type="dxa"/>
            <w:vAlign w:val="bottom"/>
          </w:tcPr>
          <w:p>
            <w:pPr>
              <w:jc w:val="right"/>
              <w:spacing w:after="0"/>
              <w:rPr>
                <w:sz w:val="20"/>
                <w:szCs w:val="20"/>
                <w:color w:val="auto"/>
              </w:rPr>
            </w:pPr>
            <w:r>
              <w:rPr>
                <w:rFonts w:ascii="Arial" w:cs="Arial" w:eastAsia="Arial" w:hAnsi="Arial"/>
                <w:sz w:val="16"/>
                <w:szCs w:val="16"/>
                <w:color w:val="auto"/>
              </w:rPr>
              <w:t>3,451</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1,879</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6,171</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2,905</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17,842</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3,498</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8,227</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43,973</w:t>
            </w:r>
          </w:p>
        </w:tc>
        <w:tc>
          <w:tcPr>
            <w:tcW w:w="760" w:type="dxa"/>
            <w:vAlign w:val="bottom"/>
          </w:tcPr>
          <w:p>
            <w:pPr>
              <w:jc w:val="right"/>
              <w:spacing w:after="0"/>
              <w:rPr>
                <w:sz w:val="20"/>
                <w:szCs w:val="20"/>
                <w:color w:val="auto"/>
              </w:rPr>
            </w:pPr>
            <w:r>
              <w:rPr>
                <w:rFonts w:ascii="Arial" w:cs="Arial" w:eastAsia="Arial" w:hAnsi="Arial"/>
                <w:sz w:val="16"/>
                <w:szCs w:val="16"/>
                <w:color w:val="auto"/>
              </w:rPr>
              <w:t>48,769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Merger additions, note 2(a)</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452</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2,068</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2,900</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84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5,796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Sales and transfers</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(2,690)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(6,865)</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1,540</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(1,429)</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(4,053)</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(458)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(2,800)</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(16,755)</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(22,307)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Assets retired related to the sell of Banco</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Tequendama</w:t>
            </w:r>
          </w:p>
        </w:tc>
        <w:tc>
          <w:tcPr>
            <w:tcW w:w="72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(10,381)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December 31</w:t>
            </w:r>
          </w:p>
        </w:tc>
        <w:tc>
          <w:tcPr>
            <w:tcW w:w="720" w:type="dxa"/>
            <w:vAlign w:val="bottom"/>
          </w:tcPr>
          <w:p>
            <w:pPr>
              <w:jc w:val="right"/>
              <w:spacing w:after="0"/>
              <w:rPr>
                <w:sz w:val="20"/>
                <w:szCs w:val="20"/>
                <w:color w:val="auto"/>
              </w:rPr>
            </w:pPr>
            <w:r>
              <w:rPr>
                <w:rFonts w:ascii="Arial" w:cs="Arial" w:eastAsia="Arial" w:hAnsi="Arial"/>
                <w:sz w:val="16"/>
                <w:szCs w:val="16"/>
                <w:color w:val="auto"/>
              </w:rPr>
              <w:t>30,782</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250,817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88,701</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69,065</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185,473</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17,123</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17,373</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659,334</w:t>
            </w:r>
          </w:p>
        </w:tc>
        <w:tc>
          <w:tcPr>
            <w:tcW w:w="760" w:type="dxa"/>
            <w:vAlign w:val="bottom"/>
          </w:tcPr>
          <w:p>
            <w:pPr>
              <w:jc w:val="right"/>
              <w:spacing w:after="0"/>
              <w:rPr>
                <w:sz w:val="20"/>
                <w:szCs w:val="20"/>
                <w:color w:val="auto"/>
              </w:rPr>
            </w:pPr>
            <w:r>
              <w:rPr>
                <w:rFonts w:ascii="Arial" w:cs="Arial" w:eastAsia="Arial" w:hAnsi="Arial"/>
                <w:sz w:val="16"/>
                <w:szCs w:val="16"/>
                <w:color w:val="auto"/>
              </w:rPr>
              <w:t>626,320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00" w:type="dxa"/>
            <w:vAlign w:val="bottom"/>
            <w:shd w:val="clear" w:color="auto" w:fill="CCFFCC"/>
          </w:tcPr>
          <w:p>
            <w:pPr>
              <w:spacing w:after="0"/>
              <w:rPr>
                <w:sz w:val="17"/>
                <w:szCs w:val="17"/>
                <w:color w:val="auto"/>
              </w:rPr>
            </w:pPr>
          </w:p>
        </w:tc>
        <w:tc>
          <w:tcPr>
            <w:tcW w:w="72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Accumulated depreciation -</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FFCC"/>
          </w:tcPr>
          <w:p>
            <w:pPr>
              <w:spacing w:after="0" w:line="242" w:lineRule="exact"/>
              <w:rPr>
                <w:sz w:val="20"/>
                <w:szCs w:val="20"/>
                <w:color w:val="auto"/>
              </w:rPr>
            </w:pPr>
            <w:r>
              <w:rPr>
                <w:rFonts w:ascii="Arial" w:cs="Arial" w:eastAsia="Arial" w:hAnsi="Arial"/>
                <w:sz w:val="16"/>
                <w:szCs w:val="16"/>
                <w:b w:val="1"/>
                <w:bCs w:val="1"/>
                <w:color w:val="auto"/>
              </w:rPr>
              <w:t>Balance as of January 1</w:t>
            </w:r>
            <w:r>
              <w:rPr>
                <w:rFonts w:ascii="Arial" w:cs="Arial" w:eastAsia="Arial" w:hAnsi="Arial"/>
                <w:sz w:val="27"/>
                <w:szCs w:val="27"/>
                <w:b w:val="1"/>
                <w:bCs w:val="1"/>
                <w:color w:val="auto"/>
                <w:vertAlign w:val="superscript"/>
              </w:rPr>
              <w:t>st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129,630</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51,291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51,980</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140,103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5,017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378,021</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363,527</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Additions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7,074</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6,512</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3,522</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12,870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1,499</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31,477</w:t>
            </w:r>
          </w:p>
        </w:tc>
        <w:tc>
          <w:tcPr>
            <w:tcW w:w="760" w:type="dxa"/>
            <w:vAlign w:val="bottom"/>
          </w:tcPr>
          <w:p>
            <w:pPr>
              <w:jc w:val="right"/>
              <w:spacing w:after="0"/>
              <w:rPr>
                <w:sz w:val="20"/>
                <w:szCs w:val="20"/>
                <w:color w:val="auto"/>
              </w:rPr>
            </w:pPr>
            <w:r>
              <w:rPr>
                <w:rFonts w:ascii="Arial" w:cs="Arial" w:eastAsia="Arial" w:hAnsi="Arial"/>
                <w:sz w:val="16"/>
                <w:szCs w:val="16"/>
                <w:color w:val="auto"/>
              </w:rPr>
              <w:t>30,559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Merger additions, note 2(a)</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158</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1,465</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2,056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Sales and transfers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(3,064)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(795)</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(1,496)</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(3,572)</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(451)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(9,378)</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(6,633)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Assets retired related to the sell of Banco</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Tequendama</w:t>
            </w:r>
          </w:p>
        </w:tc>
        <w:tc>
          <w:tcPr>
            <w:tcW w:w="72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(9,432)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December 31</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133,798</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57,008</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55,471</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151,457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6,122</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403,856</w:t>
            </w:r>
          </w:p>
        </w:tc>
        <w:tc>
          <w:tcPr>
            <w:tcW w:w="760" w:type="dxa"/>
            <w:vAlign w:val="bottom"/>
          </w:tcPr>
          <w:p>
            <w:pPr>
              <w:jc w:val="right"/>
              <w:spacing w:after="0"/>
              <w:rPr>
                <w:sz w:val="20"/>
                <w:szCs w:val="20"/>
                <w:color w:val="auto"/>
              </w:rPr>
            </w:pPr>
            <w:r>
              <w:rPr>
                <w:rFonts w:ascii="Arial" w:cs="Arial" w:eastAsia="Arial" w:hAnsi="Arial"/>
                <w:sz w:val="16"/>
                <w:szCs w:val="16"/>
                <w:color w:val="auto"/>
              </w:rPr>
              <w:t>378,021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00" w:type="dxa"/>
            <w:vAlign w:val="bottom"/>
            <w:shd w:val="clear" w:color="auto" w:fill="CCFFCC"/>
          </w:tcPr>
          <w:p>
            <w:pPr>
              <w:spacing w:after="0"/>
              <w:rPr>
                <w:sz w:val="17"/>
                <w:szCs w:val="17"/>
                <w:color w:val="auto"/>
              </w:rPr>
            </w:pPr>
          </w:p>
        </w:tc>
        <w:tc>
          <w:tcPr>
            <w:tcW w:w="72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720" w:type="dxa"/>
            <w:vAlign w:val="bottom"/>
          </w:tcPr>
          <w:p>
            <w:pPr>
              <w:jc w:val="right"/>
              <w:spacing w:after="0"/>
              <w:rPr>
                <w:sz w:val="20"/>
                <w:szCs w:val="20"/>
                <w:color w:val="auto"/>
              </w:rPr>
            </w:pPr>
            <w:r>
              <w:rPr>
                <w:rFonts w:ascii="Arial" w:cs="Arial" w:eastAsia="Arial" w:hAnsi="Arial"/>
                <w:sz w:val="16"/>
                <w:szCs w:val="16"/>
                <w:color w:val="auto"/>
              </w:rPr>
              <w:t>30,782</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117,019</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31,693</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13,594</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34,016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11,001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17,373</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255,478</w:t>
            </w:r>
          </w:p>
        </w:tc>
        <w:tc>
          <w:tcPr>
            <w:tcW w:w="760" w:type="dxa"/>
            <w:vAlign w:val="bottom"/>
          </w:tcPr>
          <w:p>
            <w:pPr>
              <w:jc w:val="right"/>
              <w:spacing w:after="0"/>
              <w:rPr>
                <w:sz w:val="20"/>
                <w:szCs w:val="20"/>
                <w:color w:val="auto"/>
              </w:rPr>
            </w:pPr>
            <w:r>
              <w:rPr>
                <w:rFonts w:ascii="Arial" w:cs="Arial" w:eastAsia="Arial" w:hAnsi="Arial"/>
                <w:sz w:val="16"/>
                <w:szCs w:val="16"/>
                <w:color w:val="auto"/>
              </w:rPr>
              <w:t>248,299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60" w:hanging="666"/>
        <w:spacing w:after="0"/>
        <w:tabs>
          <w:tab w:leader="none" w:pos="11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w:t>
      </w:r>
    </w:p>
    <w:p>
      <w:pPr>
        <w:spacing w:after="0" w:line="319" w:lineRule="exact"/>
        <w:rPr>
          <w:rFonts w:ascii="Arial" w:cs="Arial" w:eastAsia="Arial" w:hAnsi="Arial"/>
          <w:sz w:val="18"/>
          <w:szCs w:val="18"/>
          <w:color w:val="auto"/>
        </w:rPr>
      </w:pPr>
    </w:p>
    <w:p>
      <w:pPr>
        <w:ind w:left="1140" w:right="300" w:hanging="646"/>
        <w:spacing w:after="0" w:line="360" w:lineRule="auto"/>
        <w:tabs>
          <w:tab w:leader="none" w:pos="117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As of December 31, 2006, Credicorp and its Subsidiaries have property available for sale for US$25.2 million approximately, net of its accumulated depreciation amounted US$7.7 million approximately (US$27.1 and US$9.8 million, respectively, as of December 31, 2005).</w:t>
      </w:r>
    </w:p>
    <w:p>
      <w:pPr>
        <w:spacing w:after="0" w:line="204" w:lineRule="exact"/>
        <w:rPr>
          <w:rFonts w:ascii="Arial" w:cs="Arial" w:eastAsia="Arial" w:hAnsi="Arial"/>
          <w:sz w:val="16"/>
          <w:szCs w:val="16"/>
          <w:color w:val="auto"/>
        </w:rPr>
      </w:pPr>
    </w:p>
    <w:p>
      <w:pPr>
        <w:ind w:left="1140" w:right="20" w:hanging="646"/>
        <w:spacing w:after="0" w:line="320" w:lineRule="auto"/>
        <w:tabs>
          <w:tab w:leader="none" w:pos="113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Management periodically review the assets´ residual value, the useful life and the method of depreciation to ensure that the method and period of depreciation chosen are consistent with the economic benefits and life expectations for use of property, furniture and equipment items. In Management’s opinion, there is no evidence of impairment of property, furniture and equipment as of December 31, 2006 and 2005.</w:t>
      </w:r>
    </w:p>
    <w:p>
      <w:pPr>
        <w:spacing w:after="0" w:line="191" w:lineRule="exact"/>
        <w:rPr>
          <w:rFonts w:ascii="Arial" w:cs="Arial" w:eastAsia="Arial" w:hAnsi="Arial"/>
          <w:sz w:val="16"/>
          <w:szCs w:val="16"/>
          <w:color w:val="auto"/>
        </w:rPr>
      </w:pPr>
    </w:p>
    <w:p>
      <w:pPr>
        <w:ind w:left="500" w:hanging="492"/>
        <w:spacing w:after="0"/>
        <w:tabs>
          <w:tab w:leader="none" w:pos="5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Assets seized, net</w:t>
      </w:r>
    </w:p>
    <w:p>
      <w:pPr>
        <w:spacing w:after="0" w:line="323" w:lineRule="exact"/>
        <w:rPr>
          <w:rFonts w:ascii="Arial" w:cs="Arial" w:eastAsia="Arial" w:hAnsi="Arial"/>
          <w:sz w:val="18"/>
          <w:szCs w:val="18"/>
          <w:b w:val="1"/>
          <w:bCs w:val="1"/>
          <w:color w:val="auto"/>
        </w:rPr>
      </w:pPr>
    </w:p>
    <w:p>
      <w:pPr>
        <w:ind w:left="1140" w:right="20" w:hanging="646"/>
        <w:spacing w:after="0" w:line="271" w:lineRule="auto"/>
        <w:tabs>
          <w:tab w:leader="none" w:pos="117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As of December 31, 2006 and 2005, this caption includes land, buildings, machinery and equipment received in payment of loans. Assets seized were recorded at the lower of cost or estimated fair values determined on the basis of technical third party appraisals. This item is made up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3"/>
                <w:szCs w:val="23"/>
                <w:color w:val="auto"/>
              </w:rPr>
            </w:pPr>
          </w:p>
        </w:tc>
      </w:tr>
      <w:tr>
        <w:trPr>
          <w:trHeight w:val="480"/>
        </w:trPr>
        <w:tc>
          <w:tcPr>
            <w:tcW w:w="8340" w:type="dxa"/>
            <w:vAlign w:val="bottom"/>
          </w:tcPr>
          <w:p>
            <w:pPr>
              <w:spacing w:after="0"/>
              <w:rPr>
                <w:sz w:val="20"/>
                <w:szCs w:val="20"/>
                <w:color w:val="auto"/>
              </w:rPr>
            </w:pPr>
            <w:r>
              <w:rPr>
                <w:rFonts w:ascii="Arial" w:cs="Arial" w:eastAsia="Arial" w:hAnsi="Arial"/>
                <w:sz w:val="18"/>
                <w:szCs w:val="18"/>
                <w:color w:val="auto"/>
              </w:rPr>
              <w:t>Assets seized</w:t>
            </w:r>
          </w:p>
        </w:tc>
        <w:tc>
          <w:tcPr>
            <w:tcW w:w="1380" w:type="dxa"/>
            <w:vAlign w:val="bottom"/>
          </w:tcPr>
          <w:p>
            <w:pPr>
              <w:jc w:val="right"/>
              <w:spacing w:after="0"/>
              <w:rPr>
                <w:sz w:val="20"/>
                <w:szCs w:val="20"/>
                <w:color w:val="auto"/>
              </w:rPr>
            </w:pPr>
            <w:r>
              <w:rPr>
                <w:rFonts w:ascii="Arial" w:cs="Arial" w:eastAsia="Arial" w:hAnsi="Arial"/>
                <w:sz w:val="18"/>
                <w:szCs w:val="18"/>
                <w:color w:val="auto"/>
              </w:rPr>
              <w:t>52,432</w:t>
            </w:r>
          </w:p>
        </w:tc>
        <w:tc>
          <w:tcPr>
            <w:tcW w:w="2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71,469</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Reserve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(23,005)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(32,096)</w:t>
            </w:r>
          </w:p>
        </w:tc>
      </w:tr>
      <w:tr>
        <w:trPr>
          <w:trHeight w:val="480"/>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22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39,373</w:t>
            </w:r>
          </w:p>
        </w:tc>
        <w:tc>
          <w:tcPr>
            <w:tcW w:w="60" w:type="dxa"/>
            <w:vAlign w:val="bottom"/>
          </w:tcPr>
          <w:p>
            <w:pPr>
              <w:spacing w:after="0"/>
              <w:rPr>
                <w:sz w:val="24"/>
                <w:szCs w:val="24"/>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40" w:hanging="646"/>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changes in the reserve for assets seized as of December 31, 2006, 2005 and 2004 are summarized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p>
        </w:tc>
        <w:tc>
          <w:tcPr>
            <w:tcW w:w="3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32,096</w:t>
            </w:r>
          </w:p>
        </w:tc>
        <w:tc>
          <w:tcPr>
            <w:tcW w:w="24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34,666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35,047</w:t>
            </w: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6,387</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w w:val="97"/>
              </w:rPr>
              <w:t>Assets retired related to the sell of Banco Tequendama, note 2(c)</w:t>
            </w:r>
          </w:p>
        </w:tc>
        <w:tc>
          <w:tcPr>
            <w:tcW w:w="3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Sold assets</w:t>
            </w:r>
          </w:p>
        </w:tc>
        <w:tc>
          <w:tcPr>
            <w:tcW w:w="16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(15,478)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(17,851)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(15,020)</w:t>
            </w:r>
          </w:p>
        </w:tc>
        <w:tc>
          <w:tcPr>
            <w:tcW w:w="0" w:type="dxa"/>
            <w:vAlign w:val="bottom"/>
          </w:tcPr>
          <w:p>
            <w:pPr>
              <w:spacing w:after="0"/>
              <w:rPr>
                <w:sz w:val="1"/>
                <w:szCs w:val="1"/>
                <w:color w:val="auto"/>
              </w:rPr>
            </w:pPr>
          </w:p>
        </w:tc>
      </w:tr>
      <w:tr>
        <w:trPr>
          <w:trHeight w:val="237"/>
        </w:trPr>
        <w:tc>
          <w:tcPr>
            <w:tcW w:w="5100" w:type="dxa"/>
            <w:vAlign w:val="bottom"/>
            <w:gridSpan w:val="2"/>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w:t>
            </w:r>
          </w:p>
        </w:tc>
        <w:tc>
          <w:tcPr>
            <w:tcW w:w="16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23,005</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32,096</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34,666</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60" w:type="dxa"/>
            <w:vAlign w:val="bottom"/>
            <w:gridSpan w:val="3"/>
          </w:tcPr>
          <w:p>
            <w:pPr>
              <w:jc w:val="right"/>
              <w:ind w:right="2480"/>
              <w:spacing w:after="0"/>
              <w:rPr>
                <w:sz w:val="20"/>
                <w:szCs w:val="20"/>
                <w:color w:val="auto"/>
              </w:rPr>
            </w:pPr>
            <w:r>
              <w:rPr>
                <w:rFonts w:ascii="Arial" w:cs="Arial" w:eastAsia="Arial" w:hAnsi="Arial"/>
                <w:sz w:val="18"/>
                <w:szCs w:val="18"/>
                <w:color w:val="auto"/>
              </w:rPr>
              <w:t>F-43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and goodwill, net</w:t>
      </w:r>
    </w:p>
    <w:p>
      <w:pPr>
        <w:spacing w:after="0" w:line="324" w:lineRule="exact"/>
        <w:rPr>
          <w:sz w:val="20"/>
          <w:szCs w:val="20"/>
          <w:color w:val="auto"/>
        </w:rPr>
      </w:pPr>
    </w:p>
    <w:p>
      <w:pPr>
        <w:ind w:left="1180" w:hanging="686"/>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293" w:lineRule="exact"/>
        <w:rPr>
          <w:sz w:val="20"/>
          <w:szCs w:val="20"/>
          <w:color w:val="auto"/>
        </w:rPr>
      </w:pPr>
    </w:p>
    <w:p>
      <w:pPr>
        <w:ind w:left="1140" w:right="420"/>
        <w:spacing w:after="0" w:line="342" w:lineRule="auto"/>
        <w:rPr>
          <w:sz w:val="20"/>
          <w:szCs w:val="20"/>
          <w:color w:val="auto"/>
        </w:rPr>
      </w:pPr>
      <w:r>
        <w:rPr>
          <w:rFonts w:ascii="Arial" w:cs="Arial" w:eastAsia="Arial" w:hAnsi="Arial"/>
          <w:sz w:val="16"/>
          <w:szCs w:val="16"/>
          <w:color w:val="auto"/>
        </w:rPr>
        <w:t>Comprise mainly the identified intangible assets as result of the acquisition of the “client relationships” and other in the purchase of AFP Union Vida, note 2(a) and the incurred cost on the development and acquisition of software licenses used in the Group operations.</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intangible assets for the years ended December 31, 2006 and 2005 is as follows: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41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w:t>
      </w:r>
    </w:p>
    <w:p>
      <w:pPr>
        <w:spacing w:after="0" w:line="217" w:lineRule="auto"/>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30"/>
          <w:szCs w:val="30"/>
          <w:color w:val="auto"/>
          <w:vertAlign w:val="superscript"/>
        </w:rPr>
        <w:t>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business combination, note 2(a)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3(b)</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Retirements and write - off</w:t>
      </w:r>
    </w:p>
    <w:p>
      <w:pPr>
        <w:spacing w:after="0" w:line="316" w:lineRule="exact"/>
        <w:rPr>
          <w:sz w:val="20"/>
          <w:szCs w:val="20"/>
          <w:color w:val="auto"/>
        </w:rPr>
      </w:pPr>
    </w:p>
    <w:p>
      <w:pPr>
        <w:ind w:right="1320"/>
        <w:spacing w:after="0" w:line="337" w:lineRule="auto"/>
        <w:rPr>
          <w:sz w:val="20"/>
          <w:szCs w:val="20"/>
          <w:color w:val="auto"/>
        </w:rPr>
      </w:pPr>
      <w:r>
        <w:rPr>
          <w:rFonts w:ascii="Arial" w:cs="Arial" w:eastAsia="Arial" w:hAnsi="Arial"/>
          <w:sz w:val="16"/>
          <w:szCs w:val="16"/>
          <w:b w:val="1"/>
          <w:bCs w:val="1"/>
          <w:color w:val="auto"/>
        </w:rPr>
        <w:t>Balance as of December 31 Accumulated amortization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Client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Software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Developments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Others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r>
      <w:tr>
        <w:trPr>
          <w:trHeight w:val="743"/>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26,618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23,950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51,082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81,969</w:t>
            </w:r>
          </w:p>
        </w:tc>
      </w:tr>
      <w:tr>
        <w:trPr>
          <w:trHeight w:val="243"/>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10,848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19,767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11,933</w:t>
            </w:r>
          </w:p>
        </w:tc>
      </w:tr>
      <w:tr>
        <w:trPr>
          <w:trHeight w:val="432"/>
        </w:trPr>
        <w:tc>
          <w:tcPr>
            <w:tcW w:w="1160" w:type="dxa"/>
            <w:vAlign w:val="bottom"/>
          </w:tcPr>
          <w:p>
            <w:pPr>
              <w:jc w:val="right"/>
              <w:spacing w:after="0"/>
              <w:rPr>
                <w:sz w:val="20"/>
                <w:szCs w:val="20"/>
                <w:color w:val="auto"/>
              </w:rPr>
            </w:pPr>
            <w:r>
              <w:rPr>
                <w:rFonts w:ascii="Arial" w:cs="Arial" w:eastAsia="Arial" w:hAnsi="Arial"/>
                <w:sz w:val="18"/>
                <w:szCs w:val="18"/>
                <w:color w:val="auto"/>
              </w:rPr>
              <w:t>88,378</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8,542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10,922</w:t>
            </w:r>
          </w:p>
        </w:tc>
        <w:tc>
          <w:tcPr>
            <w:tcW w:w="1120" w:type="dxa"/>
            <w:vAlign w:val="bottom"/>
          </w:tcPr>
          <w:p>
            <w:pPr>
              <w:jc w:val="right"/>
              <w:spacing w:after="0"/>
              <w:rPr>
                <w:sz w:val="20"/>
                <w:szCs w:val="20"/>
                <w:color w:val="auto"/>
              </w:rPr>
            </w:pPr>
            <w:r>
              <w:rPr>
                <w:rFonts w:ascii="Arial" w:cs="Arial" w:eastAsia="Arial" w:hAnsi="Arial"/>
                <w:sz w:val="18"/>
                <w:szCs w:val="18"/>
                <w:color w:val="auto"/>
              </w:rPr>
              <w:t>107,842</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(5,091)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(1,153)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(42,820)</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7"/>
        </w:trPr>
        <w:tc>
          <w:tcPr>
            <w:tcW w:w="1160" w:type="dxa"/>
            <w:vAlign w:val="bottom"/>
          </w:tcPr>
          <w:p>
            <w:pPr>
              <w:jc w:val="right"/>
              <w:spacing w:after="0"/>
              <w:rPr>
                <w:sz w:val="20"/>
                <w:szCs w:val="20"/>
                <w:color w:val="auto"/>
              </w:rPr>
            </w:pPr>
            <w:r>
              <w:rPr>
                <w:rFonts w:ascii="Arial" w:cs="Arial" w:eastAsia="Arial" w:hAnsi="Arial"/>
                <w:sz w:val="18"/>
                <w:szCs w:val="18"/>
                <w:color w:val="auto"/>
              </w:rPr>
              <w:t>88,378</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40,917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32,447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10,283</w:t>
            </w:r>
          </w:p>
        </w:tc>
        <w:tc>
          <w:tcPr>
            <w:tcW w:w="1120" w:type="dxa"/>
            <w:vAlign w:val="bottom"/>
          </w:tcPr>
          <w:p>
            <w:pPr>
              <w:jc w:val="right"/>
              <w:spacing w:after="0"/>
              <w:rPr>
                <w:sz w:val="20"/>
                <w:szCs w:val="20"/>
                <w:color w:val="auto"/>
              </w:rPr>
            </w:pPr>
            <w:r>
              <w:rPr>
                <w:rFonts w:ascii="Arial" w:cs="Arial" w:eastAsia="Arial" w:hAnsi="Arial"/>
                <w:sz w:val="18"/>
                <w:szCs w:val="18"/>
                <w:color w:val="auto"/>
              </w:rPr>
              <w:t>172,025</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51,082</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-1105535</wp:posOffset>
            </wp:positionV>
            <wp:extent cx="724662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-788035</wp:posOffset>
            </wp:positionV>
            <wp:extent cx="7246620" cy="274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-334010</wp:posOffset>
            </wp:positionV>
            <wp:extent cx="72466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0</wp:posOffset>
            </wp:positionV>
            <wp:extent cx="72466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3480" w:space="420"/>
            <w:col w:w="7520"/>
          </w:cols>
          <w:pgMar w:left="240" w:top="375" w:right="2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3660" w:type="dxa"/>
            <w:vAlign w:val="bottom"/>
          </w:tcPr>
          <w:p>
            <w:pPr>
              <w:spacing w:after="0" w:line="258"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9"/>
                <w:szCs w:val="29"/>
                <w:color w:val="auto"/>
                <w:vertAlign w:val="superscript"/>
              </w:rPr>
              <w:t>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14,667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26,422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61,058</w:t>
            </w: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the year</w:t>
            </w:r>
          </w:p>
        </w:tc>
        <w:tc>
          <w:tcPr>
            <w:tcW w:w="14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9,022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18,840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8,169</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4"/>
              </w:rPr>
              <w:t>Incorporated by business combination, note 2(a)</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and 3(b)</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5,360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1120" w:type="dxa"/>
            <w:vAlign w:val="bottom"/>
          </w:tcPr>
          <w:p>
            <w:pPr>
              <w:jc w:val="right"/>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Retirements and write - off</w:t>
            </w:r>
          </w:p>
        </w:tc>
        <w:tc>
          <w:tcPr>
            <w:tcW w:w="24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(4,994)</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(418)</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(1,067)</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(6,479)</w:t>
            </w:r>
          </w:p>
        </w:tc>
        <w:tc>
          <w:tcPr>
            <w:tcW w:w="12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(42,805)</w:t>
            </w:r>
          </w:p>
        </w:tc>
      </w:tr>
      <w:tr>
        <w:trPr>
          <w:trHeight w:val="20"/>
        </w:trPr>
        <w:tc>
          <w:tcPr>
            <w:tcW w:w="36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366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20,665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18,439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4,643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45,220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26,422</w:t>
            </w:r>
          </w:p>
        </w:tc>
      </w:tr>
      <w:tr>
        <w:trPr>
          <w:trHeight w:val="237"/>
        </w:trPr>
        <w:tc>
          <w:tcPr>
            <w:tcW w:w="3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80" w:type="dxa"/>
            <w:vAlign w:val="bottom"/>
            <w:tcBorders>
              <w:top w:val="single" w:sz="8" w:color="auto"/>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86,905</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14,008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5,640</w:t>
            </w:r>
          </w:p>
        </w:tc>
        <w:tc>
          <w:tcPr>
            <w:tcW w:w="1120" w:type="dxa"/>
            <w:vAlign w:val="bottom"/>
          </w:tcPr>
          <w:p>
            <w:pPr>
              <w:jc w:val="right"/>
              <w:spacing w:after="0"/>
              <w:rPr>
                <w:sz w:val="20"/>
                <w:szCs w:val="20"/>
                <w:color w:val="auto"/>
              </w:rPr>
            </w:pPr>
            <w:r>
              <w:rPr>
                <w:rFonts w:ascii="Arial" w:cs="Arial" w:eastAsia="Arial" w:hAnsi="Arial"/>
                <w:sz w:val="18"/>
                <w:szCs w:val="18"/>
                <w:color w:val="auto"/>
              </w:rPr>
              <w:t>126,805</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24,660</w:t>
            </w:r>
          </w:p>
        </w:tc>
      </w:tr>
      <w:tr>
        <w:trPr>
          <w:trHeight w:val="20"/>
        </w:trPr>
        <w:tc>
          <w:tcPr>
            <w:tcW w:w="39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0180" w:type="dxa"/>
            <w:vAlign w:val="bottom"/>
            <w:gridSpan w:val="12"/>
          </w:tcPr>
          <w:p>
            <w:pPr>
              <w:ind w:left="1140"/>
              <w:spacing w:after="0"/>
              <w:rPr>
                <w:sz w:val="20"/>
                <w:szCs w:val="20"/>
                <w:color w:val="auto"/>
              </w:rPr>
            </w:pPr>
            <w:r>
              <w:rPr>
                <w:rFonts w:ascii="Arial" w:cs="Arial" w:eastAsia="Arial" w:hAnsi="Arial"/>
                <w:sz w:val="18"/>
                <w:szCs w:val="18"/>
                <w:color w:val="auto"/>
                <w:w w:val="97"/>
              </w:rPr>
              <w:t>In September 2005, the Group wrote off certain intangibles assets fully amortized and out of use for US$42.3 million.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F-44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60" w:hanging="666"/>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Goodwill -</w:t>
      </w:r>
    </w:p>
    <w:p>
      <w:pPr>
        <w:spacing w:after="0" w:line="27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following is the composition of the caption by subsidiary: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Goodwill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Prima AFP (AFP Unión Vida S.A.), note 2(a)</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49,047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El Pacífico Peruano - Suiza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13,007</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 note 3(b) (iii)</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12,300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10,660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10,660</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Coporación Novasalud Perú S.A. EPS, note 2(d)</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3,828</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4,828</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88,842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both"/>
        <w:ind w:left="1140" w:right="400"/>
        <w:spacing w:after="0" w:line="342" w:lineRule="auto"/>
        <w:rPr>
          <w:sz w:val="20"/>
          <w:szCs w:val="20"/>
          <w:color w:val="auto"/>
        </w:rPr>
      </w:pPr>
      <w:r>
        <w:rPr>
          <w:rFonts w:ascii="Arial" w:cs="Arial" w:eastAsia="Arial" w:hAnsi="Arial"/>
          <w:sz w:val="16"/>
          <w:szCs w:val="16"/>
          <w:color w:val="auto"/>
        </w:rPr>
        <w:t>Goodwill is annually assessed by impairment by Management and the assumptions used for the impairment analysis are consistence with previous years. As of December 31, 2006 and 2005, it was not necessary to record a provision for impairment of goodwill on the Group.</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goodwill for the years 2006, 2005 and 2004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US$(000)</w:t>
            </w:r>
          </w:p>
        </w:tc>
      </w:tr>
      <w:tr>
        <w:trPr>
          <w:trHeight w:val="486"/>
        </w:trPr>
        <w:tc>
          <w:tcPr>
            <w:tcW w:w="4500" w:type="dxa"/>
            <w:vAlign w:val="bottom"/>
          </w:tcPr>
          <w:p>
            <w:pPr>
              <w:spacing w:after="0"/>
              <w:rPr>
                <w:sz w:val="20"/>
                <w:szCs w:val="20"/>
                <w:color w:val="auto"/>
              </w:rPr>
            </w:pPr>
            <w:r>
              <w:rPr>
                <w:rFonts w:ascii="Arial" w:cs="Arial" w:eastAsia="Arial" w:hAnsi="Arial"/>
                <w:sz w:val="18"/>
                <w:szCs w:val="18"/>
                <w:b w:val="1"/>
                <w:bCs w:val="1"/>
                <w:color w:val="auto"/>
              </w:rPr>
              <w:t>Cost -</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38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33,557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33,557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55,922</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Acquisition of Subsidiaries, notes 2 (a) and 3(b)</w:t>
            </w:r>
          </w:p>
        </w:tc>
        <w:tc>
          <w:tcPr>
            <w:tcW w:w="3860" w:type="dxa"/>
            <w:vAlign w:val="bottom"/>
            <w:gridSpan w:val="3"/>
          </w:tcPr>
          <w:p>
            <w:pPr>
              <w:jc w:val="right"/>
              <w:ind w:right="240"/>
              <w:spacing w:after="0"/>
              <w:rPr>
                <w:sz w:val="20"/>
                <w:szCs w:val="20"/>
                <w:color w:val="auto"/>
              </w:rPr>
            </w:pPr>
            <w:r>
              <w:rPr>
                <w:rFonts w:ascii="Arial" w:cs="Arial" w:eastAsia="Arial" w:hAnsi="Arial"/>
                <w:sz w:val="18"/>
                <w:szCs w:val="18"/>
                <w:color w:val="auto"/>
              </w:rPr>
              <w:t>56,285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50"/>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Decreases</w:t>
            </w:r>
          </w:p>
        </w:tc>
        <w:tc>
          <w:tcPr>
            <w:tcW w:w="224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shd w:val="clear" w:color="auto" w:fill="CCFFCC"/>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450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224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88,842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33,557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61,822</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amortization -</w:t>
            </w: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38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23,412</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Additions</w:t>
            </w:r>
          </w:p>
        </w:tc>
        <w:tc>
          <w:tcPr>
            <w:tcW w:w="3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3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b w:val="1"/>
                <w:bCs w:val="1"/>
                <w:color w:val="auto"/>
              </w:rPr>
              <w:t>Cost, net</w:t>
            </w:r>
          </w:p>
        </w:tc>
        <w:tc>
          <w:tcPr>
            <w:tcW w:w="2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88,842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33,557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33,557</w:t>
            </w: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500" w:type="dxa"/>
            <w:vAlign w:val="bottom"/>
          </w:tcPr>
          <w:p>
            <w:pPr>
              <w:spacing w:after="0"/>
              <w:rPr>
                <w:sz w:val="24"/>
                <w:szCs w:val="24"/>
                <w:color w:val="auto"/>
              </w:rPr>
            </w:pPr>
          </w:p>
        </w:tc>
        <w:tc>
          <w:tcPr>
            <w:tcW w:w="3860" w:type="dxa"/>
            <w:vAlign w:val="bottom"/>
            <w:gridSpan w:val="3"/>
          </w:tcPr>
          <w:p>
            <w:pPr>
              <w:jc w:val="right"/>
              <w:ind w:right="2480"/>
              <w:spacing w:after="0"/>
              <w:rPr>
                <w:sz w:val="20"/>
                <w:szCs w:val="20"/>
                <w:color w:val="auto"/>
              </w:rPr>
            </w:pPr>
            <w:r>
              <w:rPr>
                <w:rFonts w:ascii="Arial" w:cs="Arial" w:eastAsia="Arial" w:hAnsi="Arial"/>
                <w:sz w:val="18"/>
                <w:szCs w:val="18"/>
                <w:color w:val="auto"/>
              </w:rPr>
              <w:t>F-45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5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 and other liabilities</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These items are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Other assets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 Citigroup (c)</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53,116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Accounts receivable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48,149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40,370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expenses (b)</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40,941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36,890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income tax asset, note 18(c)</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38,016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32,966</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Operations in process (d)</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29,752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37,347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Derivatives receivable, note 20(d)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19,134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8,829</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Income tax prepayments, net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14,509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fees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11,339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10,588</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Investment in related companies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5,657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16,968</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12,575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8,127</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273,188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203,109</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Other liabilities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Payroll salaries and other personnel expenses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104,635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67,230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79,039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57,185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 note 18(c)</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65,810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30,734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Operations in process (d)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41,606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46,359</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17,179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18,768</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Allowance for indirect loan losses, note 7(f)</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20,308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21,141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Contributions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12,154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30,781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Derivatives payable, note 20(d)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8,019</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7,608</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9,783</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356,113</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140" w:right="260" w:hanging="646"/>
        <w:spacing w:after="0" w:line="264"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December 31, 2006, this caption mainly comprises the Value-Added-Tax credit related to the purchases for leasing operations for approximately US$6.2 million and prepaid insurances for US$10.5 million (US$14.1 and US$8.6 million, respectively, as of December 31, 2005).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jc w:val="both"/>
        <w:ind w:left="1140" w:right="200" w:hanging="646"/>
        <w:spacing w:after="0" w:line="271" w:lineRule="auto"/>
        <w:tabs>
          <w:tab w:leader="none" w:pos="117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July 2006, BCP signed a contract with Citigroup Global Markets Holdings Inc., Citigroup Capital Limited and Citigroup Capital Market Inc., with the purpose of implementing an economic hedge to offset the volatility generated by the liabilities and related expenses that result from stock appreciation rights (SARs) of Credicorp, note 19.</w:t>
      </w:r>
    </w:p>
    <w:p>
      <w:pPr>
        <w:spacing w:after="0" w:line="231" w:lineRule="exact"/>
        <w:rPr>
          <w:sz w:val="20"/>
          <w:szCs w:val="20"/>
          <w:color w:val="auto"/>
        </w:rPr>
      </w:pPr>
    </w:p>
    <w:p>
      <w:pPr>
        <w:jc w:val="both"/>
        <w:ind w:left="1140" w:right="140"/>
        <w:spacing w:after="0" w:line="288" w:lineRule="auto"/>
        <w:rPr>
          <w:sz w:val="20"/>
          <w:szCs w:val="20"/>
          <w:color w:val="auto"/>
        </w:rPr>
      </w:pPr>
      <w:r>
        <w:rPr>
          <w:rFonts w:ascii="Arial" w:cs="Arial" w:eastAsia="Arial" w:hAnsi="Arial"/>
          <w:sz w:val="16"/>
          <w:szCs w:val="16"/>
          <w:color w:val="auto"/>
        </w:rPr>
        <w:t>This transaction consists of the purchase of up to 1,500,000 certificates indexed to the performance of the shares of Credicorp Ltd. (BAP), in the form of “warrants”, issued by Citigroup, which are equivalent to the same number of shares of Credicorp Ltd.. These certificates will be settled in cash only. At maturity, these certificates will pay a US$ amount equal to the final settlement price minus the strike price (US$</w:t>
      </w:r>
    </w:p>
    <w:p>
      <w:pPr>
        <w:ind w:left="1140"/>
        <w:spacing w:after="0" w:line="273" w:lineRule="auto"/>
        <w:rPr>
          <w:sz w:val="20"/>
          <w:szCs w:val="20"/>
          <w:color w:val="auto"/>
        </w:rPr>
      </w:pPr>
      <w:r>
        <w:rPr>
          <w:rFonts w:ascii="Arial" w:cs="Arial" w:eastAsia="Arial" w:hAnsi="Arial"/>
          <w:sz w:val="17"/>
          <w:szCs w:val="17"/>
          <w:color w:val="auto"/>
        </w:rPr>
        <w:t>0.0000001) plus the accrued dividend adjustment amount, minus the annual fee amount multiplied by the number of warrants underlying the certificate. The final settlement price is equivalent to the daily volume-weighted average of the per share price for the underlying equity on each business day, on which the Citigroup or an affiliate of the Citigroup effects any transactions with respect to the underlying equity in order to unwind its position established and maintained to hedge its price and market risk with respect to the certificate issued.</w:t>
      </w:r>
    </w:p>
    <w:p>
      <w:pPr>
        <w:spacing w:after="0" w:line="231" w:lineRule="exact"/>
        <w:rPr>
          <w:sz w:val="20"/>
          <w:szCs w:val="20"/>
          <w:color w:val="auto"/>
        </w:rPr>
      </w:pPr>
    </w:p>
    <w:p>
      <w:pPr>
        <w:ind w:left="1140" w:right="100"/>
        <w:spacing w:after="0" w:line="255" w:lineRule="auto"/>
        <w:rPr>
          <w:sz w:val="20"/>
          <w:szCs w:val="20"/>
          <w:color w:val="auto"/>
        </w:rPr>
      </w:pPr>
      <w:r>
        <w:rPr>
          <w:rFonts w:ascii="Arial" w:cs="Arial" w:eastAsia="Arial" w:hAnsi="Arial"/>
          <w:sz w:val="18"/>
          <w:szCs w:val="18"/>
          <w:color w:val="auto"/>
        </w:rPr>
        <w:t>This program has a maturity of 5 years but can be settled at anytime before its maturity, partially or totally. As of December 31, 2006, the Group has acquired 1,297,414 certificates at a total cost of US$ 49.7 million (US$38.3 per certificate on average). The estimated market value, established under the same methodologies and assumptions used to determine the fair value of the SARs detailed in note 19, adding up to US$ 53.1 million (US$41.0 per certificate on average). The difference between the cost and the estimated market value of approximately US$3.5 million has been recorded in the caption “Other income” of the consolidated statements of income, according to the accounting principles described in note 3(u).</w:t>
      </w:r>
    </w:p>
    <w:p>
      <w:pPr>
        <w:spacing w:after="0" w:line="247" w:lineRule="exact"/>
        <w:rPr>
          <w:sz w:val="20"/>
          <w:szCs w:val="20"/>
          <w:color w:val="auto"/>
        </w:rPr>
      </w:pPr>
    </w:p>
    <w:p>
      <w:pPr>
        <w:ind w:left="1140" w:right="200" w:hanging="646"/>
        <w:spacing w:after="0" w:line="264" w:lineRule="auto"/>
        <w:tabs>
          <w:tab w:leader="none" w:pos="11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235" w:lineRule="exact"/>
        <w:rPr>
          <w:rFonts w:ascii="Arial" w:cs="Arial" w:eastAsia="Arial" w:hAnsi="Arial"/>
          <w:sz w:val="18"/>
          <w:szCs w:val="18"/>
          <w:color w:val="auto"/>
        </w:rPr>
      </w:pPr>
    </w:p>
    <w:p>
      <w:pPr>
        <w:ind w:left="1180" w:hanging="686"/>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2006, 2005 and 2004 is summarized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p>
        </w:tc>
        <w:tc>
          <w:tcPr>
            <w:tcW w:w="4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18,768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19,379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10,078</w:t>
            </w: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Provision, note 23</w:t>
            </w:r>
          </w:p>
        </w:tc>
        <w:tc>
          <w:tcPr>
            <w:tcW w:w="4520" w:type="dxa"/>
            <w:vAlign w:val="bottom"/>
            <w:gridSpan w:val="3"/>
          </w:tcPr>
          <w:p>
            <w:pPr>
              <w:jc w:val="right"/>
              <w:ind w:right="240"/>
              <w:spacing w:after="0"/>
              <w:rPr>
                <w:sz w:val="20"/>
                <w:szCs w:val="20"/>
                <w:color w:val="auto"/>
              </w:rPr>
            </w:pPr>
            <w:r>
              <w:rPr>
                <w:rFonts w:ascii="Arial" w:cs="Arial" w:eastAsia="Arial" w:hAnsi="Arial"/>
                <w:sz w:val="18"/>
                <w:szCs w:val="18"/>
                <w:color w:val="auto"/>
              </w:rPr>
              <w:t>6,461</w:t>
            </w:r>
          </w:p>
        </w:tc>
        <w:tc>
          <w:tcPr>
            <w:tcW w:w="1380" w:type="dxa"/>
            <w:vAlign w:val="bottom"/>
          </w:tcPr>
          <w:p>
            <w:pPr>
              <w:jc w:val="right"/>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Applications</w:t>
            </w:r>
          </w:p>
        </w:tc>
        <w:tc>
          <w:tcPr>
            <w:tcW w:w="290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(8,050)</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(6,178)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top w:val="single" w:sz="8" w:color="CCFFCC"/>
            </w:tcBorders>
          </w:tcPr>
          <w:p>
            <w:pPr>
              <w:spacing w:after="0"/>
              <w:rPr>
                <w:sz w:val="20"/>
                <w:szCs w:val="20"/>
                <w:color w:val="auto"/>
              </w:rPr>
            </w:pPr>
          </w:p>
        </w:tc>
        <w:tc>
          <w:tcPr>
            <w:tcW w:w="29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w:t>
            </w:r>
          </w:p>
        </w:tc>
        <w:tc>
          <w:tcPr>
            <w:tcW w:w="290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17,179</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18,768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19,379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20" w:type="dxa"/>
            <w:vAlign w:val="bottom"/>
            <w:tcBorders>
              <w:top w:val="single" w:sz="8" w:color="CCFFCC"/>
            </w:tcBorders>
          </w:tcPr>
          <w:p>
            <w:pPr>
              <w:spacing w:after="0"/>
              <w:rPr>
                <w:sz w:val="24"/>
                <w:szCs w:val="24"/>
                <w:color w:val="auto"/>
              </w:rPr>
            </w:pPr>
          </w:p>
        </w:tc>
        <w:tc>
          <w:tcPr>
            <w:tcW w:w="2900" w:type="dxa"/>
            <w:vAlign w:val="bottom"/>
            <w:tcBorders>
              <w:top w:val="single" w:sz="8" w:color="CCFFCC"/>
            </w:tcBorders>
          </w:tcPr>
          <w:p>
            <w:pPr>
              <w:ind w:left="1700"/>
              <w:spacing w:after="0"/>
              <w:rPr>
                <w:sz w:val="20"/>
                <w:szCs w:val="20"/>
                <w:color w:val="auto"/>
              </w:rPr>
            </w:pPr>
            <w:r>
              <w:rPr>
                <w:rFonts w:ascii="Arial" w:cs="Arial" w:eastAsia="Arial" w:hAnsi="Arial"/>
                <w:sz w:val="18"/>
                <w:szCs w:val="18"/>
                <w:color w:val="auto"/>
              </w:rPr>
              <w:t>F-47</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This provision mainly comprises the provision for probable losses to complement insurance coverage corresponding to claims not covered by insurance companies.</w:t>
      </w:r>
    </w:p>
    <w:p>
      <w:pPr>
        <w:spacing w:after="0" w:line="224" w:lineRule="exact"/>
        <w:rPr>
          <w:sz w:val="20"/>
          <w:szCs w:val="20"/>
          <w:color w:val="auto"/>
        </w:rPr>
      </w:pPr>
    </w:p>
    <w:p>
      <w:pPr>
        <w:ind w:left="1140" w:right="180"/>
        <w:spacing w:after="0" w:line="257" w:lineRule="auto"/>
        <w:rPr>
          <w:sz w:val="20"/>
          <w:szCs w:val="20"/>
          <w:color w:val="auto"/>
        </w:rPr>
      </w:pPr>
      <w:r>
        <w:rPr>
          <w:rFonts w:ascii="Arial" w:cs="Arial" w:eastAsia="Arial" w:hAnsi="Arial"/>
          <w:sz w:val="18"/>
          <w:szCs w:val="18"/>
          <w:color w:val="auto"/>
        </w:rPr>
        <w:t>Additionally, due to the nature of the business, Credicorp and its Subsidiaries have some pending legal claims (lawsuits) related to their activities. The Group records a provision for such cases when, in Management’s and its legal advisor’s opinion, they will result in additional liabilities for the Group and the amount of the provision can be fairly estimated. Regarding the other legal claims against the Group which have not been provided for, in Management’s and its legal advisor’s opinion, they will not have a material effect on the Group’s financial statements</w:t>
      </w:r>
    </w:p>
    <w:p>
      <w:pPr>
        <w:sectPr>
          <w:pgSz w:w="11900" w:h="16838" w:orient="portrait"/>
          <w:cols w:equalWidth="0" w:num="1">
            <w:col w:w="11420"/>
          </w:cols>
          <w:pgMar w:left="240" w:top="375" w:right="239" w:bottom="1440" w:gutter="0" w:footer="0" w:header="0"/>
        </w:sectPr>
      </w:pPr>
    </w:p>
    <w:p>
      <w:pPr>
        <w:spacing w:after="0" w:line="238" w:lineRule="exact"/>
        <w:rPr>
          <w:sz w:val="20"/>
          <w:szCs w:val="20"/>
          <w:color w:val="auto"/>
        </w:rPr>
      </w:pPr>
    </w:p>
    <w:p>
      <w:pPr>
        <w:ind w:left="500" w:hanging="492"/>
        <w:spacing w:after="0"/>
        <w:tabs>
          <w:tab w:leader="none" w:pos="5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payable to re-insurers and co-insurers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movement and balance of accounts receivable and payable to reinsurers and coinsurers are as follows:</w:t>
      </w:r>
    </w:p>
    <w:p>
      <w:pPr>
        <w:spacing w:after="0" w:line="342"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30"/>
          <w:szCs w:val="30"/>
          <w:b w:val="1"/>
          <w:bCs w:val="1"/>
          <w:color w:val="auto"/>
          <w:vertAlign w:val="superscript"/>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Premiums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Reported claims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Collections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December 31</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30"/>
          <w:szCs w:val="30"/>
          <w:b w:val="1"/>
          <w:bCs w:val="1"/>
          <w:color w:val="auto"/>
          <w:vertAlign w:val="superscript"/>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Premiums ceded to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Co-insurance granted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Payments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r>
      <w:tr>
        <w:trPr>
          <w:trHeight w:val="500"/>
        </w:trPr>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35,288</w:t>
            </w:r>
          </w:p>
        </w:tc>
        <w:tc>
          <w:tcPr>
            <w:tcW w:w="20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35,453</w:t>
            </w:r>
          </w:p>
        </w:tc>
      </w:tr>
      <w:tr>
        <w:trPr>
          <w:trHeight w:val="243"/>
        </w:trPr>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11,022</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13,642</w:t>
            </w:r>
          </w:p>
        </w:tc>
      </w:tr>
      <w:tr>
        <w:trPr>
          <w:trHeight w:val="243"/>
        </w:trPr>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16,273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15,804</w:t>
            </w:r>
          </w:p>
        </w:tc>
      </w:tr>
      <w:tr>
        <w:trPr>
          <w:trHeight w:val="270"/>
        </w:trPr>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(27,402)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(29,611)</w:t>
            </w:r>
          </w:p>
        </w:tc>
      </w:tr>
      <w:tr>
        <w:trPr>
          <w:trHeight w:val="507"/>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35,181</w:t>
            </w:r>
          </w:p>
        </w:tc>
        <w:tc>
          <w:tcPr>
            <w:tcW w:w="20" w:type="dxa"/>
            <w:vAlign w:val="bottom"/>
            <w:tcBorders>
              <w:top w:val="single" w:sz="8" w:color="auto"/>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35,288</w:t>
            </w:r>
          </w:p>
        </w:tc>
        <w:tc>
          <w:tcPr>
            <w:tcW w:w="100" w:type="dxa"/>
            <w:vAlign w:val="bottom"/>
            <w:tcBorders>
              <w:bottom w:val="single" w:sz="8" w:color="CCFFCC"/>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500"/>
        </w:trPr>
        <w:tc>
          <w:tcPr>
            <w:tcW w:w="1380" w:type="dxa"/>
            <w:vAlign w:val="bottom"/>
          </w:tcPr>
          <w:p>
            <w:pPr>
              <w:jc w:val="right"/>
              <w:spacing w:after="0"/>
              <w:rPr>
                <w:sz w:val="20"/>
                <w:szCs w:val="20"/>
                <w:color w:val="auto"/>
              </w:rPr>
            </w:pPr>
            <w:r>
              <w:rPr>
                <w:rFonts w:ascii="Arial" w:cs="Arial" w:eastAsia="Arial" w:hAnsi="Arial"/>
                <w:sz w:val="18"/>
                <w:szCs w:val="18"/>
                <w:color w:val="auto"/>
              </w:rPr>
              <w:t>36,580</w:t>
            </w:r>
          </w:p>
        </w:tc>
        <w:tc>
          <w:tcPr>
            <w:tcW w:w="2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23,612</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70,067</w:t>
            </w: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66,415</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6,430</w:t>
            </w: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12,673</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(87,943)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(66,120)</w:t>
            </w:r>
          </w:p>
        </w:tc>
      </w:tr>
      <w:tr>
        <w:trPr>
          <w:trHeight w:val="20"/>
        </w:trPr>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60" w:space="180"/>
            <w:col w:w="3080"/>
          </w:cols>
          <w:pgMar w:left="240" w:top="375"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1380" w:type="dxa"/>
            <w:vAlign w:val="bottom"/>
          </w:tcPr>
          <w:p>
            <w:pPr>
              <w:jc w:val="right"/>
              <w:spacing w:after="0"/>
              <w:rPr>
                <w:sz w:val="20"/>
                <w:szCs w:val="20"/>
                <w:color w:val="auto"/>
              </w:rPr>
            </w:pPr>
            <w:r>
              <w:rPr>
                <w:rFonts w:ascii="Arial" w:cs="Arial" w:eastAsia="Arial" w:hAnsi="Arial"/>
                <w:sz w:val="18"/>
                <w:szCs w:val="18"/>
                <w:color w:val="auto"/>
              </w:rPr>
              <w:t>25,134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36,580</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40" w:right="160" w:hanging="646"/>
        <w:spacing w:after="0" w:line="293" w:lineRule="auto"/>
        <w:tabs>
          <w:tab w:leader="none" w:pos="117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accounts receivable as of December 31, 2006 include an amount to US$14.4 million (US$21.4 million as of December 31, 2005) which correspond to the portion not accrued of the ceded premiums to the reinsurers.</w:t>
      </w:r>
    </w:p>
    <w:p>
      <w:pPr>
        <w:spacing w:after="0" w:line="250" w:lineRule="exact"/>
        <w:rPr>
          <w:rFonts w:ascii="Arial" w:cs="Arial" w:eastAsia="Arial" w:hAnsi="Arial"/>
          <w:sz w:val="18"/>
          <w:szCs w:val="18"/>
          <w:color w:val="auto"/>
        </w:rPr>
      </w:pPr>
    </w:p>
    <w:p>
      <w:pPr>
        <w:ind w:left="1140" w:right="320" w:hanging="646"/>
        <w:spacing w:after="0" w:line="295" w:lineRule="auto"/>
        <w:tabs>
          <w:tab w:leader="none" w:pos="1136"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accounts payable to reinsurers are primarily related to automatic non-proportional contracts (excess of loss) and the proportional facultative (voluntary) contracts for ceded premiums. For the facultative contracts, the Company transfers to the reinsurers a percentage or amount of an insurance contract or individual risk, based on the premium and the coverage period.</w:t>
      </w:r>
    </w:p>
    <w:p>
      <w:pPr>
        <w:spacing w:after="0" w:line="207" w:lineRule="exact"/>
        <w:rPr>
          <w:rFonts w:ascii="Arial" w:cs="Arial" w:eastAsia="Arial" w:hAnsi="Arial"/>
          <w:sz w:val="17"/>
          <w:szCs w:val="17"/>
          <w:color w:val="auto"/>
        </w:rPr>
      </w:pPr>
    </w:p>
    <w:p>
      <w:pPr>
        <w:ind w:left="500" w:hanging="492"/>
        <w:spacing w:after="0"/>
        <w:tabs>
          <w:tab w:leader="none" w:pos="5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8340" w:type="dxa"/>
            <w:vAlign w:val="bottom"/>
          </w:tcPr>
          <w:p>
            <w:pPr>
              <w:spacing w:after="0"/>
              <w:rPr>
                <w:sz w:val="20"/>
                <w:szCs w:val="20"/>
                <w:color w:val="auto"/>
              </w:rPr>
            </w:pPr>
            <w:r>
              <w:rPr>
                <w:rFonts w:ascii="Arial" w:cs="Arial" w:eastAsia="Arial" w:hAnsi="Arial"/>
                <w:sz w:val="18"/>
                <w:szCs w:val="18"/>
                <w:color w:val="auto"/>
              </w:rPr>
              <w:t>Non-interest bearing deposits and obligations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1,577,315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1,248,113</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In other countries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412,249</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423,508</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1,989,564</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1,671,621</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Interest bearing deposits and obligations -</w:t>
            </w: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5,213,044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4,031,231</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In other countries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1,596,526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1,364,902</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6,809,570</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5,396,133</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8,799,134</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7,067,754</w:t>
            </w:r>
          </w:p>
        </w:tc>
        <w:tc>
          <w:tcPr>
            <w:tcW w:w="100" w:type="dxa"/>
            <w:vAlign w:val="bottom"/>
            <w:tcBorders>
              <w:top w:val="single" w:sz="8" w:color="CCFFCC"/>
            </w:tcBorders>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39,857</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25,674</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8,838,991</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7,093,428</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40" w:hanging="646"/>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of December 31, 2006 and 2005, the balance of deposits and obligations by type of transaction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2,459,907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Demand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2,564,268</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1,729,114</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1,951,978</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2,105,364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775,027</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654,791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228,165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72,200</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Bank and Deposit negotiable certificates</w:t>
            </w:r>
          </w:p>
        </w:tc>
        <w:tc>
          <w:tcPr>
            <w:tcW w:w="1380" w:type="dxa"/>
            <w:vAlign w:val="bottom"/>
          </w:tcPr>
          <w:p>
            <w:pPr>
              <w:jc w:val="right"/>
              <w:spacing w:after="0"/>
              <w:rPr>
                <w:sz w:val="20"/>
                <w:szCs w:val="20"/>
                <w:color w:val="auto"/>
              </w:rPr>
            </w:pPr>
            <w:r>
              <w:rPr>
                <w:rFonts w:ascii="Arial" w:cs="Arial" w:eastAsia="Arial" w:hAnsi="Arial"/>
                <w:sz w:val="18"/>
                <w:szCs w:val="18"/>
                <w:color w:val="auto"/>
              </w:rPr>
              <w:t>61,539</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46,378</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8,799,134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7,067,754</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40" w:right="500" w:hanging="646"/>
        <w:spacing w:after="0" w:line="360" w:lineRule="auto"/>
        <w:tabs>
          <w:tab w:leader="none" w:pos="113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of December 31, 2006, the total amount of individual time deposits and bank certificates that exceed US$100,000 are approximately US$2,722.6 and US$35.9 million, respectively (US$1,095.7 and US$7.9 million, respectively, as of December 31, 2005).</w:t>
      </w:r>
    </w:p>
    <w:p>
      <w:pPr>
        <w:spacing w:after="0" w:line="163" w:lineRule="exact"/>
        <w:rPr>
          <w:rFonts w:ascii="Arial" w:cs="Arial" w:eastAsia="Arial" w:hAnsi="Arial"/>
          <w:sz w:val="16"/>
          <w:szCs w:val="16"/>
          <w:color w:val="auto"/>
        </w:rPr>
      </w:pPr>
    </w:p>
    <w:p>
      <w:pPr>
        <w:ind w:left="1140" w:right="280" w:hanging="646"/>
        <w:spacing w:after="0" w:line="277"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265" w:lineRule="exact"/>
        <w:rPr>
          <w:rFonts w:ascii="Arial" w:cs="Arial" w:eastAsia="Arial" w:hAnsi="Arial"/>
          <w:sz w:val="18"/>
          <w:szCs w:val="18"/>
          <w:color w:val="auto"/>
        </w:rPr>
      </w:pPr>
    </w:p>
    <w:p>
      <w:pPr>
        <w:ind w:left="1120" w:hanging="626"/>
        <w:spacing w:after="0"/>
        <w:tabs>
          <w:tab w:leader="none" w:pos="11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S/(000)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S/(000)</w:t>
            </w:r>
          </w:p>
        </w:tc>
      </w:tr>
      <w:tr>
        <w:trPr>
          <w:trHeight w:val="243"/>
        </w:trPr>
        <w:tc>
          <w:tcPr>
            <w:tcW w:w="36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6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2,219,948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1,362,929</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6280" w:type="dxa"/>
            <w:vAlign w:val="bottom"/>
            <w:gridSpan w:val="3"/>
          </w:tcPr>
          <w:p>
            <w:pPr>
              <w:jc w:val="right"/>
              <w:ind w:right="220"/>
              <w:spacing w:after="0"/>
              <w:rPr>
                <w:sz w:val="20"/>
                <w:szCs w:val="20"/>
                <w:color w:val="auto"/>
              </w:rPr>
            </w:pPr>
            <w:r>
              <w:rPr>
                <w:rFonts w:ascii="Arial" w:cs="Arial" w:eastAsia="Arial" w:hAnsi="Arial"/>
                <w:sz w:val="18"/>
                <w:szCs w:val="18"/>
                <w:color w:val="auto"/>
              </w:rPr>
              <w:t>799,584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591,601</w:t>
            </w: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6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163,283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192,117</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From 3 to 5 years</w:t>
            </w:r>
          </w:p>
        </w:tc>
        <w:tc>
          <w:tcPr>
            <w:tcW w:w="6280" w:type="dxa"/>
            <w:vAlign w:val="bottom"/>
            <w:gridSpan w:val="3"/>
          </w:tcPr>
          <w:p>
            <w:pPr>
              <w:jc w:val="right"/>
              <w:ind w:right="220"/>
              <w:spacing w:after="0"/>
              <w:rPr>
                <w:sz w:val="20"/>
                <w:szCs w:val="20"/>
                <w:color w:val="auto"/>
              </w:rPr>
            </w:pPr>
            <w:r>
              <w:rPr>
                <w:rFonts w:ascii="Arial" w:cs="Arial" w:eastAsia="Arial" w:hAnsi="Arial"/>
                <w:sz w:val="18"/>
                <w:szCs w:val="18"/>
                <w:color w:val="auto"/>
              </w:rPr>
              <w:t>29,226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174,959</w:t>
            </w:r>
          </w:p>
        </w:tc>
      </w:tr>
      <w:tr>
        <w:trPr>
          <w:trHeight w:val="275"/>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628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6,116</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138,301</w:t>
            </w:r>
          </w:p>
        </w:tc>
      </w:tr>
      <w:tr>
        <w:trPr>
          <w:trHeight w:val="237"/>
        </w:trPr>
        <w:tc>
          <w:tcPr>
            <w:tcW w:w="3660" w:type="dxa"/>
            <w:vAlign w:val="bottom"/>
            <w:tcBorders>
              <w:top w:val="single" w:sz="8" w:color="CCFFCC"/>
            </w:tcBorders>
            <w:shd w:val="clear" w:color="auto" w:fill="CCFFCC"/>
          </w:tcPr>
          <w:p>
            <w:pPr>
              <w:spacing w:after="0"/>
              <w:rPr>
                <w:sz w:val="20"/>
                <w:szCs w:val="20"/>
                <w:color w:val="auto"/>
              </w:rPr>
            </w:pPr>
          </w:p>
        </w:tc>
        <w:tc>
          <w:tcPr>
            <w:tcW w:w="468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3,218,157</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2,459,907</w:t>
            </w: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6280" w:type="dxa"/>
            <w:vAlign w:val="bottom"/>
            <w:gridSpan w:val="3"/>
          </w:tcPr>
          <w:p>
            <w:pPr>
              <w:ind w:left="1880"/>
              <w:spacing w:after="0"/>
              <w:rPr>
                <w:sz w:val="20"/>
                <w:szCs w:val="20"/>
                <w:color w:val="auto"/>
              </w:rPr>
            </w:pPr>
            <w:r>
              <w:rPr>
                <w:rFonts w:ascii="Arial" w:cs="Arial" w:eastAsia="Arial" w:hAnsi="Arial"/>
                <w:sz w:val="18"/>
                <w:szCs w:val="18"/>
                <w:color w:val="auto"/>
              </w:rPr>
              <w:t>F-50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324" w:lineRule="exact"/>
        <w:rPr>
          <w:sz w:val="20"/>
          <w:szCs w:val="20"/>
          <w:color w:val="auto"/>
        </w:rPr>
      </w:pPr>
    </w:p>
    <w:p>
      <w:pPr>
        <w:ind w:left="1140" w:right="7820" w:hanging="646"/>
        <w:spacing w:after="0" w:line="675" w:lineRule="auto"/>
        <w:tabs>
          <w:tab w:leader="none" w:pos="117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Due to bank and correspondents - This item is made up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346,945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220,027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380" w:type="dxa"/>
            <w:vAlign w:val="bottom"/>
          </w:tcPr>
          <w:p>
            <w:pPr>
              <w:jc w:val="right"/>
              <w:spacing w:after="0"/>
              <w:rPr>
                <w:sz w:val="20"/>
                <w:szCs w:val="20"/>
                <w:color w:val="auto"/>
              </w:rPr>
            </w:pPr>
            <w:r>
              <w:rPr>
                <w:rFonts w:ascii="Arial" w:cs="Arial" w:eastAsia="Arial" w:hAnsi="Arial"/>
                <w:sz w:val="18"/>
                <w:szCs w:val="18"/>
                <w:color w:val="auto"/>
              </w:rPr>
              <w:t>177,900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212,133</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41,077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78,542</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BCRP - Repo transactions (iii)</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510,593</w:t>
            </w:r>
          </w:p>
        </w:tc>
        <w:tc>
          <w:tcPr>
            <w:tcW w:w="100" w:type="dxa"/>
            <w:vAlign w:val="bottom"/>
          </w:tcPr>
          <w:p>
            <w:pPr>
              <w:spacing w:after="0"/>
              <w:rPr>
                <w:sz w:val="23"/>
                <w:szCs w:val="23"/>
                <w:color w:val="auto"/>
              </w:rPr>
            </w:pPr>
          </w:p>
        </w:tc>
      </w:tr>
      <w:tr>
        <w:trPr>
          <w:trHeight w:val="237"/>
        </w:trPr>
        <w:tc>
          <w:tcPr>
            <w:tcW w:w="83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565,922</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1,021,295</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Interest payable</w:t>
            </w:r>
          </w:p>
        </w:tc>
        <w:tc>
          <w:tcPr>
            <w:tcW w:w="1380" w:type="dxa"/>
            <w:vAlign w:val="bottom"/>
          </w:tcPr>
          <w:p>
            <w:pPr>
              <w:jc w:val="right"/>
              <w:spacing w:after="0"/>
              <w:rPr>
                <w:sz w:val="20"/>
                <w:szCs w:val="20"/>
                <w:color w:val="auto"/>
              </w:rPr>
            </w:pPr>
            <w:r>
              <w:rPr>
                <w:rFonts w:ascii="Arial" w:cs="Arial" w:eastAsia="Arial" w:hAnsi="Arial"/>
                <w:sz w:val="18"/>
                <w:szCs w:val="18"/>
                <w:color w:val="auto"/>
              </w:rPr>
              <w:t>5,067</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570,989</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1,023,371</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1580" w:hanging="600"/>
        <w:spacing w:after="0"/>
        <w:tabs>
          <w:tab w:leader="none" w:pos="15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balance of international funds and others corresponds to the following operations: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Banco Latinoamericano de Exportaciones - BLADEX</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100,000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138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Wachovia Bank</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65,200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Scotiabank Peru</w:t>
            </w:r>
          </w:p>
        </w:tc>
        <w:tc>
          <w:tcPr>
            <w:tcW w:w="1380" w:type="dxa"/>
            <w:vAlign w:val="bottom"/>
          </w:tcPr>
          <w:p>
            <w:pPr>
              <w:jc w:val="right"/>
              <w:spacing w:after="0"/>
              <w:rPr>
                <w:sz w:val="20"/>
                <w:szCs w:val="20"/>
                <w:color w:val="auto"/>
              </w:rPr>
            </w:pPr>
            <w:r>
              <w:rPr>
                <w:rFonts w:ascii="Arial" w:cs="Arial" w:eastAsia="Arial" w:hAnsi="Arial"/>
                <w:sz w:val="18"/>
                <w:szCs w:val="18"/>
                <w:color w:val="auto"/>
              </w:rPr>
              <w:t>36,000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24,874</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40,745</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45,153</w:t>
            </w:r>
          </w:p>
        </w:tc>
        <w:tc>
          <w:tcPr>
            <w:tcW w:w="100" w:type="dxa"/>
            <w:vAlign w:val="bottom"/>
          </w:tcPr>
          <w:p>
            <w:pPr>
              <w:spacing w:after="0"/>
              <w:rPr>
                <w:sz w:val="23"/>
                <w:szCs w:val="23"/>
                <w:color w:val="auto"/>
              </w:rPr>
            </w:pPr>
          </w:p>
        </w:tc>
      </w:tr>
      <w:tr>
        <w:trPr>
          <w:trHeight w:val="237"/>
        </w:trPr>
        <w:tc>
          <w:tcPr>
            <w:tcW w:w="8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346,945</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220,027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460"/>
        <w:spacing w:after="0" w:line="286" w:lineRule="auto"/>
        <w:rPr>
          <w:sz w:val="20"/>
          <w:szCs w:val="20"/>
          <w:color w:val="auto"/>
        </w:rPr>
      </w:pPr>
      <w:r>
        <w:rPr>
          <w:rFonts w:ascii="Arial" w:cs="Arial" w:eastAsia="Arial" w:hAnsi="Arial"/>
          <w:sz w:val="17"/>
          <w:szCs w:val="17"/>
          <w:color w:val="auto"/>
        </w:rPr>
        <w:t>These international funds and other received by the Group, are carried out mainly to financing foreign trade operations and working capital. As of December 31, 2006 these loans have maturities between January 2007 and May 2007 (between January 2006 and May 2006 as of December 2005). The interest rate range between 3.73 and 5.76 (between 2.55 and 4.95 as of December 2005).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460" w:right="80" w:hanging="480"/>
        <w:spacing w:after="0" w:line="294" w:lineRule="auto"/>
        <w:tabs>
          <w:tab w:leader="none" w:pos="162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promotional credit lines represent loans granted to BCP by Corporación Financiera de Desarrollo (COFIDE) and Banco Interamericano de Desarrollo (BID), to promote the development of Peru, have maturities between January of 2007 and December of 2021 and their interest rates fluctuated between 5.65 and 7.90 percent annual (between January as 2006 and December 2021 and their interest effective rate fluctuated between 4.41 and 7.25 percent annual as of December 31, 2005). These credit lines are secured by a loan portfolio amounting to US$177.9 and US$212.1 million as of December 31, 2006 and 2005, respectively. These lines include covenants specifying the use of the funds, financial conditions that the borrower must maintain and other administrative matters. In Management’s opinion, these covenants do not limit the Group’s operations and the Group is in compliance at the balance sheet date.</w:t>
      </w:r>
    </w:p>
    <w:p>
      <w:pPr>
        <w:spacing w:after="0" w:line="259" w:lineRule="exact"/>
        <w:rPr>
          <w:rFonts w:ascii="Arial" w:cs="Arial" w:eastAsia="Arial" w:hAnsi="Arial"/>
          <w:sz w:val="16"/>
          <w:szCs w:val="16"/>
          <w:color w:val="auto"/>
        </w:rPr>
      </w:pPr>
    </w:p>
    <w:p>
      <w:pPr>
        <w:ind w:left="1460" w:right="300" w:hanging="480"/>
        <w:spacing w:after="0" w:line="293" w:lineRule="auto"/>
        <w:tabs>
          <w:tab w:leader="none" w:pos="167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 of December 31, 2005, the Group had BCRP - Repo transactions with the Peruvian Central Bank (BCRP), which earned annual interest rates between 3.23 and 3.32 percent, with 3 day maturities.</w:t>
      </w:r>
    </w:p>
    <w:p>
      <w:pPr>
        <w:spacing w:after="0" w:line="251" w:lineRule="exact"/>
        <w:rPr>
          <w:sz w:val="20"/>
          <w:szCs w:val="20"/>
          <w:color w:val="auto"/>
        </w:rPr>
      </w:pPr>
    </w:p>
    <w:p>
      <w:pPr>
        <w:ind w:left="1160" w:hanging="666"/>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balance of the borrowed funds corresponds to the following operations: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CCR Inc. MT-100, Payment rights master Trust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2005 Series A and B (i)</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2006 Series A (ii)</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17145</wp:posOffset>
            </wp:positionV>
            <wp:extent cx="18865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00" w:lineRule="exact"/>
        <w:rPr>
          <w:sz w:val="20"/>
          <w:szCs w:val="20"/>
          <w:color w:val="auto"/>
        </w:rPr>
      </w:pPr>
    </w:p>
    <w:p>
      <w:pPr>
        <w:spacing w:after="0" w:line="322" w:lineRule="exact"/>
        <w:rPr>
          <w:sz w:val="20"/>
          <w:szCs w:val="20"/>
          <w:color w:val="auto"/>
        </w:rPr>
      </w:pPr>
    </w:p>
    <w:p>
      <w:pPr>
        <w:jc w:val="both"/>
        <w:ind w:left="460"/>
        <w:spacing w:after="0"/>
        <w:tabs>
          <w:tab w:leader="none" w:pos="2020" w:val="left"/>
        </w:tabs>
        <w:rPr>
          <w:sz w:val="20"/>
          <w:szCs w:val="20"/>
          <w:color w:val="auto"/>
        </w:rPr>
      </w:pPr>
      <w:r>
        <w:rPr>
          <w:rFonts w:ascii="Arial" w:cs="Arial" w:eastAsia="Arial" w:hAnsi="Arial"/>
          <w:sz w:val="18"/>
          <w:szCs w:val="18"/>
          <w:color w:val="auto"/>
        </w:rPr>
        <w:t>280,000</w:t>
      </w:r>
      <w:r>
        <w:rPr>
          <w:sz w:val="20"/>
          <w:szCs w:val="20"/>
          <w:color w:val="auto"/>
        </w:rPr>
        <w:tab/>
      </w:r>
      <w:r>
        <w:rPr>
          <w:rFonts w:ascii="Arial" w:cs="Arial" w:eastAsia="Arial" w:hAnsi="Arial"/>
          <w:sz w:val="18"/>
          <w:szCs w:val="18"/>
          <w:color w:val="auto"/>
        </w:rPr>
        <w:t>280,000</w:t>
      </w:r>
    </w:p>
    <w:p>
      <w:pPr>
        <w:spacing w:after="0" w:line="63" w:lineRule="exact"/>
        <w:rPr>
          <w:sz w:val="20"/>
          <w:szCs w:val="20"/>
          <w:color w:val="auto"/>
        </w:rPr>
      </w:pPr>
    </w:p>
    <w:p>
      <w:pPr>
        <w:jc w:val="both"/>
        <w:ind w:left="540"/>
        <w:spacing w:after="0"/>
        <w:tabs>
          <w:tab w:leader="none" w:pos="2560" w:val="left"/>
        </w:tabs>
        <w:rPr>
          <w:sz w:val="20"/>
          <w:szCs w:val="20"/>
          <w:color w:val="auto"/>
        </w:rPr>
      </w:pPr>
      <w:r>
        <w:rPr>
          <w:rFonts w:ascii="Arial" w:cs="Arial" w:eastAsia="Arial" w:hAnsi="Arial"/>
          <w:sz w:val="18"/>
          <w:szCs w:val="18"/>
          <w:color w:val="auto"/>
        </w:rPr>
        <w:t>90,612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18865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40"/>
          </w:cols>
          <w:pgMar w:left="240" w:top="375" w:right="2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370,612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96" w:lineRule="exact"/>
        <w:rPr>
          <w:sz w:val="20"/>
          <w:szCs w:val="20"/>
          <w:color w:val="auto"/>
        </w:rPr>
      </w:pPr>
    </w:p>
    <w:p>
      <w:pPr>
        <w:ind w:left="1620" w:hanging="640"/>
        <w:spacing w:after="0" w:line="291" w:lineRule="auto"/>
        <w:tabs>
          <w:tab w:leader="none" w:pos="181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Amount represents the loan transaction made by the BCP in November 2005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 Trust Company acted as Trustee under the trust agreement and Bank of New York as Indenture Trustee and administrator of the contract. The certificates bear a variable interest rate of one month Libor plus 0.21 percent for the 2005-A Series and one month Libor plus 0.60 percent for the Series 2005-B. As of December 31, 2006 and 2005, the balance of this obligation amounts to US$280.0 million. A portion (70 percent), of the loan, subject to variable interest rate risk, has been hedged through an interest rate swap hedge operation for a notional amount of US$196.0 million, note 20(d).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100"/>
        <w:spacing w:after="0" w:line="302" w:lineRule="auto"/>
        <w:rPr>
          <w:sz w:val="20"/>
          <w:szCs w:val="20"/>
          <w:color w:val="auto"/>
        </w:rPr>
      </w:pPr>
      <w:r>
        <w:rPr>
          <w:rFonts w:ascii="Arial" w:cs="Arial" w:eastAsia="Arial" w:hAnsi="Arial"/>
          <w:sz w:val="16"/>
          <w:szCs w:val="16"/>
          <w:color w:val="auto"/>
        </w:rPr>
        <w:t>In addition, for the US$100.0 million of the Series 2006-A and the US$230.0 million of the Series 2005-A, BCP has signed an insurance policy with AMBAC Assurance Corporation, which guarantees the timely payment of scheduled principal and certain accrued interest to pay the monthly payments with maturities through November 2016 and November 2012, respectively. The insurance policy cost is equivalent to an annual fixed interest rate of 0.80 and 0.75 percent of the principal, that is recorded as part of the interests cost.</w:t>
      </w:r>
    </w:p>
    <w:p>
      <w:pPr>
        <w:spacing w:after="0" w:line="249" w:lineRule="exact"/>
        <w:rPr>
          <w:sz w:val="20"/>
          <w:szCs w:val="20"/>
          <w:color w:val="auto"/>
        </w:rPr>
      </w:pPr>
    </w:p>
    <w:p>
      <w:pPr>
        <w:ind w:left="1460" w:hanging="480"/>
        <w:spacing w:after="0" w:line="257" w:lineRule="auto"/>
        <w:tabs>
          <w:tab w:leader="none" w:pos="16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Amount represents the loan transaction made by the BCP in March 2006 for US$100.0 million, related to Series 2006-A Floating Rate Certificates due 2016.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 Trust Company acted as Trustee under the trust agreement and Bank of New York as Indenture Trustee and administrator of the contract. The certificates bear a variable interest rate of one month Libor plus 0.29 percent. As of December 31, 2006, the balance of this obligation amounts to US$90.6 million.</w:t>
      </w:r>
    </w:p>
    <w:p>
      <w:pPr>
        <w:spacing w:after="0" w:line="245" w:lineRule="exact"/>
        <w:rPr>
          <w:sz w:val="20"/>
          <w:szCs w:val="20"/>
          <w:color w:val="auto"/>
        </w:rPr>
      </w:pPr>
    </w:p>
    <w:p>
      <w:pPr>
        <w:ind w:left="1460" w:right="280"/>
        <w:spacing w:after="0" w:line="277" w:lineRule="auto"/>
        <w:rPr>
          <w:sz w:val="20"/>
          <w:szCs w:val="20"/>
          <w:color w:val="auto"/>
        </w:rPr>
      </w:pPr>
      <w:r>
        <w:rPr>
          <w:rFonts w:ascii="Arial" w:cs="Arial" w:eastAsia="Arial" w:hAnsi="Arial"/>
          <w:sz w:val="18"/>
          <w:szCs w:val="18"/>
          <w:color w:val="auto"/>
        </w:rPr>
        <w:t>The loans obtained by the Group include “covenants” which in Management’s opinion, the Group is in compliance at the consolidated balance sheet date.</w:t>
      </w:r>
    </w:p>
    <w:p>
      <w:pPr>
        <w:spacing w:after="0" w:line="265" w:lineRule="exact"/>
        <w:rPr>
          <w:sz w:val="20"/>
          <w:szCs w:val="20"/>
          <w:color w:val="auto"/>
        </w:rPr>
      </w:pPr>
    </w:p>
    <w:p>
      <w:pPr>
        <w:ind w:left="1140" w:right="660" w:hanging="646"/>
        <w:spacing w:after="0" w:line="293" w:lineRule="auto"/>
        <w:tabs>
          <w:tab w:leader="none" w:pos="117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of December 31, 2006 and 2005, maturities of due to bank and correspondents and borrowed funds are shown below, based in the remaining period to the repayment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20" w:type="dxa"/>
            <w:vAlign w:val="bottom"/>
          </w:tcPr>
          <w:p>
            <w:pPr>
              <w:spacing w:after="0"/>
              <w:rPr>
                <w:sz w:val="20"/>
                <w:szCs w:val="20"/>
                <w:color w:val="auto"/>
              </w:rPr>
            </w:pPr>
            <w:r>
              <w:rPr>
                <w:rFonts w:ascii="Arial" w:cs="Arial" w:eastAsia="Arial" w:hAnsi="Arial"/>
                <w:sz w:val="18"/>
                <w:szCs w:val="18"/>
                <w:b w:val="1"/>
                <w:bCs w:val="1"/>
                <w:color w:val="auto"/>
              </w:rPr>
              <w:t>Due to bank and correspondents</w:t>
            </w:r>
          </w:p>
        </w:tc>
        <w:tc>
          <w:tcPr>
            <w:tcW w:w="4320" w:type="dxa"/>
            <w:vAlign w:val="bottom"/>
          </w:tcPr>
          <w:p>
            <w:pPr>
              <w:spacing w:after="0"/>
              <w:rPr>
                <w:sz w:val="22"/>
                <w:szCs w:val="22"/>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40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59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279,802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864,966</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5920" w:type="dxa"/>
            <w:vAlign w:val="bottom"/>
            <w:gridSpan w:val="3"/>
          </w:tcPr>
          <w:p>
            <w:pPr>
              <w:jc w:val="right"/>
              <w:ind w:right="220"/>
              <w:spacing w:after="0"/>
              <w:rPr>
                <w:sz w:val="20"/>
                <w:szCs w:val="20"/>
                <w:color w:val="auto"/>
              </w:rPr>
            </w:pPr>
            <w:r>
              <w:rPr>
                <w:rFonts w:ascii="Arial" w:cs="Arial" w:eastAsia="Arial" w:hAnsi="Arial"/>
                <w:sz w:val="18"/>
                <w:szCs w:val="18"/>
                <w:color w:val="auto"/>
              </w:rPr>
              <w:t>126,447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13,271</w:t>
            </w:r>
          </w:p>
        </w:tc>
      </w:tr>
      <w:tr>
        <w:trPr>
          <w:trHeight w:val="243"/>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59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23,457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20,963</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From 3 to 5 years</w:t>
            </w:r>
          </w:p>
        </w:tc>
        <w:tc>
          <w:tcPr>
            <w:tcW w:w="5920" w:type="dxa"/>
            <w:vAlign w:val="bottom"/>
            <w:gridSpan w:val="3"/>
          </w:tcPr>
          <w:p>
            <w:pPr>
              <w:jc w:val="right"/>
              <w:ind w:right="220"/>
              <w:spacing w:after="0"/>
              <w:rPr>
                <w:sz w:val="20"/>
                <w:szCs w:val="20"/>
                <w:color w:val="auto"/>
              </w:rPr>
            </w:pPr>
            <w:r>
              <w:rPr>
                <w:rFonts w:ascii="Arial" w:cs="Arial" w:eastAsia="Arial" w:hAnsi="Arial"/>
                <w:sz w:val="18"/>
                <w:szCs w:val="18"/>
                <w:color w:val="auto"/>
              </w:rPr>
              <w:t>22,001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28,402</w:t>
            </w:r>
          </w:p>
        </w:tc>
      </w:tr>
      <w:tr>
        <w:trPr>
          <w:trHeight w:val="275"/>
        </w:trPr>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432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114,215</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93,693</w:t>
            </w:r>
          </w:p>
        </w:tc>
      </w:tr>
      <w:tr>
        <w:trPr>
          <w:trHeight w:val="237"/>
        </w:trPr>
        <w:tc>
          <w:tcPr>
            <w:tcW w:w="4020" w:type="dxa"/>
            <w:vAlign w:val="bottom"/>
            <w:tcBorders>
              <w:top w:val="single" w:sz="8" w:color="CCFFCC"/>
            </w:tcBorders>
          </w:tcPr>
          <w:p>
            <w:pPr>
              <w:spacing w:after="0"/>
              <w:rPr>
                <w:sz w:val="20"/>
                <w:szCs w:val="20"/>
                <w:color w:val="auto"/>
              </w:rPr>
            </w:pPr>
          </w:p>
        </w:tc>
        <w:tc>
          <w:tcPr>
            <w:tcW w:w="43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3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565,922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1,021,295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4020" w:type="dxa"/>
            <w:vAlign w:val="bottom"/>
          </w:tcPr>
          <w:p>
            <w:pPr>
              <w:spacing w:after="0"/>
              <w:rPr>
                <w:sz w:val="24"/>
                <w:szCs w:val="24"/>
                <w:color w:val="auto"/>
              </w:rPr>
            </w:pPr>
          </w:p>
        </w:tc>
        <w:tc>
          <w:tcPr>
            <w:tcW w:w="5920" w:type="dxa"/>
            <w:vAlign w:val="bottom"/>
            <w:gridSpan w:val="3"/>
          </w:tcPr>
          <w:p>
            <w:pPr>
              <w:ind w:left="1520"/>
              <w:spacing w:after="0"/>
              <w:rPr>
                <w:sz w:val="20"/>
                <w:szCs w:val="20"/>
                <w:color w:val="auto"/>
              </w:rPr>
            </w:pPr>
            <w:r>
              <w:rPr>
                <w:rFonts w:ascii="Arial" w:cs="Arial" w:eastAsia="Arial" w:hAnsi="Arial"/>
                <w:sz w:val="18"/>
                <w:szCs w:val="18"/>
                <w:color w:val="auto"/>
              </w:rPr>
              <w:t>F-53</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02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color w:val="auto"/>
        </w:rPr>
        <w:t>Borrowed Funds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From 1 to 3 years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From 3 to 5 years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17145</wp:posOffset>
            </wp:positionV>
            <wp:extent cx="1886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169545</wp:posOffset>
            </wp:positionV>
            <wp:extent cx="72466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left="540"/>
        <w:spacing w:after="0"/>
        <w:tabs>
          <w:tab w:leader="none" w:pos="2200" w:val="left"/>
        </w:tabs>
        <w:rPr>
          <w:sz w:val="20"/>
          <w:szCs w:val="20"/>
          <w:color w:val="auto"/>
        </w:rPr>
      </w:pPr>
      <w:r>
        <w:rPr>
          <w:rFonts w:ascii="Arial" w:cs="Arial" w:eastAsia="Arial" w:hAnsi="Arial"/>
          <w:sz w:val="18"/>
          <w:szCs w:val="18"/>
          <w:color w:val="auto"/>
        </w:rPr>
        <w:t>61,217</w:t>
      </w:r>
      <w:r>
        <w:rPr>
          <w:sz w:val="20"/>
          <w:szCs w:val="20"/>
          <w:color w:val="auto"/>
        </w:rPr>
        <w:tab/>
      </w:r>
      <w:r>
        <w:rPr>
          <w:rFonts w:ascii="Arial" w:cs="Arial" w:eastAsia="Arial" w:hAnsi="Arial"/>
          <w:sz w:val="18"/>
          <w:szCs w:val="18"/>
          <w:color w:val="auto"/>
        </w:rPr>
        <w:t>8,025</w:t>
      </w:r>
    </w:p>
    <w:p>
      <w:pPr>
        <w:spacing w:after="0" w:line="36" w:lineRule="exact"/>
        <w:rPr>
          <w:sz w:val="20"/>
          <w:szCs w:val="20"/>
          <w:color w:val="auto"/>
        </w:rPr>
      </w:pPr>
    </w:p>
    <w:p>
      <w:pPr>
        <w:jc w:val="both"/>
        <w:ind w:left="460"/>
        <w:spacing w:after="0"/>
        <w:tabs>
          <w:tab w:leader="none" w:pos="2020" w:val="left"/>
        </w:tabs>
        <w:rPr>
          <w:sz w:val="20"/>
          <w:szCs w:val="20"/>
          <w:color w:val="auto"/>
        </w:rPr>
      </w:pPr>
      <w:r>
        <w:rPr>
          <w:rFonts w:ascii="Arial" w:cs="Arial" w:eastAsia="Arial" w:hAnsi="Arial"/>
          <w:sz w:val="18"/>
          <w:szCs w:val="18"/>
          <w:color w:val="auto"/>
        </w:rPr>
        <w:t>166,817</w:t>
      </w:r>
      <w:r>
        <w:rPr>
          <w:sz w:val="20"/>
          <w:szCs w:val="20"/>
          <w:color w:val="auto"/>
        </w:rPr>
        <w:tab/>
      </w:r>
      <w:r>
        <w:rPr>
          <w:rFonts w:ascii="Arial" w:cs="Arial" w:eastAsia="Arial" w:hAnsi="Arial"/>
          <w:sz w:val="18"/>
          <w:szCs w:val="18"/>
          <w:color w:val="auto"/>
        </w:rPr>
        <w:t>124,139</w:t>
      </w:r>
    </w:p>
    <w:p>
      <w:pPr>
        <w:spacing w:after="0" w:line="41" w:lineRule="exact"/>
        <w:rPr>
          <w:sz w:val="20"/>
          <w:szCs w:val="20"/>
          <w:color w:val="auto"/>
        </w:rPr>
      </w:pPr>
    </w:p>
    <w:p>
      <w:pPr>
        <w:sectPr>
          <w:pgSz w:w="11900" w:h="16838" w:orient="portrait"/>
          <w:cols w:equalWidth="0" w:num="2">
            <w:col w:w="7960" w:space="720"/>
            <w:col w:w="2740"/>
          </w:cols>
          <w:pgMar w:left="240" w:top="418" w:right="239" w:bottom="1440" w:gutter="0" w:footer="0" w:header="0"/>
        </w:sectPr>
      </w:pPr>
    </w:p>
    <w:tbl>
      <w:tblPr>
        <w:tblLayout w:type="fixed"/>
        <w:tblInd w:w="0" w:type="dxa"/>
        <w:tblCellMar>
          <w:top w:w="0" w:type="dxa"/>
          <w:left w:w="0" w:type="dxa"/>
          <w:bottom w:w="0" w:type="dxa"/>
          <w:right w:w="0" w:type="dxa"/>
        </w:tblCellMar>
      </w:tblPr>
      <w:tr>
        <w:trPr>
          <w:trHeight w:val="257"/>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142,578</w:t>
            </w: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147,836</w:t>
            </w:r>
          </w:p>
        </w:tc>
      </w:tr>
      <w:tr>
        <w:trPr>
          <w:trHeight w:val="237"/>
        </w:trPr>
        <w:tc>
          <w:tcPr>
            <w:tcW w:w="812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370,612</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40" w:right="300" w:hanging="646"/>
        <w:spacing w:after="0" w:line="360" w:lineRule="auto"/>
        <w:tabs>
          <w:tab w:leader="none" w:pos="128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As of December 31, 2006, the Group has credit lines granted by several local and foreign financial institutions amounted to US$ 1,162.5 million (US$787.3 million as of December 31, 2005) that are available for future operating activities or to settle capital commitments.</w:t>
      </w:r>
    </w:p>
    <w:p>
      <w:pPr>
        <w:spacing w:after="0" w:line="159" w:lineRule="exact"/>
        <w:rPr>
          <w:rFonts w:ascii="Arial" w:cs="Arial" w:eastAsia="Arial" w:hAnsi="Arial"/>
          <w:sz w:val="16"/>
          <w:szCs w:val="16"/>
          <w:color w:val="auto"/>
        </w:rPr>
      </w:pPr>
    </w:p>
    <w:p>
      <w:pPr>
        <w:ind w:left="660" w:right="5100" w:hanging="652"/>
        <w:spacing w:after="0" w:line="595" w:lineRule="auto"/>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Technical, insurance claims reserves and reserves for unearned premiums </w:t>
      </w:r>
      <w:r>
        <w:rPr>
          <w:rFonts w:ascii="Arial" w:cs="Arial" w:eastAsia="Arial" w:hAnsi="Arial"/>
          <w:sz w:val="18"/>
          <w:szCs w:val="18"/>
          <w:color w:val="auto"/>
        </w:rPr>
        <w:t>This item is made up as follows:</w:t>
      </w: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6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6"/>
              </w:rPr>
              <w:t>Technical</w:t>
            </w:r>
          </w:p>
        </w:tc>
        <w:tc>
          <w:tcPr>
            <w:tcW w:w="16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Reserves for</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reserves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direct claims</w:t>
            </w:r>
          </w:p>
        </w:tc>
        <w:tc>
          <w:tcPr>
            <w:tcW w:w="2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Claims assumed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442,172</w:t>
            </w:r>
          </w:p>
        </w:tc>
        <w:tc>
          <w:tcPr>
            <w:tcW w:w="1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41,932</w:t>
            </w: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484,898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67,640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39,429</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2,164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109,233</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15,029</w:t>
            </w:r>
          </w:p>
        </w:tc>
        <w:tc>
          <w:tcPr>
            <w:tcW w:w="1660" w:type="dxa"/>
            <w:vAlign w:val="bottom"/>
            <w:tcBorders>
              <w:bottom w:val="single" w:sz="8" w:color="CCFFCC"/>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19,053</w:t>
            </w: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34,090</w:t>
            </w:r>
          </w:p>
        </w:tc>
      </w:tr>
      <w:tr>
        <w:trPr>
          <w:trHeight w:val="237"/>
        </w:trPr>
        <w:tc>
          <w:tcPr>
            <w:tcW w:w="516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80" w:type="dxa"/>
            <w:vAlign w:val="bottom"/>
            <w:tcBorders>
              <w:top w:val="single" w:sz="8" w:color="CCFFC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524,841</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100,414</w:t>
            </w:r>
          </w:p>
        </w:tc>
        <w:tc>
          <w:tcPr>
            <w:tcW w:w="280" w:type="dxa"/>
            <w:vAlign w:val="bottom"/>
            <w:tcBorders>
              <w:right w:val="single" w:sz="8" w:color="CCFFCC"/>
            </w:tcBorders>
            <w:shd w:val="clear" w:color="auto" w:fill="CCFFCC"/>
          </w:tcPr>
          <w:p>
            <w:pPr>
              <w:spacing w:after="0"/>
              <w:rPr>
                <w:sz w:val="22"/>
                <w:szCs w:val="22"/>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2,966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628,221</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6"/>
              </w:rPr>
              <w:t>Technical</w:t>
            </w:r>
          </w:p>
        </w:tc>
        <w:tc>
          <w:tcPr>
            <w:tcW w:w="166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Reserves for</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reserves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direct claims</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Claims assumed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383,158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35,792</w:t>
            </w:r>
          </w:p>
        </w:tc>
        <w:tc>
          <w:tcPr>
            <w:tcW w:w="6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419,997</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63,976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30,125</w:t>
            </w:r>
          </w:p>
        </w:tc>
        <w:tc>
          <w:tcPr>
            <w:tcW w:w="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94,666</w:t>
            </w:r>
          </w:p>
        </w:tc>
      </w:tr>
      <w:tr>
        <w:trPr>
          <w:trHeight w:val="275"/>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8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16,292</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15,139</w:t>
            </w:r>
          </w:p>
        </w:tc>
        <w:tc>
          <w:tcPr>
            <w:tcW w:w="60" w:type="dxa"/>
            <w:vAlign w:val="bottom"/>
            <w:tcBorders>
              <w:bottom w:val="single" w:sz="8" w:color="CCFFCC"/>
            </w:tcBorders>
            <w:shd w:val="clear" w:color="auto" w:fill="CCFFCC"/>
          </w:tcPr>
          <w:p>
            <w:pPr>
              <w:spacing w:after="0"/>
              <w:rPr>
                <w:sz w:val="23"/>
                <w:szCs w:val="23"/>
                <w:color w:val="auto"/>
              </w:rPr>
            </w:pP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31,431</w:t>
            </w:r>
          </w:p>
        </w:tc>
      </w:tr>
      <w:tr>
        <w:trPr>
          <w:trHeight w:val="237"/>
        </w:trPr>
        <w:tc>
          <w:tcPr>
            <w:tcW w:w="4920" w:type="dxa"/>
            <w:vAlign w:val="bottom"/>
            <w:tcBorders>
              <w:top w:val="single" w:sz="8" w:color="CCFFCC"/>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60" w:type="dxa"/>
            <w:vAlign w:val="bottom"/>
            <w:tcBorders>
              <w:top w:val="single" w:sz="8" w:color="auto"/>
            </w:tcBorders>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463,426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81,056</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546,094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F-54</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reserves for claims represent the reported claims and the reserve for the incurred and non-reported claims by the policyholders chargeable to the Group and its Subsidiaries. The reported claims are adjusted on the basis of the technical reports received from the adjusters. The claims to be paid by the reinsurers and coinsurers are shown as ceded claims.</w:t>
      </w:r>
    </w:p>
    <w:p>
      <w:pPr>
        <w:spacing w:after="0" w:line="235"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The reserves for direct claims include reserves for incurred and non-reported claims for the three types of risks that the Group manages; such amounts at December 31, 2006 were US$ 27.6 million (US$24.2 million as of December 31, 2005), of which US$ 11.7 million correspond to life risks, US$8.2 million to property and casualty and US$ 7.7 million to health risks (US$8.7, US$3.8 and US$11.7 million, respectively, as of December 31, 2005). The IBNR reserves for property and casualty and health risks have been determined on the basis of the Bornhuetter - Ferguson methodology - BF, which is applied to compare statistical occurrences of claims, excluding payments made to the policyholders.</w:t>
      </w:r>
    </w:p>
    <w:p>
      <w:pPr>
        <w:spacing w:after="0" w:line="227" w:lineRule="exact"/>
        <w:rPr>
          <w:sz w:val="20"/>
          <w:szCs w:val="20"/>
          <w:color w:val="auto"/>
        </w:rPr>
      </w:pPr>
    </w:p>
    <w:p>
      <w:pPr>
        <w:ind w:left="660" w:right="300"/>
        <w:spacing w:after="0" w:line="286" w:lineRule="auto"/>
        <w:rPr>
          <w:sz w:val="20"/>
          <w:szCs w:val="20"/>
          <w:color w:val="auto"/>
        </w:rPr>
      </w:pPr>
      <w:r>
        <w:rPr>
          <w:rFonts w:ascii="Arial" w:cs="Arial" w:eastAsia="Arial" w:hAnsi="Arial"/>
          <w:sz w:val="17"/>
          <w:szCs w:val="17"/>
          <w:color w:val="auto"/>
        </w:rPr>
        <w:t>During 2006 and previous years, the differences between the estimations for the incurred and non-reported claims and the liquidated and pending liquidation claims have not been significant. In the case of property and casualty and health risks, the amounts provisioned are greater than the liquidated claims and those pending liquidation by a percentage that does not exceed 10% of the reserve.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movement for the years 2006 and 2005 of technical and insurance claims reserves is as follows:</w:t>
      </w:r>
    </w:p>
    <w:p>
      <w:pPr>
        <w:spacing w:after="0" w:line="320" w:lineRule="exact"/>
        <w:rPr>
          <w:sz w:val="20"/>
          <w:szCs w:val="20"/>
          <w:color w:val="auto"/>
        </w:rPr>
      </w:pPr>
    </w:p>
    <w:p>
      <w:pPr>
        <w:ind w:left="1120" w:hanging="626"/>
        <w:spacing w:after="0"/>
        <w:tabs>
          <w:tab w:leader="none" w:pos="11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Reserves for insurance claims: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36,839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30,690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15,139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82,668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Claims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52,713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60,285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89,797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202,795</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(49,369)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(49,386)</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(86,119)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(184,874)</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Translation result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2,791</w:t>
            </w: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380" w:type="dxa"/>
            <w:vAlign w:val="bottom"/>
          </w:tcPr>
          <w:p>
            <w:pPr>
              <w:jc w:val="right"/>
              <w:spacing w:after="0"/>
              <w:rPr>
                <w:sz w:val="20"/>
                <w:szCs w:val="20"/>
                <w:color w:val="auto"/>
              </w:rPr>
            </w:pPr>
            <w:r>
              <w:rPr>
                <w:rFonts w:ascii="Arial" w:cs="Arial" w:eastAsia="Arial" w:hAnsi="Arial"/>
                <w:sz w:val="18"/>
                <w:szCs w:val="18"/>
                <w:color w:val="auto"/>
              </w:rPr>
              <w:t>42,726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41,593</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19,061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103,380</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5160" w:type="dxa"/>
            <w:vAlign w:val="bottom"/>
          </w:tcPr>
          <w:p>
            <w:pPr>
              <w:spacing w:after="0"/>
              <w:rPr>
                <w:sz w:val="24"/>
                <w:szCs w:val="2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F-55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35,846</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29,293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11,561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Claims</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41,650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56,539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93,115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191,304</w:t>
            </w:r>
          </w:p>
        </w:tc>
        <w:tc>
          <w:tcPr>
            <w:tcW w:w="0" w:type="dxa"/>
            <w:vAlign w:val="bottom"/>
          </w:tcPr>
          <w:p>
            <w:pPr>
              <w:spacing w:after="0"/>
              <w:rPr>
                <w:sz w:val="1"/>
                <w:szCs w:val="1"/>
                <w:color w:val="auto"/>
              </w:rPr>
            </w:pPr>
          </w:p>
        </w:tc>
      </w:tr>
      <w:tr>
        <w:trPr>
          <w:trHeight w:val="243"/>
        </w:trPr>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(38,732)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(54,660)</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(89,537)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(182,929)</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(1,925)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1060" w:type="dxa"/>
            <w:vAlign w:val="bottom"/>
            <w:shd w:val="clear" w:color="auto" w:fill="CCFFCC"/>
          </w:tcPr>
          <w:p>
            <w:pPr>
              <w:spacing w:after="0"/>
              <w:rPr>
                <w:sz w:val="20"/>
                <w:szCs w:val="20"/>
                <w:color w:val="auto"/>
              </w:rPr>
            </w:pPr>
          </w:p>
        </w:tc>
        <w:tc>
          <w:tcPr>
            <w:tcW w:w="41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b w:val="1"/>
                <w:bCs w:val="1"/>
                <w:color w:val="auto"/>
                <w:w w:val="91"/>
              </w:rPr>
              <w:t>Final balance</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36,839</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30,690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15,139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82,668</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500"/>
              <w:spacing w:after="0"/>
              <w:rPr>
                <w:sz w:val="20"/>
                <w:szCs w:val="20"/>
                <w:color w:val="auto"/>
              </w:rPr>
            </w:pPr>
            <w:r>
              <w:rPr>
                <w:rFonts w:ascii="Arial" w:cs="Arial" w:eastAsia="Arial" w:hAnsi="Arial"/>
                <w:sz w:val="18"/>
                <w:szCs w:val="18"/>
                <w:color w:val="auto"/>
              </w:rPr>
              <w:t>(b)</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Technical Reserves: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60" w:type="dxa"/>
            <w:vAlign w:val="bottom"/>
            <w:vMerge w:val="continue"/>
          </w:tcPr>
          <w:p>
            <w:pPr>
              <w:spacing w:after="0"/>
              <w:rPr>
                <w:sz w:val="24"/>
                <w:szCs w:val="24"/>
                <w:color w:val="auto"/>
              </w:rPr>
            </w:pPr>
          </w:p>
        </w:tc>
        <w:tc>
          <w:tcPr>
            <w:tcW w:w="4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1600" w:type="dxa"/>
            <w:vAlign w:val="bottom"/>
            <w:gridSpan w:val="2"/>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383,158</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63,976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463,426</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Accretion expenses and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12,683</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3,664</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Insurance subscriptions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60,227</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60,227</w:t>
            </w:r>
          </w:p>
        </w:tc>
        <w:tc>
          <w:tcPr>
            <w:tcW w:w="0" w:type="dxa"/>
            <w:vAlign w:val="bottom"/>
          </w:tcPr>
          <w:p>
            <w:pPr>
              <w:spacing w:after="0"/>
              <w:rPr>
                <w:sz w:val="1"/>
                <w:szCs w:val="1"/>
                <w:color w:val="auto"/>
              </w:rPr>
            </w:pPr>
          </w:p>
        </w:tc>
      </w:tr>
      <w:tr>
        <w:trPr>
          <w:trHeight w:val="243"/>
        </w:trPr>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(23,356)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jc w:val="right"/>
              <w:spacing w:after="0"/>
              <w:rPr>
                <w:sz w:val="20"/>
                <w:szCs w:val="20"/>
                <w:color w:val="auto"/>
              </w:rPr>
            </w:pPr>
            <w:r>
              <w:rPr>
                <w:rFonts w:ascii="Arial" w:cs="Arial" w:eastAsia="Arial" w:hAnsi="Arial"/>
                <w:sz w:val="18"/>
                <w:szCs w:val="18"/>
                <w:color w:val="auto"/>
              </w:rPr>
              <w:t>9,460</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1"/>
              </w:rPr>
              <w:t>Final balance</w:t>
            </w:r>
          </w:p>
        </w:tc>
        <w:tc>
          <w:tcPr>
            <w:tcW w:w="410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442,172</w:t>
            </w:r>
          </w:p>
        </w:tc>
        <w:tc>
          <w:tcPr>
            <w:tcW w:w="22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67,640</w:t>
            </w:r>
          </w:p>
        </w:tc>
        <w:tc>
          <w:tcPr>
            <w:tcW w:w="2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15,029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524,841</w:t>
            </w:r>
          </w:p>
        </w:tc>
        <w:tc>
          <w:tcPr>
            <w:tcW w:w="0" w:type="dxa"/>
            <w:vAlign w:val="bottom"/>
          </w:tcPr>
          <w:p>
            <w:pPr>
              <w:spacing w:after="0"/>
              <w:rPr>
                <w:sz w:val="1"/>
                <w:szCs w:val="1"/>
                <w:color w:val="auto"/>
              </w:rPr>
            </w:pPr>
          </w:p>
        </w:tc>
      </w:tr>
      <w:tr>
        <w:trPr>
          <w:trHeight w:val="710"/>
        </w:trPr>
        <w:tc>
          <w:tcPr>
            <w:tcW w:w="1060" w:type="dxa"/>
            <w:vAlign w:val="bottom"/>
            <w:tcBorders>
              <w:top w:val="single" w:sz="8" w:color="CCFFCC"/>
            </w:tcBorders>
          </w:tcPr>
          <w:p>
            <w:pPr>
              <w:spacing w:after="0"/>
              <w:rPr>
                <w:sz w:val="24"/>
                <w:szCs w:val="24"/>
                <w:color w:val="auto"/>
              </w:rPr>
            </w:pPr>
          </w:p>
        </w:tc>
        <w:tc>
          <w:tcPr>
            <w:tcW w:w="410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F-56</w:t>
            </w: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322,629</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59,624</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12,703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394,956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Accretion expenses and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14,832</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4,352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3,589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7,941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70,366</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70,366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(19,130)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(19,130)</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Translation result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(5,539)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(5,539)</w:t>
            </w:r>
          </w:p>
        </w:tc>
      </w:tr>
      <w:tr>
        <w:trPr>
          <w:trHeight w:val="237"/>
        </w:trPr>
        <w:tc>
          <w:tcPr>
            <w:tcW w:w="51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383,158</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63,976</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463,426</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140" w:right="160"/>
        <w:spacing w:after="0" w:line="308" w:lineRule="auto"/>
        <w:rPr>
          <w:sz w:val="20"/>
          <w:szCs w:val="20"/>
          <w:color w:val="auto"/>
        </w:rPr>
      </w:pPr>
      <w:r>
        <w:rPr>
          <w:rFonts w:ascii="Arial" w:cs="Arial" w:eastAsia="Arial" w:hAnsi="Arial"/>
          <w:sz w:val="17"/>
          <w:szCs w:val="17"/>
          <w:color w:val="auto"/>
        </w:rPr>
        <w:t>As of December 31, 2006 and 2005, no additional reserves were needed as a result of the liability adequacy test. The main assumptions used in estimation of annuities, disability and survivor reserves as of December 31, 2006 and 2005, were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Modality</w:t>
            </w:r>
          </w:p>
        </w:tc>
        <w:tc>
          <w:tcPr>
            <w:tcW w:w="3840" w:type="dxa"/>
            <w:vAlign w:val="bottom"/>
            <w:gridSpan w:val="2"/>
          </w:tcPr>
          <w:p>
            <w:pPr>
              <w:ind w:left="160"/>
              <w:spacing w:after="0"/>
              <w:rPr>
                <w:sz w:val="20"/>
                <w:szCs w:val="20"/>
                <w:color w:val="auto"/>
              </w:rPr>
            </w:pPr>
            <w:r>
              <w:rPr>
                <w:rFonts w:ascii="Arial" w:cs="Arial" w:eastAsia="Arial" w:hAnsi="Arial"/>
                <w:sz w:val="18"/>
                <w:szCs w:val="18"/>
                <w:b w:val="1"/>
                <w:bCs w:val="1"/>
                <w:color w:val="auto"/>
              </w:rPr>
              <w:t>Mortality Table</w:t>
            </w:r>
          </w:p>
        </w:tc>
        <w:tc>
          <w:tcPr>
            <w:tcW w:w="160" w:type="dxa"/>
            <w:vAlign w:val="bottom"/>
          </w:tcPr>
          <w:p>
            <w:pPr>
              <w:spacing w:after="0"/>
              <w:rPr>
                <w:sz w:val="20"/>
                <w:szCs w:val="20"/>
                <w:color w:val="auto"/>
              </w:rPr>
            </w:pPr>
          </w:p>
        </w:tc>
        <w:tc>
          <w:tcPr>
            <w:tcW w:w="3720" w:type="dxa"/>
            <w:vAlign w:val="bottom"/>
          </w:tcPr>
          <w:p>
            <w:pPr>
              <w:ind w:left="1280"/>
              <w:spacing w:after="0"/>
              <w:rPr>
                <w:sz w:val="20"/>
                <w:szCs w:val="20"/>
                <w:color w:val="auto"/>
              </w:rPr>
            </w:pPr>
            <w:r>
              <w:rPr>
                <w:rFonts w:ascii="Arial" w:cs="Arial" w:eastAsia="Arial" w:hAnsi="Arial"/>
                <w:sz w:val="18"/>
                <w:szCs w:val="18"/>
                <w:b w:val="1"/>
                <w:bCs w:val="1"/>
                <w:color w:val="auto"/>
              </w:rPr>
              <w:t>Technical rates</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Life immediate annuity</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RV2004 and B - 85</w:t>
            </w:r>
          </w:p>
        </w:tc>
        <w:tc>
          <w:tcPr>
            <w:tcW w:w="38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 - 5.45%</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Dead an Disability Pension System insurance</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RV 85 MI - 85H y 85M</w:t>
            </w:r>
          </w:p>
        </w:tc>
        <w:tc>
          <w:tcPr>
            <w:tcW w:w="38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3%</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Individual Life</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SOC 80 adjustable</w:t>
            </w:r>
          </w:p>
        </w:tc>
        <w:tc>
          <w:tcPr>
            <w:tcW w:w="388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4% - 5%</w:t>
            </w:r>
          </w:p>
        </w:tc>
      </w:tr>
    </w:tbl>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mortality tables are recommended by the regulators in Peru.</w:t>
      </w:r>
    </w:p>
    <w:p>
      <w:pPr>
        <w:spacing w:after="0" w:line="279"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at the balance sheet date being the interest rates and the mortality tables. The Group has evaluated the changes of the reserves related to life insurance (Life immediate annuities) of +/- 100 bps of the interest rates and of +/- 5% of the mortality factors, being the results as follows: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Amount of the</w:t>
            </w:r>
          </w:p>
        </w:tc>
        <w:tc>
          <w:tcPr>
            <w:tcW w:w="30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Variables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US$ (000)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US$ (000)%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251,036</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228,443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(22,593)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277,843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26,807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248,278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(2,758)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253,951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5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Amount of the</w:t>
            </w:r>
          </w:p>
        </w:tc>
        <w:tc>
          <w:tcPr>
            <w:tcW w:w="30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Variables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US$ (000)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US$ (000)%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1840" w:type="dxa"/>
            <w:vAlign w:val="bottom"/>
            <w:gridSpan w:val="3"/>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9,491</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8,540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10,643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9,462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9,529</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The effect of the changes previously indicated, is not significant to the net income and net equity attributed to Credicorp´s shareholders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Bonds and subordinate notes issued</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89"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Weighted</w:t>
      </w:r>
    </w:p>
    <w:p>
      <w:pPr>
        <w:spacing w:after="0" w:line="27"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average annual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5715</wp:posOffset>
            </wp:positionV>
            <wp:extent cx="15436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4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Bonds -</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33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880" w:type="dxa"/>
            <w:vAlign w:val="bottom"/>
            <w:shd w:val="clear" w:color="auto" w:fill="CCFFCC"/>
          </w:tcPr>
          <w:p>
            <w:pPr>
              <w:ind w:left="40"/>
              <w:spacing w:after="0" w:line="201" w:lineRule="exact"/>
              <w:rPr>
                <w:sz w:val="20"/>
                <w:szCs w:val="20"/>
                <w:color w:val="auto"/>
              </w:rPr>
            </w:pPr>
            <w:r>
              <w:rPr>
                <w:rFonts w:ascii="Arial" w:cs="Arial" w:eastAsia="Arial" w:hAnsi="Arial"/>
                <w:sz w:val="18"/>
                <w:szCs w:val="18"/>
                <w:color w:val="auto"/>
              </w:rPr>
              <w:t>Between January 2007 and March</w:t>
            </w: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Corporate bonds (i)</w:t>
            </w:r>
          </w:p>
        </w:tc>
        <w:tc>
          <w:tcPr>
            <w:tcW w:w="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6"/>
              </w:rPr>
              <w:t>6.23</w:t>
            </w:r>
          </w:p>
        </w:tc>
        <w:tc>
          <w:tcPr>
            <w:tcW w:w="780" w:type="dxa"/>
            <w:vAlign w:val="bottom"/>
            <w:shd w:val="clear" w:color="auto" w:fill="CCFFCC"/>
          </w:tcPr>
          <w:p>
            <w:pPr>
              <w:spacing w:after="0"/>
              <w:rPr>
                <w:sz w:val="20"/>
                <w:szCs w:val="20"/>
                <w:color w:val="auto"/>
              </w:rPr>
            </w:pP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6"/>
              </w:rPr>
              <w:t>5.89</w:t>
            </w: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2013</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90,173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86,413</w:t>
            </w:r>
          </w:p>
        </w:tc>
      </w:tr>
      <w:tr>
        <w:trPr>
          <w:trHeight w:val="202"/>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ind w:left="40"/>
              <w:spacing w:after="0" w:line="201" w:lineRule="exact"/>
              <w:rPr>
                <w:sz w:val="20"/>
                <w:szCs w:val="20"/>
                <w:color w:val="auto"/>
              </w:rPr>
            </w:pPr>
            <w:r>
              <w:rPr>
                <w:rFonts w:ascii="Arial" w:cs="Arial" w:eastAsia="Arial" w:hAnsi="Arial"/>
                <w:sz w:val="18"/>
                <w:szCs w:val="18"/>
                <w:color w:val="auto"/>
                <w:w w:val="91"/>
              </w:rPr>
              <w:t>Between January 2007 and November</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Leasing bonds (ii), (iii)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5.53</w:t>
            </w:r>
          </w:p>
        </w:tc>
        <w:tc>
          <w:tcPr>
            <w:tcW w:w="7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5.59</w:t>
            </w:r>
          </w:p>
        </w:tc>
        <w:tc>
          <w:tcPr>
            <w:tcW w:w="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177,952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219,564</w:t>
            </w:r>
          </w:p>
        </w:tc>
      </w:tr>
      <w:tr>
        <w:trPr>
          <w:trHeight w:val="243"/>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Mortgage bonds (iii)</w:t>
            </w:r>
          </w:p>
        </w:tc>
        <w:tc>
          <w:tcPr>
            <w:tcW w:w="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6"/>
              </w:rPr>
              <w:t>7.70</w:t>
            </w:r>
          </w:p>
        </w:tc>
        <w:tc>
          <w:tcPr>
            <w:tcW w:w="78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6"/>
              </w:rPr>
              <w:t>7.70</w:t>
            </w:r>
          </w:p>
        </w:tc>
        <w:tc>
          <w:tcPr>
            <w:tcW w:w="80" w:type="dxa"/>
            <w:vAlign w:val="bottom"/>
            <w:shd w:val="clear" w:color="auto" w:fill="CCFFCC"/>
          </w:tcPr>
          <w:p>
            <w:pPr>
              <w:spacing w:after="0"/>
              <w:rPr>
                <w:sz w:val="21"/>
                <w:szCs w:val="21"/>
                <w:color w:val="auto"/>
              </w:rPr>
            </w:pPr>
          </w:p>
        </w:tc>
        <w:tc>
          <w:tcPr>
            <w:tcW w:w="2880" w:type="dxa"/>
            <w:vAlign w:val="bottom"/>
            <w:shd w:val="clear" w:color="auto" w:fill="CCFFCC"/>
          </w:tcPr>
          <w:p>
            <w:pPr>
              <w:ind w:left="40"/>
              <w:spacing w:after="0"/>
              <w:rPr>
                <w:sz w:val="20"/>
                <w:szCs w:val="20"/>
                <w:color w:val="auto"/>
              </w:rPr>
            </w:pPr>
            <w:r>
              <w:rPr>
                <w:rFonts w:ascii="Arial" w:cs="Arial" w:eastAsia="Arial" w:hAnsi="Arial"/>
                <w:sz w:val="18"/>
                <w:szCs w:val="18"/>
                <w:color w:val="auto"/>
                <w:w w:val="92"/>
              </w:rPr>
              <w:t>Between January 2007 and April 2012</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23,610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27,620</w:t>
            </w:r>
          </w:p>
        </w:tc>
      </w:tr>
      <w:tr>
        <w:trPr>
          <w:trHeight w:val="202"/>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ind w:left="40"/>
              <w:spacing w:after="0" w:line="201" w:lineRule="exact"/>
              <w:rPr>
                <w:sz w:val="20"/>
                <w:szCs w:val="20"/>
                <w:color w:val="auto"/>
              </w:rPr>
            </w:pPr>
            <w:r>
              <w:rPr>
                <w:rFonts w:ascii="Arial" w:cs="Arial" w:eastAsia="Arial" w:hAnsi="Arial"/>
                <w:sz w:val="18"/>
                <w:szCs w:val="18"/>
                <w:color w:val="auto"/>
              </w:rPr>
              <w:t>Between August 2007 and October</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4140" w:type="dxa"/>
            <w:vAlign w:val="bottom"/>
            <w:gridSpan w:val="2"/>
          </w:tcPr>
          <w:p>
            <w:pPr>
              <w:spacing w:after="0"/>
              <w:rPr>
                <w:sz w:val="20"/>
                <w:szCs w:val="20"/>
                <w:color w:val="auto"/>
              </w:rPr>
            </w:pPr>
            <w:r>
              <w:rPr>
                <w:rFonts w:ascii="Arial" w:cs="Arial" w:eastAsia="Arial" w:hAnsi="Arial"/>
                <w:sz w:val="18"/>
                <w:szCs w:val="18"/>
                <w:color w:val="auto"/>
              </w:rPr>
              <w:t>Subordinated bonds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6.89</w:t>
            </w:r>
          </w:p>
        </w:tc>
        <w:tc>
          <w:tcPr>
            <w:tcW w:w="78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6.83</w:t>
            </w:r>
          </w:p>
        </w:tc>
        <w:tc>
          <w:tcPr>
            <w:tcW w:w="80" w:type="dxa"/>
            <w:vAlign w:val="bottom"/>
          </w:tcPr>
          <w:p>
            <w:pPr>
              <w:spacing w:after="0"/>
              <w:rPr>
                <w:sz w:val="22"/>
                <w:szCs w:val="22"/>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96,758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92,014</w:t>
            </w:r>
          </w:p>
        </w:tc>
      </w:tr>
      <w:tr>
        <w:trPr>
          <w:trHeight w:val="237"/>
        </w:trPr>
        <w:tc>
          <w:tcPr>
            <w:tcW w:w="3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388,493</w:t>
            </w: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425,611</w:t>
            </w:r>
          </w:p>
        </w:tc>
        <w:tc>
          <w:tcPr>
            <w:tcW w:w="100" w:type="dxa"/>
            <w:vAlign w:val="bottom"/>
            <w:shd w:val="clear" w:color="auto" w:fill="CCFFCC"/>
          </w:tcPr>
          <w:p>
            <w:pPr>
              <w:spacing w:after="0"/>
              <w:rPr>
                <w:sz w:val="20"/>
                <w:szCs w:val="20"/>
                <w:color w:val="auto"/>
              </w:rPr>
            </w:pPr>
          </w:p>
        </w:tc>
      </w:tr>
      <w:tr>
        <w:trPr>
          <w:trHeight w:val="243"/>
        </w:trPr>
        <w:tc>
          <w:tcPr>
            <w:tcW w:w="3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Subordinated notes -</w:t>
            </w:r>
          </w:p>
        </w:tc>
        <w:tc>
          <w:tcPr>
            <w:tcW w:w="3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2"/>
        </w:trPr>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Subordinated negotiable certificates notes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(iv)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37"/>
        </w:trPr>
        <w:tc>
          <w:tcPr>
            <w:tcW w:w="3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508,493</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425,611</w:t>
            </w:r>
          </w:p>
        </w:tc>
      </w:tr>
      <w:tr>
        <w:trPr>
          <w:trHeight w:val="243"/>
        </w:trPr>
        <w:tc>
          <w:tcPr>
            <w:tcW w:w="41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r>
      <w:tr>
        <w:trPr>
          <w:trHeight w:val="275"/>
        </w:trPr>
        <w:tc>
          <w:tcPr>
            <w:tcW w:w="41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payable</w:t>
            </w:r>
          </w:p>
        </w:tc>
        <w:tc>
          <w:tcPr>
            <w:tcW w:w="3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3,613</w:t>
            </w:r>
          </w:p>
        </w:tc>
      </w:tr>
      <w:tr>
        <w:trPr>
          <w:trHeight w:val="237"/>
        </w:trPr>
        <w:tc>
          <w:tcPr>
            <w:tcW w:w="4140" w:type="dxa"/>
            <w:vAlign w:val="bottom"/>
            <w:tcBorders>
              <w:top w:val="single" w:sz="8" w:color="CCFFCC"/>
            </w:tcBorders>
            <w:gridSpan w:val="2"/>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CCFFCC"/>
            </w:tcBorders>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88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88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512,572</w:t>
            </w:r>
          </w:p>
        </w:tc>
        <w:tc>
          <w:tcPr>
            <w:tcW w:w="12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429,224</w:t>
            </w:r>
          </w:p>
        </w:tc>
      </w:tr>
      <w:tr>
        <w:trPr>
          <w:trHeight w:val="683"/>
        </w:trPr>
        <w:tc>
          <w:tcPr>
            <w:tcW w:w="3340" w:type="dxa"/>
            <w:vAlign w:val="bottom"/>
            <w:tcBorders>
              <w:top w:val="single" w:sz="8" w:color="CCFFCC"/>
            </w:tcBorders>
          </w:tcPr>
          <w:p>
            <w:pPr>
              <w:spacing w:after="0"/>
              <w:rPr>
                <w:sz w:val="24"/>
                <w:szCs w:val="24"/>
                <w:color w:val="auto"/>
              </w:rPr>
            </w:pPr>
          </w:p>
        </w:tc>
        <w:tc>
          <w:tcPr>
            <w:tcW w:w="800" w:type="dxa"/>
            <w:vAlign w:val="bottom"/>
            <w:tcBorders>
              <w:top w:val="single" w:sz="8" w:color="CCFFCC"/>
            </w:tcBorders>
          </w:tcPr>
          <w:p>
            <w:pPr>
              <w:spacing w:after="0"/>
              <w:rPr>
                <w:sz w:val="24"/>
                <w:szCs w:val="24"/>
                <w:color w:val="auto"/>
              </w:rPr>
            </w:pPr>
          </w:p>
        </w:tc>
        <w:tc>
          <w:tcPr>
            <w:tcW w:w="3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540" w:type="dxa"/>
            <w:vAlign w:val="bottom"/>
            <w:tcBorders>
              <w:top w:val="single" w:sz="8" w:color="CCFFCC"/>
            </w:tcBorders>
            <w:gridSpan w:val="3"/>
          </w:tcPr>
          <w:p>
            <w:pPr>
              <w:ind w:left="140"/>
              <w:spacing w:after="0"/>
              <w:rPr>
                <w:sz w:val="20"/>
                <w:szCs w:val="20"/>
                <w:color w:val="auto"/>
              </w:rPr>
            </w:pPr>
            <w:r>
              <w:rPr>
                <w:rFonts w:ascii="Arial" w:cs="Arial" w:eastAsia="Arial" w:hAnsi="Arial"/>
                <w:sz w:val="18"/>
                <w:szCs w:val="18"/>
                <w:color w:val="auto"/>
              </w:rPr>
              <w:t>F-59</w:t>
            </w:r>
          </w:p>
        </w:tc>
        <w:tc>
          <w:tcPr>
            <w:tcW w:w="28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ind w:left="1460" w:right="460" w:hanging="642"/>
        <w:spacing w:after="0" w:line="271" w:lineRule="auto"/>
        <w:tabs>
          <w:tab w:leader="none" w:pos="17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During 2006, the bank issued corporate bonds, for US$ 47.2 million (US$35.0 million during 2005) and redeemed bonds for US$43.4 million (US$24.0 million during 2005) representing a net increase of US$ 3.8 million (US$11.0 million during 2005). The details of the new issuance are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Issue 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Currency</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Sixth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08/08/2008</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Sixth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6,258</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27/02/2008</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Eight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10,951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06/09/2010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Eight issuance - Series C</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7,822</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21/09/2010</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Eight issuance - Series D</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11/10/2010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Ninth issuance - Series B</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7,822</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03/03/2011</w:t>
            </w:r>
          </w:p>
        </w:tc>
      </w:tr>
      <w:tr>
        <w:trPr>
          <w:trHeight w:val="275"/>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Tenth issuance - Series B</w:t>
            </w:r>
          </w:p>
        </w:tc>
        <w:tc>
          <w:tcPr>
            <w:tcW w:w="22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3,129</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24/03/2013</w:t>
            </w:r>
          </w:p>
        </w:tc>
      </w:tr>
      <w:tr>
        <w:trPr>
          <w:trHeight w:val="237"/>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47,246</w:t>
            </w: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Issue 2005</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Currency</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r>
      <w:tr>
        <w:trPr>
          <w:trHeight w:val="264"/>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Third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8,746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29/05/2007</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Seventh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21/11/2009</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Seventh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21/11/2012</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Eight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5,831</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24/11/2008</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Ninth issuance - Series A</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24/11/2010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Tenth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06/12/2008</w:t>
            </w:r>
          </w:p>
        </w:tc>
      </w:tr>
      <w:tr>
        <w:trPr>
          <w:trHeight w:val="270"/>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34,985</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460" w:right="400" w:hanging="642"/>
        <w:spacing w:after="0" w:line="264" w:lineRule="auto"/>
        <w:tabs>
          <w:tab w:leader="none" w:pos="148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2005, Crédito Leasing S.A., a subsidiary of Credicorp, issued the Third Program of Leasing Bonds Series “A” and “B” amount to US$15.0 million and US$25.0 million with maturities between February 2007 and July 2008, respectively. Likewise, during 2006, Crédito Leasing S.A. redeemed bonds for US$41.6 million (US$40.9 million during 2005).</w:t>
      </w:r>
    </w:p>
    <w:p>
      <w:pPr>
        <w:spacing w:after="0" w:line="235" w:lineRule="exact"/>
        <w:rPr>
          <w:rFonts w:ascii="Arial" w:cs="Arial" w:eastAsia="Arial" w:hAnsi="Arial"/>
          <w:sz w:val="18"/>
          <w:szCs w:val="18"/>
          <w:color w:val="auto"/>
        </w:rPr>
      </w:pPr>
    </w:p>
    <w:p>
      <w:pPr>
        <w:ind w:left="1540" w:hanging="722"/>
        <w:spacing w:after="0"/>
        <w:tabs>
          <w:tab w:leader="none" w:pos="1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 with these resources.</w:t>
      </w:r>
    </w:p>
    <w:p>
      <w:pPr>
        <w:spacing w:after="0" w:line="279" w:lineRule="exact"/>
        <w:rPr>
          <w:rFonts w:ascii="Arial" w:cs="Arial" w:eastAsia="Arial" w:hAnsi="Arial"/>
          <w:sz w:val="18"/>
          <w:szCs w:val="18"/>
          <w:color w:val="auto"/>
        </w:rPr>
      </w:pPr>
    </w:p>
    <w:p>
      <w:pPr>
        <w:ind w:left="1460" w:right="280" w:hanging="642"/>
        <w:spacing w:after="0" w:line="256" w:lineRule="auto"/>
        <w:tabs>
          <w:tab w:leader="none" w:pos="147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 August, 2006, the Board or Directors of BCP approved the issuance of subordinated debt of up to US$175 million, with the aim to meet the requirement of the regulatory capital of the Group in Peru. The issuance will be realized in parts in 2006 and 2007 on the international and local market.</w:t>
      </w:r>
    </w:p>
    <w:p>
      <w:pPr>
        <w:ind w:left="1460" w:right="40"/>
        <w:spacing w:after="0" w:line="270" w:lineRule="auto"/>
        <w:rPr>
          <w:rFonts w:ascii="Arial" w:cs="Arial" w:eastAsia="Arial" w:hAnsi="Arial"/>
          <w:sz w:val="18"/>
          <w:szCs w:val="18"/>
          <w:color w:val="auto"/>
        </w:rPr>
      </w:pPr>
      <w:r>
        <w:rPr>
          <w:rFonts w:ascii="Arial" w:cs="Arial" w:eastAsia="Arial" w:hAnsi="Arial"/>
          <w:sz w:val="17"/>
          <w:szCs w:val="17"/>
          <w:color w:val="auto"/>
        </w:rPr>
        <w:t>In November 2006, BCP through its Panama branch, issued Subordinated Negotiable Certificates Notes amounted to US$120 million on the international market with maturity on 2021. These certificates accrued a fixed annual interest rate of 6.95 percent for the first 10 years (until November 2016), with payment each six months. After the first 10 years, the interest rate is change to a variable interest rate, established as Libor plus 2.79 percent, with quarterly payments. At the end of the first 10 years, the Bank can redeem 100 percent of the debt, without penalties. This subordinated debt has certain financial and operating covenants which in Management’s opinion, the Group is in compliance at the consolidated balance sheet date.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ind w:left="1140" w:hanging="646"/>
        <w:spacing w:after="0"/>
        <w:tabs>
          <w:tab w:leader="none" w:pos="11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bonds and subordinate bonds issued as of December 31, 2006 and 2005, classified by maturity are shown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70"/>
        </w:trPr>
        <w:tc>
          <w:tcPr>
            <w:tcW w:w="8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19,316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56,701</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43,488</w:t>
            </w: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177,873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246,254</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From 3 to 5 years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110,224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92,167</w:t>
            </w:r>
          </w:p>
        </w:tc>
      </w:tr>
      <w:tr>
        <w:trPr>
          <w:trHeight w:val="275"/>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Over 5 years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144,379</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43,702</w:t>
            </w:r>
          </w:p>
        </w:tc>
      </w:tr>
      <w:tr>
        <w:trPr>
          <w:trHeight w:val="237"/>
        </w:trPr>
        <w:tc>
          <w:tcPr>
            <w:tcW w:w="812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508,493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425,611</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323" w:lineRule="exact"/>
        <w:rPr>
          <w:rFonts w:ascii="Arial" w:cs="Arial" w:eastAsia="Arial" w:hAnsi="Arial"/>
          <w:sz w:val="18"/>
          <w:szCs w:val="18"/>
          <w:b w:val="1"/>
          <w:bCs w:val="1"/>
          <w:color w:val="auto"/>
        </w:rPr>
      </w:pPr>
    </w:p>
    <w:p>
      <w:pPr>
        <w:ind w:left="1120" w:hanging="626"/>
        <w:spacing w:after="0"/>
        <w:tabs>
          <w:tab w:leader="none" w:pos="11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Capital stock -</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2006, 2005 and 2004, 94,382,317 shares of capital stock were issued with a par value of US$5 per share.</w:t>
      </w:r>
    </w:p>
    <w:p>
      <w:pPr>
        <w:spacing w:after="0" w:line="279" w:lineRule="exact"/>
        <w:rPr>
          <w:sz w:val="20"/>
          <w:szCs w:val="20"/>
          <w:color w:val="auto"/>
        </w:rPr>
      </w:pPr>
    </w:p>
    <w:p>
      <w:pPr>
        <w:ind w:left="1160" w:hanging="666"/>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79" w:lineRule="exact"/>
        <w:rPr>
          <w:sz w:val="20"/>
          <w:szCs w:val="20"/>
          <w:color w:val="auto"/>
        </w:rPr>
      </w:pPr>
    </w:p>
    <w:p>
      <w:pPr>
        <w:ind w:left="1140" w:right="140" w:firstLine="54"/>
        <w:spacing w:after="0" w:line="264" w:lineRule="auto"/>
        <w:rPr>
          <w:sz w:val="20"/>
          <w:szCs w:val="20"/>
          <w:color w:val="auto"/>
        </w:rPr>
      </w:pPr>
      <w:r>
        <w:rPr>
          <w:rFonts w:ascii="Arial" w:cs="Arial" w:eastAsia="Arial" w:hAnsi="Arial"/>
          <w:sz w:val="18"/>
          <w:szCs w:val="18"/>
          <w:color w:val="auto"/>
        </w:rPr>
        <w:t>Treasury stock corresponds to the par value of Credicorp’s shares owned by the Group’s companies, which amounts 14,620,842 shares as of December 31, 2006 and 2005. The difference of US$113.4 million, between the acquisition cost of US$186.5 million and their par value (US$73.1 million), is recorded as a reduction of the “Capital surplus”.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80" w:hanging="68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Reserves -</w:t>
      </w:r>
    </w:p>
    <w:p>
      <w:pPr>
        <w:spacing w:after="0" w:line="293" w:lineRule="exact"/>
        <w:rPr>
          <w:sz w:val="20"/>
          <w:szCs w:val="20"/>
          <w:color w:val="auto"/>
        </w:rPr>
      </w:pPr>
    </w:p>
    <w:p>
      <w:pPr>
        <w:ind w:left="1140" w:right="20" w:firstLine="54"/>
        <w:spacing w:after="0" w:line="264" w:lineRule="auto"/>
        <w:rPr>
          <w:sz w:val="20"/>
          <w:szCs w:val="20"/>
          <w:color w:val="auto"/>
        </w:rPr>
      </w:pPr>
      <w:r>
        <w:rPr>
          <w:rFonts w:ascii="Arial" w:cs="Arial" w:eastAsia="Arial" w:hAnsi="Arial"/>
          <w:sz w:val="18"/>
          <w:szCs w:val="18"/>
          <w:color w:val="auto"/>
        </w:rPr>
        <w:t>In accordance with the local laws that regulate financial and insurance activities of the Group’s subsidiaries in Peru, a reserve of up to at least 35 percent of their paid-in capital is required to be established through annual transfers of at least 10 percent of net income. As of December 31, 2006 and 2005, these reserves were approximately US$214.8 and US$209.3 million respectively.</w:t>
      </w:r>
    </w:p>
    <w:p>
      <w:pPr>
        <w:spacing w:after="0" w:line="208"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The Shareholders Meeting dated on October 26, 2006 agreed to transfer from “retained earnings” to “other reserves” an amount of US$210.4 million.</w:t>
      </w:r>
    </w:p>
    <w:p>
      <w:pPr>
        <w:spacing w:after="0" w:line="265" w:lineRule="exact"/>
        <w:rPr>
          <w:sz w:val="20"/>
          <w:szCs w:val="20"/>
          <w:color w:val="auto"/>
        </w:rPr>
      </w:pPr>
    </w:p>
    <w:p>
      <w:pPr>
        <w:ind w:left="1180" w:hanging="686"/>
        <w:spacing w:after="0"/>
        <w:tabs>
          <w:tab w:leader="none" w:pos="11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Dividends distribution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During 2006, 2005 and 2004, Credicorp paid cash dividends amount to approximately US$87.7, US$63.8 and US$31.9 million, respectively.</w:t>
      </w:r>
    </w:p>
    <w:p>
      <w:pPr>
        <w:spacing w:after="0" w:line="302" w:lineRule="exact"/>
        <w:rPr>
          <w:sz w:val="20"/>
          <w:szCs w:val="20"/>
          <w:color w:val="auto"/>
        </w:rPr>
      </w:pPr>
    </w:p>
    <w:p>
      <w:pPr>
        <w:ind w:left="1140" w:firstLine="54"/>
        <w:spacing w:after="0" w:line="277" w:lineRule="auto"/>
        <w:rPr>
          <w:sz w:val="20"/>
          <w:szCs w:val="20"/>
          <w:color w:val="auto"/>
        </w:rPr>
      </w:pPr>
      <w:r>
        <w:rPr>
          <w:rFonts w:ascii="Arial" w:cs="Arial" w:eastAsia="Arial" w:hAnsi="Arial"/>
          <w:sz w:val="18"/>
          <w:szCs w:val="18"/>
          <w:color w:val="auto"/>
        </w:rPr>
        <w:t>Credicorp has declared a cash dividend of US$1.30 per Common Share for a total amount of approximately US$122.7 million, corresponding to the results of 2006, which was distributed on May 7, 2007.</w:t>
      </w:r>
    </w:p>
    <w:p>
      <w:pPr>
        <w:spacing w:after="0" w:line="224" w:lineRule="exact"/>
        <w:rPr>
          <w:sz w:val="20"/>
          <w:szCs w:val="20"/>
          <w:color w:val="auto"/>
        </w:rPr>
      </w:pPr>
    </w:p>
    <w:p>
      <w:pPr>
        <w:ind w:left="1140" w:right="420" w:firstLine="54"/>
        <w:spacing w:after="0" w:line="308"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The dividends paid by the Peruvian subsidiaries to Credicorp are subject to a withholding tax of 4.1 percent.</w:t>
      </w:r>
    </w:p>
    <w:p>
      <w:pPr>
        <w:spacing w:after="0" w:line="241" w:lineRule="exact"/>
        <w:rPr>
          <w:sz w:val="20"/>
          <w:szCs w:val="20"/>
          <w:color w:val="auto"/>
        </w:rPr>
      </w:pPr>
    </w:p>
    <w:p>
      <w:pPr>
        <w:ind w:left="1180" w:hanging="686"/>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93" w:lineRule="exact"/>
        <w:rPr>
          <w:sz w:val="20"/>
          <w:szCs w:val="20"/>
          <w:color w:val="auto"/>
        </w:rPr>
      </w:pPr>
    </w:p>
    <w:p>
      <w:pPr>
        <w:ind w:left="1140" w:right="480" w:firstLine="9"/>
        <w:spacing w:after="0" w:line="297" w:lineRule="auto"/>
        <w:rPr>
          <w:sz w:val="20"/>
          <w:szCs w:val="20"/>
          <w:color w:val="auto"/>
        </w:rPr>
      </w:pPr>
      <w:r>
        <w:rPr>
          <w:rFonts w:ascii="Arial" w:cs="Arial" w:eastAsia="Arial" w:hAnsi="Arial"/>
          <w:sz w:val="16"/>
          <w:szCs w:val="16"/>
          <w:color w:val="auto"/>
        </w:rPr>
        <w:t>As of December 31, 2006 and 2005, the regulatory capital for the subsidiaries engaged in financial and insurance activities amounted to approximately US$1,008.0 and US$915.0 million, respectively. This regulatory capital has been determined in accordance with the Superintendencia de Banca, Seguros y AFP del Perú regulations in force as of such dates. According to the Superintendencia de Banca, Seguros y AFP regulations, the Group’s regulatory capital exceeds in approximately US$157.0 million the minimum regulatory capital required as of December 31, 2006 (approximately US$166.6 million as of December 31, 2005).</w:t>
      </w:r>
    </w:p>
    <w:p>
      <w:pPr>
        <w:spacing w:after="0" w:line="208" w:lineRule="exact"/>
        <w:rPr>
          <w:sz w:val="20"/>
          <w:szCs w:val="20"/>
          <w:color w:val="auto"/>
        </w:rPr>
      </w:pPr>
    </w:p>
    <w:p>
      <w:pPr>
        <w:ind w:left="500" w:hanging="492"/>
        <w:spacing w:after="0"/>
        <w:tabs>
          <w:tab w:leader="none" w:pos="5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83" w:lineRule="exact"/>
        <w:rPr>
          <w:rFonts w:ascii="Arial" w:cs="Arial" w:eastAsia="Arial" w:hAnsi="Arial"/>
          <w:sz w:val="18"/>
          <w:szCs w:val="18"/>
          <w:b w:val="1"/>
          <w:bCs w:val="1"/>
          <w:color w:val="auto"/>
        </w:rPr>
      </w:pPr>
    </w:p>
    <w:p>
      <w:pPr>
        <w:ind w:left="1140" w:right="100" w:hanging="646"/>
        <w:spacing w:after="0" w:line="264" w:lineRule="auto"/>
        <w:tabs>
          <w:tab w:leader="none" w:pos="114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Credicorp is not subject to any type of income taxes, nor taxes on capital gains, equity or property. The Peruvian subsidiaries are subject to corporate taxation on income under the Peruvian Tax system. The statutory income tax rate payable in Peru is 30 percent of taxable profits in 2006, 2005 and 2004.</w:t>
      </w:r>
    </w:p>
    <w:p>
      <w:pPr>
        <w:spacing w:after="0" w:line="235" w:lineRule="exact"/>
        <w:rPr>
          <w:rFonts w:ascii="Arial" w:cs="Arial" w:eastAsia="Arial" w:hAnsi="Arial"/>
          <w:sz w:val="18"/>
          <w:szCs w:val="18"/>
          <w:color w:val="auto"/>
        </w:rPr>
      </w:pPr>
    </w:p>
    <w:p>
      <w:pPr>
        <w:ind w:left="1140" w:right="380" w:hanging="1"/>
        <w:spacing w:after="0" w:line="277" w:lineRule="auto"/>
        <w:rPr>
          <w:rFonts w:ascii="Arial" w:cs="Arial" w:eastAsia="Arial" w:hAnsi="Arial"/>
          <w:sz w:val="18"/>
          <w:szCs w:val="18"/>
          <w:color w:val="auto"/>
        </w:rPr>
      </w:pPr>
      <w:r>
        <w:rPr>
          <w:rFonts w:ascii="Arial" w:cs="Arial" w:eastAsia="Arial" w:hAnsi="Arial"/>
          <w:sz w:val="18"/>
          <w:szCs w:val="18"/>
          <w:color w:val="auto"/>
        </w:rPr>
        <w:t>ASHC and its Subsidiaries are not subject to taxes in the Cayman Islands nor Panama. For the years ended December 31, 2006, 2005 and 2004, no taxable profits were generated from its operations in the United States of America.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differences between the statutory income tax rate and the effective tax rate for the Group is shown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7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5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tax rate</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97"/>
              </w:rPr>
              <w:t>30.00</w:t>
            </w:r>
          </w:p>
        </w:tc>
        <w:tc>
          <w:tcPr>
            <w:tcW w:w="92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30.00</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30.00</w:t>
            </w:r>
          </w:p>
        </w:tc>
      </w:tr>
      <w:tr>
        <w:trPr>
          <w:trHeight w:val="24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308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6" w:lineRule="exact"/>
        <w:rPr>
          <w:sz w:val="20"/>
          <w:szCs w:val="20"/>
          <w:color w:val="auto"/>
        </w:rPr>
      </w:pPr>
    </w:p>
    <w:p>
      <w:pPr>
        <w:ind w:left="720" w:hanging="712"/>
        <w:spacing w:after="0"/>
        <w:tabs>
          <w:tab w:leader="none" w:pos="7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Increase (decrease) arising from net income of subsidiaries not domiciled 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6240" w:type="dxa"/>
            <w:vAlign w:val="bottom"/>
          </w:tcPr>
          <w:p>
            <w:pPr>
              <w:ind w:left="60"/>
              <w:spacing w:after="0"/>
              <w:rPr>
                <w:sz w:val="20"/>
                <w:szCs w:val="20"/>
                <w:color w:val="auto"/>
              </w:rPr>
            </w:pPr>
            <w:r>
              <w:rPr>
                <w:rFonts w:ascii="Arial" w:cs="Arial" w:eastAsia="Arial" w:hAnsi="Arial"/>
                <w:sz w:val="18"/>
                <w:szCs w:val="18"/>
                <w:color w:val="auto"/>
              </w:rPr>
              <w:t>Peru</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(ii)</w:t>
            </w:r>
          </w:p>
        </w:tc>
        <w:tc>
          <w:tcPr>
            <w:tcW w:w="6240" w:type="dxa"/>
            <w:vAlign w:val="bottom"/>
          </w:tcPr>
          <w:p>
            <w:pPr>
              <w:ind w:left="480"/>
              <w:spacing w:after="0"/>
              <w:rPr>
                <w:sz w:val="20"/>
                <w:szCs w:val="20"/>
                <w:color w:val="auto"/>
              </w:rPr>
            </w:pPr>
            <w:r>
              <w:rPr>
                <w:rFonts w:ascii="Arial" w:cs="Arial" w:eastAsia="Arial" w:hAnsi="Arial"/>
                <w:sz w:val="18"/>
                <w:szCs w:val="18"/>
                <w:color w:val="auto"/>
              </w:rPr>
              <w:t>Non-taxable costs (income), net</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(4.86)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r>
      <w:tr>
        <w:trPr>
          <w:trHeight w:val="275"/>
        </w:trPr>
        <w:tc>
          <w:tcPr>
            <w:tcW w:w="65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(iii) Translation results not considered for tax purposes</w:t>
            </w:r>
          </w:p>
        </w:tc>
        <w:tc>
          <w:tcPr>
            <w:tcW w:w="1840" w:type="dxa"/>
            <w:vAlign w:val="bottom"/>
            <w:tcBorders>
              <w:bottom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(3.96)</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(3.42)</w:t>
            </w:r>
          </w:p>
        </w:tc>
      </w:tr>
      <w:tr>
        <w:trPr>
          <w:trHeight w:val="237"/>
        </w:trPr>
        <w:tc>
          <w:tcPr>
            <w:tcW w:w="6520" w:type="dxa"/>
            <w:vAlign w:val="bottom"/>
            <w:tcBorders>
              <w:top w:val="single" w:sz="8" w:color="CCFFCC"/>
            </w:tcBorders>
            <w:gridSpan w:val="2"/>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Effective income tax rate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r>
      <w:tr>
        <w:trPr>
          <w:trHeight w:val="20"/>
        </w:trPr>
        <w:tc>
          <w:tcPr>
            <w:tcW w:w="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0" w:hanging="646"/>
        <w:spacing w:after="0" w:line="277" w:lineRule="auto"/>
        <w:tabs>
          <w:tab w:leader="none" w:pos="11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deferred income tax has been calculated on all temporary differences applied at an income tax rate of 30 percent. The income tax expense analysis as of December 31, 2006, 2005 and 2004,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486"/>
        </w:trPr>
        <w:tc>
          <w:tcPr>
            <w:tcW w:w="3420" w:type="dxa"/>
            <w:vAlign w:val="bottom"/>
          </w:tcPr>
          <w:p>
            <w:pPr>
              <w:spacing w:after="0"/>
              <w:rPr>
                <w:sz w:val="20"/>
                <w:szCs w:val="20"/>
                <w:color w:val="auto"/>
              </w:rPr>
            </w:pPr>
            <w:r>
              <w:rPr>
                <w:rFonts w:ascii="Arial" w:cs="Arial" w:eastAsia="Arial" w:hAnsi="Arial"/>
                <w:sz w:val="18"/>
                <w:szCs w:val="18"/>
                <w:b w:val="1"/>
                <w:bCs w:val="1"/>
                <w:color w:val="auto"/>
              </w:rPr>
              <w:t>Current -</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Peruvian</w:t>
            </w:r>
          </w:p>
        </w:tc>
        <w:tc>
          <w:tcPr>
            <w:tcW w:w="47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85,413</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80,630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49,386</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In other countries</w:t>
            </w:r>
          </w:p>
        </w:tc>
        <w:tc>
          <w:tcPr>
            <w:tcW w:w="332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3"/>
                <w:szCs w:val="23"/>
                <w:color w:val="auto"/>
              </w:rPr>
            </w:pPr>
          </w:p>
        </w:tc>
      </w:tr>
      <w:tr>
        <w:trPr>
          <w:trHeight w:val="277"/>
        </w:trPr>
        <w:tc>
          <w:tcPr>
            <w:tcW w:w="3420" w:type="dxa"/>
            <w:vAlign w:val="bottom"/>
            <w:shd w:val="clear" w:color="auto" w:fill="CCFFCC"/>
          </w:tcPr>
          <w:p>
            <w:pPr>
              <w:spacing w:after="0"/>
              <w:rPr>
                <w:sz w:val="24"/>
                <w:szCs w:val="24"/>
                <w:color w:val="auto"/>
              </w:rPr>
            </w:pPr>
          </w:p>
        </w:tc>
        <w:tc>
          <w:tcPr>
            <w:tcW w:w="47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88,373</w:t>
            </w:r>
          </w:p>
        </w:tc>
        <w:tc>
          <w:tcPr>
            <w:tcW w:w="2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85,048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51,822</w:t>
            </w:r>
          </w:p>
        </w:tc>
      </w:tr>
      <w:tr>
        <w:trPr>
          <w:trHeight w:val="224"/>
        </w:trPr>
        <w:tc>
          <w:tcPr>
            <w:tcW w:w="3420" w:type="dxa"/>
            <w:vAlign w:val="bottom"/>
            <w:tcBorders>
              <w:top w:val="single" w:sz="8" w:color="CCFFCC"/>
            </w:tcBorders>
          </w:tcPr>
          <w:p>
            <w:pPr>
              <w:spacing w:after="0"/>
              <w:rPr>
                <w:sz w:val="19"/>
                <w:szCs w:val="19"/>
                <w:color w:val="auto"/>
              </w:rPr>
            </w:pPr>
          </w:p>
        </w:tc>
        <w:tc>
          <w:tcPr>
            <w:tcW w:w="33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w:t>
            </w:r>
          </w:p>
        </w:tc>
        <w:tc>
          <w:tcPr>
            <w:tcW w:w="33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Peruvian</w:t>
            </w:r>
          </w:p>
        </w:tc>
        <w:tc>
          <w:tcPr>
            <w:tcW w:w="4940" w:type="dxa"/>
            <w:vAlign w:val="bottom"/>
            <w:gridSpan w:val="4"/>
          </w:tcPr>
          <w:p>
            <w:pPr>
              <w:jc w:val="right"/>
              <w:ind w:right="180"/>
              <w:spacing w:after="0"/>
              <w:rPr>
                <w:sz w:val="20"/>
                <w:szCs w:val="20"/>
                <w:color w:val="auto"/>
              </w:rPr>
            </w:pPr>
            <w:r>
              <w:rPr>
                <w:rFonts w:ascii="Arial" w:cs="Arial" w:eastAsia="Arial" w:hAnsi="Arial"/>
                <w:sz w:val="18"/>
                <w:szCs w:val="18"/>
                <w:color w:val="auto"/>
              </w:rPr>
              <w:t>(4,786)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(11,502)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(6,325)</w:t>
            </w:r>
          </w:p>
        </w:tc>
      </w:tr>
      <w:tr>
        <w:trPr>
          <w:trHeight w:val="237"/>
        </w:trPr>
        <w:tc>
          <w:tcPr>
            <w:tcW w:w="3420" w:type="dxa"/>
            <w:vAlign w:val="bottom"/>
            <w:shd w:val="clear" w:color="auto" w:fill="CCFFCC"/>
          </w:tcPr>
          <w:p>
            <w:pPr>
              <w:spacing w:after="0"/>
              <w:rPr>
                <w:sz w:val="20"/>
                <w:szCs w:val="20"/>
                <w:color w:val="auto"/>
              </w:rPr>
            </w:pPr>
          </w:p>
        </w:tc>
        <w:tc>
          <w:tcPr>
            <w:tcW w:w="33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73,546</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45,497</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420" w:type="dxa"/>
            <w:vAlign w:val="bottom"/>
          </w:tcPr>
          <w:p>
            <w:pPr>
              <w:spacing w:after="0"/>
              <w:rPr>
                <w:sz w:val="24"/>
                <w:szCs w:val="24"/>
                <w:color w:val="auto"/>
              </w:rPr>
            </w:pPr>
          </w:p>
        </w:tc>
        <w:tc>
          <w:tcPr>
            <w:tcW w:w="4940" w:type="dxa"/>
            <w:vAlign w:val="bottom"/>
            <w:gridSpan w:val="4"/>
          </w:tcPr>
          <w:p>
            <w:pPr>
              <w:jc w:val="right"/>
              <w:ind w:right="2480"/>
              <w:spacing w:after="0"/>
              <w:rPr>
                <w:sz w:val="20"/>
                <w:szCs w:val="20"/>
                <w:color w:val="auto"/>
              </w:rPr>
            </w:pPr>
            <w:r>
              <w:rPr>
                <w:rFonts w:ascii="Arial" w:cs="Arial" w:eastAsia="Arial" w:hAnsi="Arial"/>
                <w:sz w:val="18"/>
                <w:szCs w:val="18"/>
                <w:color w:val="auto"/>
              </w:rPr>
              <w:t>F-63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20" w:hanging="626"/>
        <w:spacing w:after="0"/>
        <w:tabs>
          <w:tab w:leader="none" w:pos="11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following table shows a summary of the Group’s deferred income taxes: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13,642</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Stock appreciation rights provision</w:t>
            </w:r>
          </w:p>
        </w:tc>
        <w:tc>
          <w:tcPr>
            <w:tcW w:w="1380" w:type="dxa"/>
            <w:vAlign w:val="bottom"/>
          </w:tcPr>
          <w:p>
            <w:pPr>
              <w:jc w:val="right"/>
              <w:spacing w:after="0"/>
              <w:rPr>
                <w:sz w:val="20"/>
                <w:szCs w:val="20"/>
                <w:color w:val="auto"/>
              </w:rPr>
            </w:pPr>
            <w:r>
              <w:rPr>
                <w:rFonts w:ascii="Arial" w:cs="Arial" w:eastAsia="Arial" w:hAnsi="Arial"/>
                <w:sz w:val="18"/>
                <w:szCs w:val="18"/>
                <w:color w:val="auto"/>
              </w:rPr>
              <w:t>11,047</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Reserve for sundry risks,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3,412</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Tax loss carry-forward</w:t>
            </w:r>
          </w:p>
        </w:tc>
        <w:tc>
          <w:tcPr>
            <w:tcW w:w="1380" w:type="dxa"/>
            <w:vAlign w:val="bottom"/>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Non-accrued interest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1380" w:type="dxa"/>
            <w:vAlign w:val="bottom"/>
          </w:tcPr>
          <w:p>
            <w:pPr>
              <w:jc w:val="right"/>
              <w:spacing w:after="0"/>
              <w:rPr>
                <w:sz w:val="20"/>
                <w:szCs w:val="20"/>
                <w:color w:val="auto"/>
              </w:rPr>
            </w:pPr>
            <w:r>
              <w:rPr>
                <w:rFonts w:ascii="Arial" w:cs="Arial" w:eastAsia="Arial" w:hAnsi="Arial"/>
                <w:sz w:val="18"/>
                <w:szCs w:val="18"/>
                <w:color w:val="auto"/>
              </w:rPr>
              <w:t>38,016</w:t>
            </w:r>
          </w:p>
        </w:tc>
        <w:tc>
          <w:tcPr>
            <w:tcW w:w="2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Unrealized net gains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(28,330)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(19,094)</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Intangibles assets, net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(26,168)</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Leasing operations, net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(2,758)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(2,304)</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 (includes assets seized)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(6,250)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Deferred income tax liability</w:t>
            </w: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vMerge w:val="continue"/>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(65,810)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(30,734)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deferred income tax liability (asset)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(27,794)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A portion of the Group’s deferred tax asset arises from part of the provisions for sundry risks and for loan losses, which are not deductible for income tax purposes until they comply with all the requirements established by the tax authorities. Therefore, the Group has recorded an accumulated deferred tax asset to reflect the future tax benefit of the deduction of these provisions.</w:t>
      </w:r>
    </w:p>
    <w:p>
      <w:pPr>
        <w:spacing w:after="0" w:line="235" w:lineRule="exact"/>
        <w:rPr>
          <w:sz w:val="20"/>
          <w:szCs w:val="20"/>
          <w:color w:val="auto"/>
        </w:rPr>
      </w:pPr>
    </w:p>
    <w:p>
      <w:pPr>
        <w:ind w:left="1140" w:right="60"/>
        <w:spacing w:after="0" w:line="259" w:lineRule="auto"/>
        <w:rPr>
          <w:sz w:val="20"/>
          <w:szCs w:val="20"/>
          <w:color w:val="auto"/>
        </w:rPr>
      </w:pPr>
      <w:r>
        <w:rPr>
          <w:rFonts w:ascii="Arial" w:cs="Arial" w:eastAsia="Arial" w:hAnsi="Arial"/>
          <w:sz w:val="18"/>
          <w:szCs w:val="18"/>
          <w:color w:val="auto"/>
        </w:rPr>
        <w:t>Credicorp and its Subsidiaries have recorded deferred income taxes directly in other reserves in the statement of changes in equity of US$9.2, US$1.5 and US$10.4 million, for 2006, 2005 and 2004, respectively. Such amounts represent the income tax effects of unrealized gains and losses on securities available for sale. Likewise, in 2006, the Group has registered the deferred tax liability corresponding to the acquisition of AFP Union Vida (note 2(a)) by approximately US$25.6 million.</w:t>
      </w:r>
    </w:p>
    <w:p>
      <w:pPr>
        <w:spacing w:after="0" w:line="241" w:lineRule="exact"/>
        <w:rPr>
          <w:sz w:val="20"/>
          <w:szCs w:val="20"/>
          <w:color w:val="auto"/>
        </w:rPr>
      </w:pPr>
    </w:p>
    <w:p>
      <w:pPr>
        <w:jc w:val="both"/>
        <w:ind w:left="1140" w:hanging="646"/>
        <w:spacing w:after="0" w:line="259" w:lineRule="auto"/>
        <w:tabs>
          <w:tab w:leader="none" w:pos="123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Peruvian tax authorities have the right to review and, if necessary, amend the annual tax returns of the Peruvian subsidiaries up to four year after its presentation. The most important subsidiaries subject to these reviews are BCP and PPS. In BCP, the fiscal years 2001, 2002 and 2003, have been reviewed by the tax authorities. As a result of such revisions, no significant additional taxes have arisen in excess of the previously accounted for in the Group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80" w:firstLine="54"/>
        <w:spacing w:after="0" w:line="279" w:lineRule="auto"/>
        <w:rPr>
          <w:sz w:val="20"/>
          <w:szCs w:val="20"/>
          <w:color w:val="auto"/>
        </w:rPr>
      </w:pPr>
      <w:r>
        <w:rPr>
          <w:rFonts w:ascii="Arial" w:cs="Arial" w:eastAsia="Arial" w:hAnsi="Arial"/>
          <w:sz w:val="17"/>
          <w:szCs w:val="17"/>
          <w:color w:val="auto"/>
        </w:rPr>
        <w:t>The years 2004 to 2006 for BCP and PPS, are pending of review. Any additional tax arising as a result of the tax authority examination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2006 and 2005.</w:t>
      </w:r>
    </w:p>
    <w:p>
      <w:pPr>
        <w:spacing w:after="0" w:line="221"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56" w:lineRule="exact"/>
        <w:rPr>
          <w:rFonts w:ascii="Arial" w:cs="Arial" w:eastAsia="Arial" w:hAnsi="Arial"/>
          <w:sz w:val="18"/>
          <w:szCs w:val="18"/>
          <w:b w:val="1"/>
          <w:bCs w:val="1"/>
          <w:color w:val="auto"/>
        </w:rPr>
      </w:pPr>
    </w:p>
    <w:p>
      <w:pPr>
        <w:ind w:left="6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indicated in note 3(t), Credicorp has granted stock appreciation rights (SARs) to certain key executives and employees who have at least one year’s service in Credicorp or any of its subsidiaries. The SARs expire after eight years and 25 percent of them may be exercised during each of the first four years of the plan.</w:t>
      </w:r>
    </w:p>
    <w:p>
      <w:pPr>
        <w:spacing w:after="0" w:line="235"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the end of the fourth year and until the expiration date of the SARs, all of the unexercised SARs may be exercised at any time. As of December 31, 2006 and 2005, 948,925 and 662,200 SARs had been exercised under this plan for an approximate amount of US$29.3 and US$9.6 million, as of December 31, 2006 and 2005, respectively, plus the income tax or behalf of the executives and employees that is assumed by the Group and corresponds 30 percent of the amount paid.</w:t>
      </w:r>
    </w:p>
    <w:p>
      <w:pPr>
        <w:spacing w:after="0" w:line="24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number of SARs issued and not exercised as of December 31, 2006 and 2005 and the prices of such rights as of said dates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of outstanding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SARs issued as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of December</w:t>
            </w:r>
          </w:p>
        </w:tc>
        <w:tc>
          <w:tcPr>
            <w:tcW w:w="25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Number of Vested SARs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8"/>
              </w:rPr>
              <w:t>31, 2006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as of December 31</w:t>
            </w:r>
          </w:p>
        </w:tc>
        <w:tc>
          <w:tcPr>
            <w:tcW w:w="2480" w:type="dxa"/>
            <w:vAlign w:val="bottom"/>
            <w:gridSpan w:val="4"/>
          </w:tcPr>
          <w:p>
            <w:pPr>
              <w:ind w:left="640"/>
              <w:spacing w:after="0"/>
              <w:rPr>
                <w:sz w:val="20"/>
                <w:szCs w:val="20"/>
                <w:color w:val="auto"/>
              </w:rPr>
            </w:pPr>
            <w:r>
              <w:rPr>
                <w:rFonts w:ascii="Arial" w:cs="Arial" w:eastAsia="Arial" w:hAnsi="Arial"/>
                <w:sz w:val="18"/>
                <w:szCs w:val="18"/>
                <w:b w:val="1"/>
                <w:bCs w:val="1"/>
                <w:color w:val="auto"/>
              </w:rPr>
              <w:t>Exercise price</w:t>
            </w:r>
          </w:p>
        </w:tc>
      </w:tr>
      <w:tr>
        <w:trPr>
          <w:trHeight w:val="264"/>
        </w:trPr>
        <w:tc>
          <w:tcPr>
            <w:tcW w:w="4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US$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1999</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110,000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8.34</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68,750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68,750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187,250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2001</w:t>
            </w:r>
          </w:p>
        </w:tc>
        <w:tc>
          <w:tcPr>
            <w:tcW w:w="15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192,550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6.30</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117,500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117,500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285,225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220,000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359,844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9.17</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352,750</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317,984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294,375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457,600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281,038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229,688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17.00</w:t>
            </w:r>
          </w:p>
        </w:tc>
      </w:tr>
      <w:tr>
        <w:trPr>
          <w:trHeight w:val="270"/>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40" w:type="dxa"/>
            <w:vAlign w:val="bottom"/>
          </w:tcPr>
          <w:p>
            <w:pPr>
              <w:spacing w:after="0"/>
              <w:rPr>
                <w:sz w:val="23"/>
                <w:szCs w:val="2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560,250</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215,156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1,858,350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1,301,928</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1,658,932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F-65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Credicorp’s Management has estimated the fair value of the SARs as of December 31, 2006 and 2005, using the binomial option pricing model, with assumptions obtained from the relevant available market information, including the assuming for practical purposes that all contracts can only be exercised at the end of their term. The key assumptions used are as follows:</w:t>
      </w:r>
    </w:p>
    <w:p>
      <w:pPr>
        <w:sectPr>
          <w:pgSz w:w="11900" w:h="16838" w:orient="portrait"/>
          <w:cols w:equalWidth="0" w:num="1">
            <w:col w:w="11420"/>
          </w:cols>
          <w:pgMar w:left="240" w:top="375"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278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Risk free interest rate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Expected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Quoted price of Credicorp shares</w:t>
      </w:r>
    </w:p>
    <w:p>
      <w:pPr>
        <w:spacing w:after="0" w:line="306"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The movement of the SARs for the years 2006 and 2005 are as follows: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480"/>
        </w:trPr>
        <w:tc>
          <w:tcPr>
            <w:tcW w:w="2200" w:type="dxa"/>
            <w:vAlign w:val="bottom"/>
          </w:tcPr>
          <w:p>
            <w:pPr>
              <w:jc w:val="center"/>
              <w:spacing w:after="0"/>
              <w:rPr>
                <w:sz w:val="20"/>
                <w:szCs w:val="20"/>
                <w:color w:val="auto"/>
              </w:rPr>
            </w:pPr>
            <w:r>
              <w:rPr>
                <w:rFonts w:ascii="Arial" w:cs="Arial" w:eastAsia="Arial" w:hAnsi="Arial"/>
                <w:sz w:val="18"/>
                <w:szCs w:val="18"/>
                <w:color w:val="auto"/>
                <w:w w:val="91"/>
              </w:rPr>
              <w:t>31.31%</w:t>
            </w:r>
          </w:p>
        </w:tc>
        <w:tc>
          <w:tcPr>
            <w:tcW w:w="24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28.24%</w:t>
            </w:r>
          </w:p>
        </w:tc>
      </w:tr>
      <w:tr>
        <w:trPr>
          <w:trHeight w:val="243"/>
        </w:trPr>
        <w:tc>
          <w:tcPr>
            <w:tcW w:w="220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240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1.04%</w:t>
            </w:r>
          </w:p>
        </w:tc>
      </w:tr>
      <w:tr>
        <w:trPr>
          <w:trHeight w:val="243"/>
        </w:trPr>
        <w:tc>
          <w:tcPr>
            <w:tcW w:w="2200" w:type="dxa"/>
            <w:vAlign w:val="bottom"/>
          </w:tcPr>
          <w:p>
            <w:pPr>
              <w:ind w:left="740"/>
              <w:spacing w:after="0"/>
              <w:rPr>
                <w:sz w:val="20"/>
                <w:szCs w:val="20"/>
                <w:color w:val="auto"/>
              </w:rPr>
            </w:pPr>
            <w:r>
              <w:rPr>
                <w:rFonts w:ascii="Arial" w:cs="Arial" w:eastAsia="Arial" w:hAnsi="Arial"/>
                <w:sz w:val="18"/>
                <w:szCs w:val="18"/>
                <w:color w:val="auto"/>
              </w:rPr>
              <w:t>5.05 years</w:t>
            </w:r>
          </w:p>
        </w:tc>
        <w:tc>
          <w:tcPr>
            <w:tcW w:w="160" w:type="dxa"/>
            <w:vAlign w:val="bottom"/>
          </w:tcPr>
          <w:p>
            <w:pPr>
              <w:spacing w:after="0"/>
              <w:rPr>
                <w:sz w:val="21"/>
                <w:szCs w:val="21"/>
                <w:color w:val="auto"/>
              </w:rPr>
            </w:pPr>
          </w:p>
        </w:tc>
        <w:tc>
          <w:tcPr>
            <w:tcW w:w="2240" w:type="dxa"/>
            <w:vAlign w:val="bottom"/>
          </w:tcPr>
          <w:p>
            <w:pPr>
              <w:ind w:left="740"/>
              <w:spacing w:after="0"/>
              <w:rPr>
                <w:sz w:val="20"/>
                <w:szCs w:val="20"/>
                <w:color w:val="auto"/>
              </w:rPr>
            </w:pPr>
            <w:r>
              <w:rPr>
                <w:rFonts w:ascii="Arial" w:cs="Arial" w:eastAsia="Arial" w:hAnsi="Arial"/>
                <w:sz w:val="18"/>
                <w:szCs w:val="18"/>
                <w:color w:val="auto"/>
              </w:rPr>
              <w:t>4.70 years</w:t>
            </w:r>
          </w:p>
        </w:tc>
      </w:tr>
      <w:tr>
        <w:trPr>
          <w:trHeight w:val="243"/>
        </w:trPr>
        <w:tc>
          <w:tcPr>
            <w:tcW w:w="2200" w:type="dxa"/>
            <w:vAlign w:val="bottom"/>
          </w:tcPr>
          <w:p>
            <w:pPr>
              <w:ind w:left="740"/>
              <w:spacing w:after="0"/>
              <w:rPr>
                <w:sz w:val="20"/>
                <w:szCs w:val="20"/>
                <w:color w:val="auto"/>
              </w:rPr>
            </w:pPr>
            <w:r>
              <w:rPr>
                <w:rFonts w:ascii="Arial" w:cs="Arial" w:eastAsia="Arial" w:hAnsi="Arial"/>
                <w:sz w:val="18"/>
                <w:szCs w:val="18"/>
                <w:color w:val="auto"/>
              </w:rPr>
              <w:t>US$40.94</w:t>
            </w:r>
          </w:p>
        </w:tc>
        <w:tc>
          <w:tcPr>
            <w:tcW w:w="160" w:type="dxa"/>
            <w:vAlign w:val="bottom"/>
          </w:tcPr>
          <w:p>
            <w:pPr>
              <w:spacing w:after="0"/>
              <w:rPr>
                <w:sz w:val="21"/>
                <w:szCs w:val="21"/>
                <w:color w:val="auto"/>
              </w:rPr>
            </w:pPr>
          </w:p>
        </w:tc>
        <w:tc>
          <w:tcPr>
            <w:tcW w:w="2240" w:type="dxa"/>
            <w:vAlign w:val="bottom"/>
          </w:tcPr>
          <w:p>
            <w:pPr>
              <w:ind w:left="760"/>
              <w:spacing w:after="0"/>
              <w:rPr>
                <w:sz w:val="20"/>
                <w:szCs w:val="20"/>
                <w:color w:val="auto"/>
              </w:rPr>
            </w:pPr>
            <w:r>
              <w:rPr>
                <w:rFonts w:ascii="Arial" w:cs="Arial" w:eastAsia="Arial" w:hAnsi="Arial"/>
                <w:sz w:val="18"/>
                <w:szCs w:val="18"/>
                <w:color w:val="auto"/>
              </w:rPr>
              <w:t>US$22.79</w:t>
            </w:r>
          </w:p>
        </w:tc>
      </w:tr>
    </w:tbl>
    <w:p>
      <w:pPr>
        <w:spacing w:after="0" w:line="662" w:lineRule="exact"/>
        <w:rPr>
          <w:sz w:val="20"/>
          <w:szCs w:val="20"/>
          <w:color w:val="auto"/>
        </w:rPr>
      </w:pPr>
    </w:p>
    <w:p>
      <w:pPr>
        <w:sectPr>
          <w:pgSz w:w="11900" w:h="16838" w:orient="portrait"/>
          <w:cols w:equalWidth="0" w:num="2">
            <w:col w:w="6100" w:space="720"/>
            <w:col w:w="4600"/>
          </w:cols>
          <w:pgMar w:left="240" w:top="375" w:right="2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57"/>
        </w:trPr>
        <w:tc>
          <w:tcPr>
            <w:tcW w:w="366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9"/>
                <w:szCs w:val="29"/>
                <w:b w:val="1"/>
                <w:bCs w:val="1"/>
                <w:color w:val="auto"/>
                <w:vertAlign w:val="superscript"/>
              </w:rPr>
              <w:t>st</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1,658,932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22,813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2,278,475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1,759,601</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Granted and vested</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621,000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600,046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12,838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585,000</w:t>
            </w:r>
          </w:p>
        </w:tc>
        <w:tc>
          <w:tcPr>
            <w:tcW w:w="1120" w:type="dxa"/>
            <w:vAlign w:val="bottom"/>
          </w:tcPr>
          <w:p>
            <w:pPr>
              <w:jc w:val="right"/>
              <w:spacing w:after="0"/>
              <w:rPr>
                <w:sz w:val="20"/>
                <w:szCs w:val="20"/>
                <w:color w:val="auto"/>
              </w:rPr>
            </w:pPr>
            <w:r>
              <w:rPr>
                <w:rFonts w:ascii="Arial" w:cs="Arial" w:eastAsia="Arial" w:hAnsi="Arial"/>
                <w:sz w:val="18"/>
                <w:szCs w:val="18"/>
                <w:color w:val="auto"/>
              </w:rPr>
              <w:t>561,531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(29,292)</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Decrease</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in fair value</w:t>
            </w:r>
          </w:p>
        </w:tc>
        <w:tc>
          <w:tcPr>
            <w:tcW w:w="24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32,634</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w:t>
            </w:r>
          </w:p>
        </w:tc>
        <w:tc>
          <w:tcPr>
            <w:tcW w:w="24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vMerge w:val="continue"/>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1,858,350</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1,301,928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38,761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1,658,932</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In accordance with the signed contracts, Credicorp assumes the payment of the income tax of this benefit on behalf of its executives and employees, which corresponds to 30 percent of the benefit. Credicorp estimates the amount over the basis of the liability recorded for the vested benefits and records it in the same caption of this plan.</w:t>
      </w:r>
    </w:p>
    <w:p>
      <w:pPr>
        <w:spacing w:after="0" w:line="23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liabilities recorded for this plan are included in “Payroll taxes, salaries and other personnel expenses”, in the caption “Other liabilities” of the consolidated balance sheets (note 11 (a)); and the expenses in the caption “Personal expenses” on the consolidated income statements. In 2006, 2005 and 2004, the SARs prices were modified and informed to the executives of the Group.</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In the fiscal year 2006, the Group signed a contract with Citigroup by which has acquired certificates linked to the yield of Credicorp’s shares, to obtain an economic hedge of the SARs granted to its executives and employees, note 11(c).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20.   Off-balance sheet accounts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40" w:type="dxa"/>
            <w:vAlign w:val="bottom"/>
          </w:tcPr>
          <w:p>
            <w:pPr>
              <w:ind w:left="500"/>
              <w:spacing w:after="0"/>
              <w:rPr>
                <w:sz w:val="20"/>
                <w:szCs w:val="20"/>
                <w:color w:val="auto"/>
              </w:rPr>
            </w:pPr>
            <w:r>
              <w:rPr>
                <w:rFonts w:ascii="Arial" w:cs="Arial" w:eastAsia="Arial" w:hAnsi="Arial"/>
                <w:sz w:val="18"/>
                <w:szCs w:val="18"/>
                <w:color w:val="auto"/>
              </w:rPr>
              <w:t>(a)</w:t>
            </w:r>
          </w:p>
        </w:tc>
        <w:tc>
          <w:tcPr>
            <w:tcW w:w="7180" w:type="dxa"/>
            <w:vAlign w:val="bottom"/>
          </w:tcPr>
          <w:p>
            <w:pPr>
              <w:ind w:left="240"/>
              <w:spacing w:after="0"/>
              <w:rPr>
                <w:sz w:val="20"/>
                <w:szCs w:val="20"/>
                <w:color w:val="auto"/>
              </w:rPr>
            </w:pPr>
            <w:r>
              <w:rPr>
                <w:rFonts w:ascii="Arial" w:cs="Arial" w:eastAsia="Arial" w:hAnsi="Arial"/>
                <w:sz w:val="18"/>
                <w:szCs w:val="18"/>
                <w:color w:val="auto"/>
              </w:rPr>
              <w:t>This item is made up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9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 -</w:t>
            </w: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Guarantees and stand by letters (c)</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1,204,500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982,044</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Import and export letters of credit (c)</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250,876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238,902</w:t>
            </w:r>
          </w:p>
        </w:tc>
        <w:tc>
          <w:tcPr>
            <w:tcW w:w="100" w:type="dxa"/>
            <w:vAlign w:val="bottom"/>
          </w:tcPr>
          <w:p>
            <w:pPr>
              <w:spacing w:after="0"/>
              <w:rPr>
                <w:sz w:val="23"/>
                <w:szCs w:val="23"/>
                <w:color w:val="auto"/>
              </w:rPr>
            </w:pPr>
          </w:p>
        </w:tc>
      </w:tr>
      <w:tr>
        <w:trPr>
          <w:trHeight w:val="237"/>
        </w:trPr>
        <w:tc>
          <w:tcPr>
            <w:tcW w:w="9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1,455,376</w:t>
            </w: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1,220,946</w:t>
            </w:r>
          </w:p>
        </w:tc>
      </w:tr>
      <w:tr>
        <w:trPr>
          <w:trHeight w:val="243"/>
        </w:trPr>
        <w:tc>
          <w:tcPr>
            <w:tcW w:w="8120" w:type="dxa"/>
            <w:vAlign w:val="bottom"/>
            <w:gridSpan w:val="2"/>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color w:val="auto"/>
              </w:rPr>
              <w:t>Responsibilities under credit lines agreements (e)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814,746</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531,816</w:t>
            </w:r>
          </w:p>
        </w:tc>
      </w:tr>
      <w:tr>
        <w:trPr>
          <w:trHeight w:val="243"/>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Forward contracts - sell (d)</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561,111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654,841</w:t>
            </w: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color w:val="auto"/>
              </w:rPr>
              <w:t>Forward contracts - buy (d)</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(592,081)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(343,897)</w:t>
            </w:r>
          </w:p>
        </w:tc>
      </w:tr>
      <w:tr>
        <w:trPr>
          <w:trHeight w:val="275"/>
        </w:trPr>
        <w:tc>
          <w:tcPr>
            <w:tcW w:w="81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Swap contracts (d)</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543,041</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572,160</w:t>
            </w:r>
          </w:p>
        </w:tc>
      </w:tr>
      <w:tr>
        <w:trPr>
          <w:trHeight w:val="237"/>
        </w:trPr>
        <w:tc>
          <w:tcPr>
            <w:tcW w:w="940" w:type="dxa"/>
            <w:vAlign w:val="bottom"/>
            <w:tcBorders>
              <w:top w:val="single" w:sz="8" w:color="CCFFCC"/>
            </w:tcBorders>
            <w:shd w:val="clear" w:color="auto" w:fill="CCFFCC"/>
          </w:tcPr>
          <w:p>
            <w:pPr>
              <w:spacing w:after="0"/>
              <w:rPr>
                <w:sz w:val="20"/>
                <w:szCs w:val="20"/>
                <w:color w:val="auto"/>
              </w:rPr>
            </w:pPr>
          </w:p>
        </w:tc>
        <w:tc>
          <w:tcPr>
            <w:tcW w:w="718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1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2,782,193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2,635,866</w:t>
            </w:r>
          </w:p>
        </w:tc>
      </w:tr>
      <w:tr>
        <w:trPr>
          <w:trHeight w:val="20"/>
        </w:trPr>
        <w:tc>
          <w:tcPr>
            <w:tcW w:w="9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60" w:hanging="646"/>
        <w:spacing w:after="0" w:line="342" w:lineRule="auto"/>
        <w:tabs>
          <w:tab w:leader="none" w:pos="119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w:t>
      </w:r>
    </w:p>
    <w:p>
      <w:pPr>
        <w:spacing w:after="0" w:line="178"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Credit risk for off-balance sheet financial instruments is defined as the possibility of sustaining a loss because any other party to a financial instrument fails to perform in accordance with the terms of the contract.</w:t>
      </w:r>
    </w:p>
    <w:p>
      <w:pPr>
        <w:spacing w:after="0" w:line="224" w:lineRule="exact"/>
        <w:rPr>
          <w:sz w:val="20"/>
          <w:szCs w:val="20"/>
          <w:color w:val="auto"/>
        </w:rPr>
      </w:pPr>
    </w:p>
    <w:p>
      <w:pPr>
        <w:ind w:left="1140" w:right="80"/>
        <w:spacing w:after="0" w:line="257" w:lineRule="auto"/>
        <w:rPr>
          <w:sz w:val="20"/>
          <w:szCs w:val="20"/>
          <w:color w:val="auto"/>
        </w:rPr>
      </w:pPr>
      <w:r>
        <w:rPr>
          <w:rFonts w:ascii="Arial" w:cs="Arial" w:eastAsia="Arial" w:hAnsi="Arial"/>
          <w:sz w:val="18"/>
          <w:szCs w:val="18"/>
          <w:color w:val="auto"/>
        </w:rPr>
        <w:t>The exposure to losses under commitments to guarantees, stand by letters, extend credit, provide export and import letters of credit and guarantees is represented by the contractual amount specified in these instruments. The Group applies the same credit policies in making commitments and conditional obligations as it does for on-balance sheet instruments, including the requirement to obtain collateral to support off-balance sheet financial instruments (note 7(a)) when it is deemed necessary. Collateral held varies, but may include deposits held in financial institutions, securities or other assets.</w:t>
      </w:r>
    </w:p>
    <w:p>
      <w:pPr>
        <w:spacing w:after="0" w:line="242" w:lineRule="exact"/>
        <w:rPr>
          <w:sz w:val="20"/>
          <w:szCs w:val="20"/>
          <w:color w:val="auto"/>
        </w:rPr>
      </w:pPr>
    </w:p>
    <w:p>
      <w:pPr>
        <w:ind w:left="1140" w:right="100" w:firstLine="9"/>
        <w:spacing w:after="0" w:line="277" w:lineRule="auto"/>
        <w:rPr>
          <w:sz w:val="20"/>
          <w:szCs w:val="20"/>
          <w:color w:val="auto"/>
        </w:rPr>
      </w:pPr>
      <w:r>
        <w:rPr>
          <w:rFonts w:ascii="Arial" w:cs="Arial" w:eastAsia="Arial" w:hAnsi="Arial"/>
          <w:sz w:val="18"/>
          <w:szCs w:val="18"/>
          <w:color w:val="auto"/>
        </w:rPr>
        <w:t>Because the fact that many of the contingent transactions are expected to expire without any performance being required, the total committed amounts do not necessarily represent future cash requirements.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280" w:hanging="644"/>
        <w:spacing w:after="0" w:line="312"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00" w:lineRule="exact"/>
        <w:rPr>
          <w:rFonts w:ascii="Arial" w:cs="Arial" w:eastAsia="Arial" w:hAnsi="Arial"/>
          <w:sz w:val="16"/>
          <w:szCs w:val="16"/>
          <w:color w:val="auto"/>
        </w:rPr>
      </w:pPr>
    </w:p>
    <w:p>
      <w:pPr>
        <w:ind w:left="1300" w:hanging="644"/>
        <w:spacing w:after="0" w:line="290"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As of December 31, 2006 and 2005, Credicorp has foreign currency forwards derivatives and a minor position on options for exchange rates (the total amount as of December 31, 2006 is US$8.7 million).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2006 and 2005, forward foreign currency purchase and sale agreements referred to above include nominal amounts of approximately US$1,153.2 million and US$998.7 million, respectively, which have maturities of less than a year. These agreements are executed to satisfy client requirements and are recognized in the financial statements at their fair market value. As of December 31, 2006, the forward contracts net position is an overbuy of U.S. Dollars of approximately US$31.0 million (oversell of approximately US$310.9 million as of December 31, 2005).</w:t>
      </w:r>
    </w:p>
    <w:p>
      <w:pPr>
        <w:spacing w:after="0" w:line="220" w:lineRule="exact"/>
        <w:rPr>
          <w:rFonts w:ascii="Arial" w:cs="Arial" w:eastAsia="Arial" w:hAnsi="Arial"/>
          <w:sz w:val="16"/>
          <w:szCs w:val="16"/>
          <w:color w:val="auto"/>
        </w:rPr>
      </w:pPr>
    </w:p>
    <w:p>
      <w:pPr>
        <w:ind w:left="1300" w:right="20"/>
        <w:spacing w:after="0" w:line="255" w:lineRule="auto"/>
        <w:rPr>
          <w:rFonts w:ascii="Arial" w:cs="Arial" w:eastAsia="Arial" w:hAnsi="Arial"/>
          <w:sz w:val="16"/>
          <w:szCs w:val="16"/>
          <w:color w:val="auto"/>
        </w:rPr>
      </w:pPr>
      <w:r>
        <w:rPr>
          <w:rFonts w:ascii="Arial" w:cs="Arial" w:eastAsia="Arial" w:hAnsi="Arial"/>
          <w:sz w:val="18"/>
          <w:szCs w:val="18"/>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2006, the notional amount of open interest rate swap contracts was approximately US$543.0 million (approximately US$572.2 million as of December 31, 2005). These contracts are recorded at fair value, recording both realized and unrealized gains and losses in the consolidated income statements.</w:t>
      </w:r>
    </w:p>
    <w:p>
      <w:pPr>
        <w:spacing w:after="0" w:line="247" w:lineRule="exact"/>
        <w:rPr>
          <w:rFonts w:ascii="Arial" w:cs="Arial" w:eastAsia="Arial" w:hAnsi="Arial"/>
          <w:sz w:val="16"/>
          <w:szCs w:val="16"/>
          <w:color w:val="auto"/>
        </w:rPr>
      </w:pPr>
    </w:p>
    <w:p>
      <w:pPr>
        <w:ind w:left="1300" w:right="20"/>
        <w:spacing w:after="0" w:line="276" w:lineRule="auto"/>
        <w:rPr>
          <w:rFonts w:ascii="Arial" w:cs="Arial" w:eastAsia="Arial" w:hAnsi="Arial"/>
          <w:sz w:val="16"/>
          <w:szCs w:val="16"/>
          <w:color w:val="auto"/>
        </w:rPr>
      </w:pPr>
      <w:r>
        <w:rPr>
          <w:rFonts w:ascii="Arial" w:cs="Arial" w:eastAsia="Arial" w:hAnsi="Arial"/>
          <w:sz w:val="17"/>
          <w:szCs w:val="17"/>
          <w:color w:val="auto"/>
        </w:rPr>
        <w:t>As of December 31, 2006, the Group held one interest rate swap contract for a notional amount of US$196.0 million designated as a cash flow hedge, because it reduces the exposure to the variable interest rate risk of a portion of the loan transaction entered by the Group on November 2005, note 14(b). In accordance with the hedge operation, the Group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226" w:lineRule="exact"/>
        <w:rPr>
          <w:rFonts w:ascii="Arial" w:cs="Arial" w:eastAsia="Arial" w:hAnsi="Arial"/>
          <w:sz w:val="16"/>
          <w:szCs w:val="16"/>
          <w:color w:val="auto"/>
        </w:rPr>
      </w:pPr>
    </w:p>
    <w:p>
      <w:pPr>
        <w:ind w:left="1300" w:right="320"/>
        <w:spacing w:after="0" w:line="279" w:lineRule="auto"/>
        <w:rPr>
          <w:rFonts w:ascii="Arial" w:cs="Arial" w:eastAsia="Arial" w:hAnsi="Arial"/>
          <w:sz w:val="16"/>
          <w:szCs w:val="16"/>
          <w:color w:val="auto"/>
        </w:rPr>
      </w:pPr>
      <w:r>
        <w:rPr>
          <w:rFonts w:ascii="Arial" w:cs="Arial" w:eastAsia="Arial" w:hAnsi="Arial"/>
          <w:sz w:val="17"/>
          <w:szCs w:val="17"/>
          <w:color w:val="auto"/>
        </w:rPr>
        <w:t>The fair value of the asset and liability forward contracts and swaps as of December 31, 2006 amounted approximately US$19.1 and US$7.8 million, respectively (approximately US$8.8 and US$8.0 million as of December 31, 2005) and are included under the caption “Other assets and other liabilities” of the consolidated balance sheets, respectively, note 11. As of December 31, 2006 and 2005, the fair value of the cash flow hedge amounts to US$2.9 and US$1.6 million, respectively, and is recorded in the net equity.</w:t>
      </w:r>
    </w:p>
    <w:p>
      <w:pPr>
        <w:spacing w:after="0" w:line="225" w:lineRule="exact"/>
        <w:rPr>
          <w:rFonts w:ascii="Arial" w:cs="Arial" w:eastAsia="Arial" w:hAnsi="Arial"/>
          <w:sz w:val="16"/>
          <w:szCs w:val="16"/>
          <w:color w:val="auto"/>
        </w:rPr>
      </w:pPr>
    </w:p>
    <w:p>
      <w:pPr>
        <w:ind w:left="1300" w:right="42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responsibilities under credit line agreements do not correspond to commitment of obtain credit; and includes credit lines and other consumer loans that are cancelable upon notification to the consumer.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Premiums earned net of insurance contract ceded to re-insurer for the three years ended December 31, 2006, 2005 and 2004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Assumed</w:t>
            </w:r>
          </w:p>
        </w:tc>
        <w:tc>
          <w:tcPr>
            <w:tcW w:w="1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Ceded to</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from other</w:t>
            </w:r>
          </w:p>
        </w:tc>
        <w:tc>
          <w:tcPr>
            <w:tcW w:w="1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amount</w:t>
            </w:r>
          </w:p>
        </w:tc>
      </w:tr>
      <w:tr>
        <w:trPr>
          <w:trHeight w:val="216"/>
        </w:trPr>
        <w:tc>
          <w:tcPr>
            <w:tcW w:w="51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Gross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reinsurers and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companies,</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 premiums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assumed on</w:t>
            </w:r>
          </w:p>
        </w:tc>
      </w:tr>
      <w:tr>
        <w:trPr>
          <w:trHeight w:val="234"/>
        </w:trPr>
        <w:tc>
          <w:tcPr>
            <w:tcW w:w="51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Premiums (*)</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coinsurers, net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net</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earned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net premiums</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3"/>
              </w:rPr>
              <w:t>US$(000)</w:t>
            </w:r>
          </w:p>
        </w:tc>
        <w:tc>
          <w:tcPr>
            <w:tcW w:w="1140" w:type="dxa"/>
            <w:vAlign w:val="bottom"/>
          </w:tcPr>
          <w:p>
            <w:pPr>
              <w:jc w:val="right"/>
              <w:ind w:right="9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0"/>
                <w:szCs w:val="20"/>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b w:val="1"/>
                <w:bCs w:val="1"/>
                <w:color w:val="auto"/>
              </w:rPr>
              <w:t>As of December 31, 2006</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66,477</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1,228</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64,782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111,295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1,526</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110,444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138,964</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(64,767)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1,838</w:t>
            </w:r>
          </w:p>
        </w:tc>
        <w:tc>
          <w:tcPr>
            <w:tcW w:w="12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76,035</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r>
      <w:tr>
        <w:trPr>
          <w:trHeight w:val="237"/>
        </w:trPr>
        <w:tc>
          <w:tcPr>
            <w:tcW w:w="516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316,736</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(70,067)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4,592</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251,261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w:t>
            </w:r>
          </w:p>
        </w:tc>
      </w:tr>
      <w:tr>
        <w:trPr>
          <w:trHeight w:val="224"/>
        </w:trPr>
        <w:tc>
          <w:tcPr>
            <w:tcW w:w="5160" w:type="dxa"/>
            <w:vAlign w:val="bottom"/>
            <w:tcBorders>
              <w:top w:val="single" w:sz="8" w:color="CCFFC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 of December 31, 2005</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40" w:type="dxa"/>
            <w:vAlign w:val="bottom"/>
            <w:tcBorders>
              <w:right w:val="single" w:sz="8" w:color="CCFFCC"/>
            </w:tcBorders>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Life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46,239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44,667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Accident and health insurance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111,785</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1,531</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110,571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126,377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(61,133)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63,717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37"/>
        </w:trPr>
        <w:tc>
          <w:tcPr>
            <w:tcW w:w="516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tcBorders>
              <w:top w:val="single" w:sz="8" w:color="auto"/>
              <w:right w:val="single" w:sz="8" w:color="CCFFCC"/>
            </w:tcBorders>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premiums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284,401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218,955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tcBorders>
              <w:right w:val="single" w:sz="8" w:color="CCFFCC"/>
            </w:tcBorders>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As of December 31, 2004</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35,998</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683</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33,816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108,739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107,273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107,937</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(60,131)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3,777</w:t>
            </w:r>
          </w:p>
        </w:tc>
        <w:tc>
          <w:tcPr>
            <w:tcW w:w="12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51,583</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7.32</w:t>
            </w:r>
          </w:p>
        </w:tc>
      </w:tr>
      <w:tr>
        <w:trPr>
          <w:trHeight w:val="237"/>
        </w:trPr>
        <w:tc>
          <w:tcPr>
            <w:tcW w:w="516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252,674</w:t>
            </w:r>
          </w:p>
        </w:tc>
        <w:tc>
          <w:tcPr>
            <w:tcW w:w="12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(65,943)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5,941</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192,672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5540" w:right="5080" w:hanging="5532"/>
        <w:spacing w:after="0" w:line="659" w:lineRule="auto"/>
        <w:tabs>
          <w:tab w:leader="none" w:pos="6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Includes the annual variation of the technical and unearned premiums reserves.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right="4120" w:hanging="652"/>
        <w:spacing w:after="0" w:line="669" w:lineRule="auto"/>
        <w:tabs>
          <w:tab w:leader="none" w:pos="66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claims incurred for property and casualty, life and health insurance contracts </w:t>
      </w:r>
      <w:r>
        <w:rPr>
          <w:rFonts w:ascii="Arial" w:cs="Arial" w:eastAsia="Arial" w:hAnsi="Arial"/>
          <w:sz w:val="16"/>
          <w:szCs w:val="16"/>
          <w:color w:val="auto"/>
        </w:rPr>
        <w:t>The expenses for claims at December 31, 2006, 2005 and 2004 include the following items:</w:t>
      </w:r>
    </w:p>
    <w:p>
      <w:pPr>
        <w:sectPr>
          <w:pgSz w:w="11900" w:h="16838" w:orient="portrait"/>
          <w:cols w:equalWidth="0" w:num="1">
            <w:col w:w="11380"/>
          </w:cols>
          <w:pgMar w:left="240" w:top="40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Gross insurance 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Ceded claims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Gross insurance 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Ceded claims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Gross insurance 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Ceded claims</w:t>
      </w:r>
    </w:p>
    <w:p>
      <w:pPr>
        <w:spacing w:after="0" w:line="20" w:lineRule="exact"/>
        <w:rPr>
          <w:sz w:val="20"/>
          <w:szCs w:val="20"/>
          <w:color w:val="auto"/>
        </w:rPr>
      </w:pPr>
      <w:r>
        <w:rPr>
          <w:sz w:val="20"/>
          <w:szCs w:val="20"/>
          <w:color w:val="auto"/>
        </w:rPr>
        <w:br w:type="column"/>
      </w:r>
    </w:p>
    <w:p>
      <w:pPr>
        <w:ind w:left="2900"/>
        <w:spacing w:after="0"/>
        <w:rPr>
          <w:sz w:val="20"/>
          <w:szCs w:val="20"/>
          <w:color w:val="auto"/>
        </w:rPr>
      </w:pPr>
      <w:r>
        <w:rPr>
          <w:rFonts w:ascii="Arial" w:cs="Arial" w:eastAsia="Arial" w:hAnsi="Arial"/>
          <w:sz w:val="18"/>
          <w:szCs w:val="18"/>
          <w:b w:val="1"/>
          <w:bCs w:val="1"/>
          <w:color w:val="auto"/>
        </w:rPr>
        <w:t>2006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Health</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r>
      <w:tr>
        <w:trPr>
          <w:trHeight w:val="486"/>
        </w:trPr>
        <w:tc>
          <w:tcPr>
            <w:tcW w:w="1400" w:type="dxa"/>
            <w:vAlign w:val="bottom"/>
          </w:tcPr>
          <w:p>
            <w:pPr>
              <w:jc w:val="right"/>
              <w:spacing w:after="0"/>
              <w:rPr>
                <w:sz w:val="20"/>
                <w:szCs w:val="20"/>
                <w:color w:val="auto"/>
              </w:rPr>
            </w:pPr>
            <w:r>
              <w:rPr>
                <w:rFonts w:ascii="Arial" w:cs="Arial" w:eastAsia="Arial" w:hAnsi="Arial"/>
                <w:sz w:val="18"/>
                <w:szCs w:val="18"/>
                <w:color w:val="auto"/>
              </w:rPr>
              <w:t>52,713</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60,285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89,797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202,795</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(13,698)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(16,273)</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400" w:type="dxa"/>
            <w:vAlign w:val="bottom"/>
          </w:tcPr>
          <w:p>
            <w:pPr>
              <w:jc w:val="right"/>
              <w:spacing w:after="0"/>
              <w:rPr>
                <w:sz w:val="20"/>
                <w:szCs w:val="20"/>
                <w:color w:val="auto"/>
              </w:rPr>
            </w:pPr>
            <w:r>
              <w:rPr>
                <w:rFonts w:ascii="Arial" w:cs="Arial" w:eastAsia="Arial" w:hAnsi="Arial"/>
                <w:sz w:val="18"/>
                <w:szCs w:val="18"/>
                <w:color w:val="auto"/>
              </w:rPr>
              <w:t>51,890</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46,587</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88,045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186,522</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r>
      <w:tr>
        <w:trPr>
          <w:trHeight w:val="486"/>
        </w:trPr>
        <w:tc>
          <w:tcPr>
            <w:tcW w:w="1400" w:type="dxa"/>
            <w:vAlign w:val="bottom"/>
          </w:tcPr>
          <w:p>
            <w:pPr>
              <w:jc w:val="right"/>
              <w:spacing w:after="0"/>
              <w:rPr>
                <w:sz w:val="20"/>
                <w:szCs w:val="20"/>
                <w:color w:val="auto"/>
              </w:rPr>
            </w:pPr>
            <w:r>
              <w:rPr>
                <w:rFonts w:ascii="Arial" w:cs="Arial" w:eastAsia="Arial" w:hAnsi="Arial"/>
                <w:sz w:val="18"/>
                <w:szCs w:val="18"/>
                <w:color w:val="auto"/>
              </w:rPr>
              <w:t>41,650</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56,539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93,115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191,304</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(13,970)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(15,804)</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400" w:type="dxa"/>
            <w:vAlign w:val="bottom"/>
          </w:tcPr>
          <w:p>
            <w:pPr>
              <w:jc w:val="right"/>
              <w:spacing w:after="0"/>
              <w:rPr>
                <w:sz w:val="20"/>
                <w:szCs w:val="20"/>
                <w:color w:val="auto"/>
              </w:rPr>
            </w:pPr>
            <w:r>
              <w:rPr>
                <w:rFonts w:ascii="Arial" w:cs="Arial" w:eastAsia="Arial" w:hAnsi="Arial"/>
                <w:sz w:val="18"/>
                <w:szCs w:val="18"/>
                <w:color w:val="auto"/>
              </w:rPr>
              <w:t>40,780</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42,569</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92,151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175,500</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2004</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r>
      <w:tr>
        <w:trPr>
          <w:trHeight w:val="486"/>
        </w:trPr>
        <w:tc>
          <w:tcPr>
            <w:tcW w:w="1400" w:type="dxa"/>
            <w:vAlign w:val="bottom"/>
          </w:tcPr>
          <w:p>
            <w:pPr>
              <w:jc w:val="right"/>
              <w:spacing w:after="0"/>
              <w:rPr>
                <w:sz w:val="20"/>
                <w:szCs w:val="20"/>
                <w:color w:val="auto"/>
              </w:rPr>
            </w:pPr>
            <w:r>
              <w:rPr>
                <w:rFonts w:ascii="Arial" w:cs="Arial" w:eastAsia="Arial" w:hAnsi="Arial"/>
                <w:sz w:val="18"/>
                <w:szCs w:val="18"/>
                <w:color w:val="auto"/>
              </w:rPr>
              <w:t>40,625</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52,707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81,198</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174,530</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(1,954)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(17,916)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(20,205)</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-3832860</wp:posOffset>
            </wp:positionV>
            <wp:extent cx="72466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-3498215</wp:posOffset>
            </wp:positionV>
            <wp:extent cx="72466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-2083435</wp:posOffset>
            </wp:positionV>
            <wp:extent cx="72466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-1748790</wp:posOffset>
            </wp:positionV>
            <wp:extent cx="72466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-334010</wp:posOffset>
            </wp:positionV>
            <wp:extent cx="72466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0</wp:posOffset>
            </wp:positionV>
            <wp:extent cx="72466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20"/>
          </w:cols>
          <w:pgMar w:left="240" w:top="402" w:right="27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380" w:type="dxa"/>
            <w:vAlign w:val="bottom"/>
          </w:tcPr>
          <w:p>
            <w:pPr>
              <w:jc w:val="right"/>
              <w:spacing w:after="0"/>
              <w:rPr>
                <w:sz w:val="20"/>
                <w:szCs w:val="20"/>
                <w:color w:val="auto"/>
              </w:rPr>
            </w:pPr>
            <w:r>
              <w:rPr>
                <w:rFonts w:ascii="Arial" w:cs="Arial" w:eastAsia="Arial" w:hAnsi="Arial"/>
                <w:sz w:val="18"/>
                <w:szCs w:val="18"/>
                <w:color w:val="auto"/>
              </w:rPr>
              <w:t>38,671</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34,791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80,863</w:t>
            </w:r>
          </w:p>
        </w:tc>
        <w:tc>
          <w:tcPr>
            <w:tcW w:w="1360" w:type="dxa"/>
            <w:vAlign w:val="bottom"/>
          </w:tcPr>
          <w:p>
            <w:pPr>
              <w:jc w:val="right"/>
              <w:spacing w:after="0"/>
              <w:rPr>
                <w:sz w:val="20"/>
                <w:szCs w:val="20"/>
                <w:color w:val="auto"/>
              </w:rPr>
            </w:pPr>
            <w:r>
              <w:rPr>
                <w:rFonts w:ascii="Arial" w:cs="Arial" w:eastAsia="Arial" w:hAnsi="Arial"/>
                <w:sz w:val="18"/>
                <w:szCs w:val="18"/>
                <w:color w:val="auto"/>
              </w:rPr>
              <w:t>154,325</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23.</w:t>
            </w:r>
          </w:p>
        </w:tc>
        <w:tc>
          <w:tcPr>
            <w:tcW w:w="6200" w:type="dxa"/>
            <w:vAlign w:val="bottom"/>
          </w:tcPr>
          <w:p>
            <w:pPr>
              <w:ind w:left="120"/>
              <w:spacing w:after="0"/>
              <w:rPr>
                <w:sz w:val="20"/>
                <w:szCs w:val="20"/>
                <w:color w:val="auto"/>
              </w:rPr>
            </w:pPr>
            <w:r>
              <w:rPr>
                <w:rFonts w:ascii="Arial" w:cs="Arial" w:eastAsia="Arial" w:hAnsi="Arial"/>
                <w:sz w:val="18"/>
                <w:szCs w:val="18"/>
                <w:b w:val="1"/>
                <w:bCs w:val="1"/>
                <w:color w:val="auto"/>
              </w:rPr>
              <w:t>Other income and expenses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4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Arial" w:cs="Arial" w:eastAsia="Arial" w:hAnsi="Arial"/>
                <w:sz w:val="18"/>
                <w:szCs w:val="18"/>
                <w:color w:val="auto"/>
              </w:rPr>
              <w:t>The items are made up as follow:</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5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48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(loss) from the sale of assets seized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9,244</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(3,411)</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Real estate rental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3,031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1,429</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Valuation of indexed certificates Citigroup, note 11 (c)</w:t>
            </w:r>
          </w:p>
        </w:tc>
        <w:tc>
          <w:tcPr>
            <w:tcW w:w="1380" w:type="dxa"/>
            <w:vAlign w:val="bottom"/>
          </w:tcPr>
          <w:p>
            <w:pPr>
              <w:jc w:val="right"/>
              <w:spacing w:after="0"/>
              <w:rPr>
                <w:sz w:val="20"/>
                <w:szCs w:val="20"/>
                <w:color w:val="auto"/>
              </w:rPr>
            </w:pPr>
            <w:r>
              <w:rPr>
                <w:rFonts w:ascii="Arial" w:cs="Arial" w:eastAsia="Arial" w:hAnsi="Arial"/>
                <w:sz w:val="18"/>
                <w:szCs w:val="18"/>
                <w:color w:val="auto"/>
              </w:rPr>
              <w:t>3,521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620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8,638</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8,916</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8,863</w:t>
            </w:r>
          </w:p>
        </w:tc>
      </w:tr>
      <w:tr>
        <w:trPr>
          <w:trHeight w:val="237"/>
        </w:trPr>
        <w:tc>
          <w:tcPr>
            <w:tcW w:w="6740" w:type="dxa"/>
            <w:vAlign w:val="bottom"/>
            <w:tcBorders>
              <w:top w:val="single" w:sz="8" w:color="CCFFCC"/>
            </w:tcBorders>
            <w:gridSpan w:val="2"/>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26,197</w:t>
            </w:r>
          </w:p>
        </w:tc>
        <w:tc>
          <w:tcPr>
            <w:tcW w:w="24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21,571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8,105</w:t>
            </w:r>
          </w:p>
        </w:tc>
      </w:tr>
      <w:tr>
        <w:trPr>
          <w:trHeight w:val="224"/>
        </w:trPr>
        <w:tc>
          <w:tcPr>
            <w:tcW w:w="540" w:type="dxa"/>
            <w:vAlign w:val="bottom"/>
            <w:tcBorders>
              <w:top w:val="single" w:sz="8" w:color="CCFFCC"/>
            </w:tcBorders>
          </w:tcPr>
          <w:p>
            <w:pPr>
              <w:spacing w:after="0"/>
              <w:rPr>
                <w:sz w:val="19"/>
                <w:szCs w:val="19"/>
                <w:color w:val="auto"/>
              </w:rPr>
            </w:pPr>
          </w:p>
        </w:tc>
        <w:tc>
          <w:tcPr>
            <w:tcW w:w="620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Commissions in insurance</w:t>
            </w:r>
          </w:p>
        </w:tc>
        <w:tc>
          <w:tcPr>
            <w:tcW w:w="1380" w:type="dxa"/>
            <w:vAlign w:val="bottom"/>
          </w:tcPr>
          <w:p>
            <w:pPr>
              <w:jc w:val="right"/>
              <w:spacing w:after="0"/>
              <w:rPr>
                <w:sz w:val="20"/>
                <w:szCs w:val="20"/>
                <w:color w:val="auto"/>
              </w:rPr>
            </w:pPr>
            <w:r>
              <w:rPr>
                <w:rFonts w:ascii="Arial" w:cs="Arial" w:eastAsia="Arial" w:hAnsi="Arial"/>
                <w:sz w:val="18"/>
                <w:szCs w:val="18"/>
                <w:color w:val="auto"/>
              </w:rPr>
              <w:t>25,555</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19,289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19,693</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Sundry technical insurance expenses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10,910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5,931</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Provision for sundry risks, note 11(e)</w:t>
            </w:r>
          </w:p>
        </w:tc>
        <w:tc>
          <w:tcPr>
            <w:tcW w:w="1380" w:type="dxa"/>
            <w:vAlign w:val="bottom"/>
          </w:tcPr>
          <w:p>
            <w:pPr>
              <w:jc w:val="right"/>
              <w:spacing w:after="0"/>
              <w:rPr>
                <w:sz w:val="20"/>
                <w:szCs w:val="20"/>
                <w:color w:val="auto"/>
              </w:rPr>
            </w:pPr>
            <w:r>
              <w:rPr>
                <w:rFonts w:ascii="Arial" w:cs="Arial" w:eastAsia="Arial" w:hAnsi="Arial"/>
                <w:sz w:val="18"/>
                <w:szCs w:val="18"/>
                <w:color w:val="auto"/>
              </w:rPr>
              <w:t>6,461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Provisions for other account receivables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3,163</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7,112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1,435</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Loss (gain) from sale of fixed assets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4,525</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 from fake currencies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Other</w:t>
            </w:r>
          </w:p>
        </w:tc>
        <w:tc>
          <w:tcPr>
            <w:tcW w:w="6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6,798</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6,509</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r>
      <w:tr>
        <w:trPr>
          <w:trHeight w:val="237"/>
        </w:trPr>
        <w:tc>
          <w:tcPr>
            <w:tcW w:w="540" w:type="dxa"/>
            <w:vAlign w:val="bottom"/>
            <w:shd w:val="clear" w:color="auto" w:fill="CCFFCC"/>
          </w:tcPr>
          <w:p>
            <w:pPr>
              <w:spacing w:after="0"/>
              <w:rPr>
                <w:sz w:val="20"/>
                <w:szCs w:val="20"/>
                <w:color w:val="auto"/>
              </w:rPr>
            </w:pPr>
          </w:p>
        </w:tc>
        <w:tc>
          <w:tcPr>
            <w:tcW w:w="62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52,718</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46,745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42,869</w:t>
            </w:r>
          </w:p>
        </w:tc>
      </w:tr>
      <w:tr>
        <w:trPr>
          <w:trHeight w:val="20"/>
        </w:trPr>
        <w:tc>
          <w:tcPr>
            <w:tcW w:w="5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net earnings per ordinary share have been determined over the net income attributable to equity holders of Credicorp as follows:</w:t>
      </w:r>
    </w:p>
    <w:p>
      <w:pPr>
        <w:sectPr>
          <w:pgSz w:w="11900" w:h="16838" w:orient="portrait"/>
          <w:cols w:equalWidth="0" w:num="1">
            <w:col w:w="11420"/>
          </w:cols>
          <w:pgMar w:left="240" w:top="4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in issue: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note 17(a)</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Less - weighted average treasury shares, note 17(b)</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723"/>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94,382,317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94,382,317</w:t>
            </w:r>
          </w:p>
        </w:tc>
      </w:tr>
      <w:tr>
        <w:trPr>
          <w:trHeight w:val="270"/>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(14,620,842)</w:t>
            </w: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(14,620,842)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(14,624,392)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-325120</wp:posOffset>
            </wp:positionV>
            <wp:extent cx="72466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20" w:space="720"/>
            <w:col w:w="4680"/>
          </w:cols>
          <w:pgMar w:left="240" w:top="402"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outstanding average number of ordinary shares</w:t>
            </w:r>
          </w:p>
        </w:tc>
        <w:tc>
          <w:tcPr>
            <w:tcW w:w="22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79,761,475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79,757,925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w w:val="97"/>
              </w:rPr>
              <w:t>Net income attributable to equity holders of Credicorp (in thousands of U.S. dollars)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230,013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130,747</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5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Basic and diluted earnings per share for net income attributable to equity holders of</w:t>
            </w: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Credicorp (in U.S. Dollars)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2.88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6500" w:type="dxa"/>
            <w:vAlign w:val="bottom"/>
            <w:tcBorders>
              <w:top w:val="single" w:sz="8" w:color="CCFFCC"/>
            </w:tcBorders>
          </w:tcPr>
          <w:p>
            <w:pPr>
              <w:ind w:left="5520"/>
              <w:spacing w:after="0"/>
              <w:rPr>
                <w:sz w:val="20"/>
                <w:szCs w:val="20"/>
                <w:color w:val="auto"/>
              </w:rPr>
            </w:pPr>
            <w:r>
              <w:rPr>
                <w:rFonts w:ascii="Arial" w:cs="Arial" w:eastAsia="Arial" w:hAnsi="Arial"/>
                <w:sz w:val="18"/>
                <w:szCs w:val="18"/>
                <w:color w:val="auto"/>
              </w:rPr>
              <w:t>F-71</w:t>
            </w: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 is organized on two main lines of business:</w:t>
      </w:r>
    </w:p>
    <w:p>
      <w:pPr>
        <w:spacing w:after="0" w:line="279" w:lineRule="exact"/>
        <w:rPr>
          <w:rFonts w:ascii="Arial" w:cs="Arial" w:eastAsia="Arial" w:hAnsi="Arial"/>
          <w:sz w:val="18"/>
          <w:szCs w:val="18"/>
          <w:b w:val="1"/>
          <w:bCs w:val="1"/>
          <w:color w:val="auto"/>
        </w:rPr>
      </w:pPr>
    </w:p>
    <w:p>
      <w:pPr>
        <w:ind w:left="1300" w:right="180" w:hanging="644"/>
        <w:spacing w:after="0" w:line="264" w:lineRule="auto"/>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Banking business - incorporating corporate and private banking services, corporate, consumer, micro-business and mortgage loans, credit and debit cards, savings, deposits, overdrafts, foreign currency and derivative products, structure financing, corporate leasing, custody, among others.</w:t>
      </w:r>
    </w:p>
    <w:p>
      <w:pPr>
        <w:spacing w:after="0" w:line="23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Insurance business - incorporating the issuance of policies of insurance to cover claims, such as fires, vehicles, transport, personal accidents and life insurance, among others.</w:t>
      </w:r>
    </w:p>
    <w:p>
      <w:pPr>
        <w:spacing w:after="0" w:line="224"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In addition the Group, since 2005, maintains activities related to pension fund management, note 2(a). Other operations of the Group comprise brokerage, fund management and trusteeship.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Transactions between the business segments are realized on normal commercial terms and conditions.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following table presents the Group’s financial information by industry (primary segment) and geographical area (secondary segment) for the three years ended December 31, 2006, 2005 and 2004:</w:t>
      </w:r>
    </w:p>
    <w:p>
      <w:pPr>
        <w:spacing w:after="0" w:line="224"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Business segments by industry (amount expressed in million of U.S.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from</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Operating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Depreciation</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External</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other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Fixed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and</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provisions</w:t>
            </w:r>
          </w:p>
        </w:tc>
      </w:tr>
      <w:tr>
        <w:trPr>
          <w:trHeight w:val="234"/>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segments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Eliminations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assets</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480"/>
        </w:trPr>
        <w:tc>
          <w:tcPr>
            <w:tcW w:w="318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Banking</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975</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447</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11,090</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197</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7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Pension funds</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Brokerage and other</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consolidated</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FFCC"/>
          </w:tcPr>
          <w:p>
            <w:pPr>
              <w:spacing w:after="0"/>
              <w:rPr>
                <w:sz w:val="24"/>
                <w:szCs w:val="2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563</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12,882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FFCC"/>
          </w:tcPr>
          <w:p>
            <w:pPr>
              <w:spacing w:after="0"/>
              <w:rPr>
                <w:sz w:val="24"/>
                <w:szCs w:val="24"/>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24"/>
        </w:trPr>
        <w:tc>
          <w:tcPr>
            <w:tcW w:w="318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r>
      <w:tr>
        <w:trPr>
          <w:trHeight w:val="243"/>
        </w:trPr>
        <w:tc>
          <w:tcPr>
            <w:tcW w:w="3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2005</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Banking</w:t>
            </w:r>
          </w:p>
        </w:tc>
        <w:tc>
          <w:tcPr>
            <w:tcW w:w="70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9,893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Insurance</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786</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Pension funds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50"/>
        </w:trPr>
        <w:tc>
          <w:tcPr>
            <w:tcW w:w="32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Brokerage and other</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339</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3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consolidated</w:t>
            </w:r>
          </w:p>
        </w:tc>
        <w:tc>
          <w:tcPr>
            <w:tcW w:w="7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11,036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Banking</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671</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8,083</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Pension funds</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Brokerage and other</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0"/>
        </w:trPr>
        <w:tc>
          <w:tcPr>
            <w:tcW w:w="3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consolidated</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9,088</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3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467"/>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F-73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3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Segment information by geographical area (amounts expressed in million of U.S.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2004</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440" w:type="dxa"/>
            <w:vAlign w:val="bottom"/>
          </w:tcPr>
          <w:p>
            <w:pPr>
              <w:spacing w:after="0"/>
              <w:rPr>
                <w:sz w:val="16"/>
                <w:szCs w:val="16"/>
                <w:color w:val="auto"/>
              </w:rPr>
            </w:pPr>
          </w:p>
        </w:tc>
        <w:tc>
          <w:tcPr>
            <w:tcW w:w="8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Total</w:t>
            </w:r>
          </w:p>
        </w:tc>
        <w:tc>
          <w:tcPr>
            <w:tcW w:w="9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Operating</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Total</w:t>
            </w:r>
          </w:p>
        </w:tc>
        <w:tc>
          <w:tcPr>
            <w:tcW w:w="9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Operating</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Total</w:t>
            </w:r>
          </w:p>
        </w:tc>
        <w:tc>
          <w:tcPr>
            <w:tcW w:w="98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4"/>
              </w:rPr>
              <w:t>Operating</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income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income</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4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assets</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8"/>
              </w:rPr>
              <w:t>assets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8"/>
              </w:rPr>
              <w:t>assets</w:t>
            </w:r>
          </w:p>
        </w:tc>
      </w:tr>
      <w:tr>
        <w:trPr>
          <w:trHeight w:val="237"/>
        </w:trPr>
        <w:tc>
          <w:tcPr>
            <w:tcW w:w="34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518</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9,271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809</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FFCC"/>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Panama</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839</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Cayman Islands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1,364</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FFCC"/>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Bolivia</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411</w:t>
            </w: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r>
      <w:tr>
        <w:trPr>
          <w:trHeight w:val="20"/>
        </w:trPr>
        <w:tc>
          <w:tcPr>
            <w:tcW w:w="3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consolidated</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12,882</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483</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shd w:val="clear" w:color="auto" w:fill="CCFFCC"/>
          </w:tcPr>
          <w:p>
            <w:pPr>
              <w:spacing w:after="0"/>
              <w:rPr>
                <w:sz w:val="22"/>
                <w:szCs w:val="22"/>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979</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421</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FFCC"/>
          </w:tcPr>
          <w:p>
            <w:pPr>
              <w:spacing w:after="0"/>
              <w:rPr>
                <w:sz w:val="22"/>
                <w:szCs w:val="22"/>
                <w:color w:val="auto"/>
              </w:rPr>
            </w:pPr>
          </w:p>
        </w:tc>
      </w:tr>
      <w:tr>
        <w:trPr>
          <w:trHeight w:val="20"/>
        </w:trPr>
        <w:tc>
          <w:tcPr>
            <w:tcW w:w="34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Include total interest and dividend income, other income and net premiums earned from insurance activities.</w:t>
      </w:r>
    </w:p>
    <w:p>
      <w:pPr>
        <w:spacing w:after="0" w:line="23" w:lineRule="exact"/>
        <w:rPr>
          <w:sz w:val="20"/>
          <w:szCs w:val="20"/>
          <w:color w:val="auto"/>
        </w:rPr>
      </w:pPr>
    </w:p>
    <w:p>
      <w:pPr>
        <w:ind w:left="1300" w:right="520" w:hanging="644"/>
        <w:spacing w:after="0" w:line="250"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4760" w:hanging="4884"/>
        <w:spacing w:after="0" w:line="622" w:lineRule="auto"/>
        <w:tabs>
          <w:tab w:leader="none" w:pos="130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Correspond to reserves for assets seized and the allowance for loan losses. 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83" w:lineRule="exact"/>
        <w:rPr>
          <w:rFonts w:ascii="Arial" w:cs="Arial" w:eastAsia="Arial" w:hAnsi="Arial"/>
          <w:sz w:val="18"/>
          <w:szCs w:val="18"/>
          <w:b w:val="1"/>
          <w:bCs w:val="1"/>
          <w:color w:val="auto"/>
        </w:rPr>
      </w:pPr>
    </w:p>
    <w:p>
      <w:pPr>
        <w:ind w:left="6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are principally related to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40"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the Group also enters into guarantees and other commitments such as letters of credit and performance.</w:t>
      </w:r>
    </w:p>
    <w:p>
      <w:pPr>
        <w:spacing w:after="0" w:line="235" w:lineRule="exact"/>
        <w:rPr>
          <w:rFonts w:ascii="Arial" w:cs="Arial" w:eastAsia="Arial" w:hAnsi="Arial"/>
          <w:sz w:val="18"/>
          <w:szCs w:val="18"/>
          <w:b w:val="1"/>
          <w:bCs w:val="1"/>
          <w:color w:val="auto"/>
        </w:rPr>
      </w:pPr>
    </w:p>
    <w:p>
      <w:pPr>
        <w:ind w:left="6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 The Management places trading limits on the level of exposure that can be taken in relation to both overnight and intra-day market positions. Foreign exchange and interest exposures associated with these operations are normally offset by entering into counterbalancing positions, thereby controlling the variability in the net cash amounts required to liquidate market positions.</w:t>
      </w:r>
    </w:p>
    <w:p>
      <w:pPr>
        <w:spacing w:after="0" w:line="23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Market risks -</w:t>
      </w:r>
    </w:p>
    <w:p>
      <w:pPr>
        <w:spacing w:after="0" w:line="283" w:lineRule="exact"/>
        <w:rPr>
          <w:rFonts w:ascii="Arial" w:cs="Arial" w:eastAsia="Arial" w:hAnsi="Arial"/>
          <w:sz w:val="18"/>
          <w:szCs w:val="18"/>
          <w:b w:val="1"/>
          <w:bCs w:val="1"/>
          <w:color w:val="auto"/>
        </w:rPr>
      </w:pPr>
    </w:p>
    <w:p>
      <w:pPr>
        <w:jc w:val="both"/>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main positions held and the maximum losses expected, based upon a number of assumptions for various changes in market conditions. The Management sets some limits on the value of risk that may be accepted, which is monitored on a daily basis.</w:t>
      </w:r>
    </w:p>
    <w:p>
      <w:pPr>
        <w:spacing w:after="0" w:line="240"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daily market value at risk measure (VAR) is an estimate of the maximum potential loss that might arise if the current positions were to be held unchanged for one trading session taking into account a specific significance level. The measurement is structured so that daily losses exceeding the VAR figure should occur, on average, not more than one trading session out of one hundred. Actual outcomes are monitored regularly to test the validity of the assumptions and parameters used in the VAR calculation.</w:t>
      </w:r>
    </w:p>
    <w:p>
      <w:pPr>
        <w:spacing w:after="0" w:line="241"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As VAR constitutes an integral part of the Group’s market risk control regime, VAR limits are established by the Management for some trading and portfolio operations. The actual exposure against limits, together with a consolidated Group-wide VAR, is reviewed daily by the Management; however, the use of this approach does not prevent losses outside the limits established in the event of more significant market movements.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risk -</w:t>
      </w:r>
    </w:p>
    <w:p>
      <w:pPr>
        <w:spacing w:after="0" w:line="283"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w:t>
      </w:r>
    </w:p>
    <w:p>
      <w:pPr>
        <w:spacing w:after="0" w:line="227"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23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their mature are important factors in assessing the liquidity of the Group and its exposure to changes in interest rates and exchange rates.</w:t>
      </w:r>
    </w:p>
    <w:p>
      <w:pPr>
        <w:spacing w:after="0" w:line="224" w:lineRule="exact"/>
        <w:rPr>
          <w:sz w:val="20"/>
          <w:szCs w:val="20"/>
          <w:color w:val="auto"/>
        </w:rPr>
      </w:pPr>
    </w:p>
    <w:p>
      <w:pPr>
        <w:ind w:left="660" w:right="42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4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insurance companies of the Group are exposed to requirements of cash available, mainly for contracts of insurance claims of short term. The liquidity risk is the risk that the cash may not be available to pay obligations at their maturity at a reasonable cost. The Group settles limits over the minimal proportion of the maturity funds available to meet these requirements and in a minimal level of credit lines available to cover the maturity and unexpected claims.</w:t>
      </w:r>
    </w:p>
    <w:p>
      <w:pPr>
        <w:spacing w:after="0" w:line="241"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insurance companies of the Group control the liquidity risk through the exposure of the maturity of their assets and liabilities. Therefore, the investment plan has been structured according the maturities in order to hedge the risk of fund requirements to cover insurance claims and others, in addition to the Group support.</w:t>
      </w:r>
    </w:p>
    <w:p>
      <w:pPr>
        <w:spacing w:after="0" w:line="23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notes to the financial statements include an analysis of the main assets and liabilities of the Group by maturities based on contractual maturity dates.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 and fair value risk due to changes in the interest rates -</w:t>
      </w:r>
    </w:p>
    <w:p>
      <w:pPr>
        <w:spacing w:after="0" w:line="283"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Cash flow interest rate risk is the risk that the future cash flows of a financial instrument will fluctuate due to changes in market interest rates. Fair value interest rate risk is the risk that the value of a financial instrument will fluctuate due to changes in market interest rates.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80"/>
        <w:spacing w:after="0" w:line="312" w:lineRule="auto"/>
        <w:rPr>
          <w:sz w:val="20"/>
          <w:szCs w:val="20"/>
          <w:color w:val="auto"/>
        </w:rPr>
      </w:pPr>
      <w:r>
        <w:rPr>
          <w:rFonts w:ascii="Arial" w:cs="Arial" w:eastAsia="Arial" w:hAnsi="Arial"/>
          <w:sz w:val="16"/>
          <w:szCs w:val="16"/>
          <w:color w:val="auto"/>
        </w:rPr>
        <w:t>The Group takes on exposure to the effects of fluctuations in the prevailing levels of market interest rates on both its fair value and cash flow risks. Interest margins may increase as a result of such changes, but may reduce or create losses in the event that unexpected movements arise. The Group’s Management sets limits on the level of mismatch of interest rate reprising that may be undertaken, which is monitored periodically.</w:t>
      </w:r>
    </w:p>
    <w:p>
      <w:pPr>
        <w:spacing w:after="0" w:line="20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Resources for investing are mainly obtained from short-term liabilities, the interests of which are agreed at fixed and variable interest rates prevailing in the international markets. Loans, customer deposits and other financing instruments are subject to risks derived from interest rate fluctuations. The relevant contract maturity characteristics and interest rates of such financial instruments are disclosed in notes 7, 13, 14 and 16.</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Currency risk -</w:t>
      </w:r>
    </w:p>
    <w:p>
      <w:pPr>
        <w:spacing w:after="0" w:line="283"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The Group takes on exposure to effects of fluctuations in the prevailing foreign currency exchange rates on its financial position and cash flows. The Management sets limits on the level of exposure by currency and in total for both overnight and intra-day positions, which are monitored daily. Most assets and liabilities are maintained in U.S. Dollars.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2006 and 2005, the Group’s assets and liabilities by currencies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300" w:type="dxa"/>
            <w:vAlign w:val="bottom"/>
          </w:tcPr>
          <w:p>
            <w:pPr>
              <w:spacing w:after="0"/>
              <w:rPr>
                <w:sz w:val="16"/>
                <w:szCs w:val="16"/>
                <w:color w:val="auto"/>
              </w:rPr>
            </w:pPr>
          </w:p>
        </w:tc>
        <w:tc>
          <w:tcPr>
            <w:tcW w:w="1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U.S.</w:t>
            </w:r>
          </w:p>
        </w:tc>
        <w:tc>
          <w:tcPr>
            <w:tcW w:w="1000" w:type="dxa"/>
            <w:vAlign w:val="bottom"/>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rPr>
              <w:t>Peruvian</w:t>
            </w:r>
          </w:p>
        </w:tc>
        <w:tc>
          <w:tcPr>
            <w:tcW w:w="9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Other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U.S.</w:t>
            </w:r>
          </w:p>
        </w:tc>
        <w:tc>
          <w:tcPr>
            <w:tcW w:w="104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rPr>
              <w:t>Peruvian</w:t>
            </w:r>
          </w:p>
        </w:tc>
        <w:tc>
          <w:tcPr>
            <w:tcW w:w="9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Other</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Dollars</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currency</w:t>
            </w:r>
          </w:p>
        </w:tc>
        <w:tc>
          <w:tcPr>
            <w:tcW w:w="1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currencies</w:t>
            </w: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Dollars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currency</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currencies</w:t>
            </w: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7"/>
        </w:trPr>
        <w:tc>
          <w:tcPr>
            <w:tcW w:w="33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r>
      <w:tr>
        <w:trPr>
          <w:trHeight w:val="486"/>
        </w:trPr>
        <w:tc>
          <w:tcPr>
            <w:tcW w:w="3300" w:type="dxa"/>
            <w:vAlign w:val="bottom"/>
          </w:tcPr>
          <w:p>
            <w:pPr>
              <w:spacing w:after="0"/>
              <w:rPr>
                <w:sz w:val="20"/>
                <w:szCs w:val="20"/>
                <w:color w:val="auto"/>
              </w:rPr>
            </w:pPr>
            <w:r>
              <w:rPr>
                <w:rFonts w:ascii="Arial" w:cs="Arial" w:eastAsia="Arial" w:hAnsi="Arial"/>
                <w:sz w:val="18"/>
                <w:szCs w:val="18"/>
                <w:b w:val="1"/>
                <w:bCs w:val="1"/>
                <w:color w:val="auto"/>
              </w:rPr>
              <w:t>Monetary assets -</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2,250,111</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396,238</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87,181</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2,733,530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2,337,939</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268,416</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54,460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12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Trading securities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14,144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45,136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39,045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21,740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60,785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Available-for-sale investments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1,493,043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1,904,535</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53,133</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3,450,711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1,583,201</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1,218,424</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9,080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2,810,705</w:t>
            </w:r>
          </w:p>
        </w:tc>
        <w:tc>
          <w:tcPr>
            <w:tcW w:w="12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Loans, net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4,181,558</w:t>
            </w:r>
          </w:p>
        </w:tc>
        <w:tc>
          <w:tcPr>
            <w:tcW w:w="900" w:type="dxa"/>
            <w:vAlign w:val="bottom"/>
          </w:tcPr>
          <w:p>
            <w:pPr>
              <w:jc w:val="right"/>
              <w:spacing w:after="0"/>
              <w:rPr>
                <w:sz w:val="20"/>
                <w:szCs w:val="20"/>
                <w:color w:val="auto"/>
              </w:rPr>
            </w:pPr>
            <w:r>
              <w:rPr>
                <w:rFonts w:ascii="Arial" w:cs="Arial" w:eastAsia="Arial" w:hAnsi="Arial"/>
                <w:sz w:val="18"/>
                <w:szCs w:val="18"/>
                <w:color w:val="auto"/>
              </w:rPr>
              <w:t>1,492,681</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62,583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5,736,822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3,758,385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1,032,481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25,894</w:t>
            </w:r>
          </w:p>
        </w:tc>
        <w:tc>
          <w:tcPr>
            <w:tcW w:w="980" w:type="dxa"/>
            <w:vAlign w:val="bottom"/>
          </w:tcPr>
          <w:p>
            <w:pPr>
              <w:jc w:val="right"/>
              <w:spacing w:after="0"/>
              <w:rPr>
                <w:sz w:val="20"/>
                <w:szCs w:val="20"/>
                <w:color w:val="auto"/>
              </w:rPr>
            </w:pPr>
            <w:r>
              <w:rPr>
                <w:rFonts w:ascii="Arial" w:cs="Arial" w:eastAsia="Arial" w:hAnsi="Arial"/>
                <w:sz w:val="18"/>
                <w:szCs w:val="18"/>
                <w:color w:val="auto"/>
              </w:rPr>
              <w:t>4,816,760</w:t>
            </w:r>
          </w:p>
        </w:tc>
        <w:tc>
          <w:tcPr>
            <w:tcW w:w="120" w:type="dxa"/>
            <w:vAlign w:val="bottom"/>
          </w:tcPr>
          <w:p>
            <w:pPr>
              <w:spacing w:after="0"/>
              <w:rPr>
                <w:sz w:val="21"/>
                <w:szCs w:val="21"/>
                <w:color w:val="auto"/>
              </w:rPr>
            </w:pPr>
          </w:p>
        </w:tc>
      </w:tr>
      <w:tr>
        <w:trPr>
          <w:trHeight w:val="250"/>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269,504</w:t>
            </w:r>
          </w:p>
        </w:tc>
        <w:tc>
          <w:tcPr>
            <w:tcW w:w="10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129,268</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6,242</w:t>
            </w: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405,014</w:t>
            </w: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192,148</w:t>
            </w: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121,348</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4,277</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317,773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33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33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8,208,360</w:t>
            </w:r>
          </w:p>
        </w:tc>
        <w:tc>
          <w:tcPr>
            <w:tcW w:w="900" w:type="dxa"/>
            <w:vAlign w:val="bottom"/>
          </w:tcPr>
          <w:p>
            <w:pPr>
              <w:jc w:val="right"/>
              <w:spacing w:after="0"/>
              <w:rPr>
                <w:sz w:val="20"/>
                <w:szCs w:val="20"/>
                <w:color w:val="auto"/>
              </w:rPr>
            </w:pPr>
            <w:r>
              <w:rPr>
                <w:rFonts w:ascii="Arial" w:cs="Arial" w:eastAsia="Arial" w:hAnsi="Arial"/>
                <w:sz w:val="18"/>
                <w:szCs w:val="18"/>
                <w:color w:val="auto"/>
              </w:rPr>
              <w:t>3,953,522</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209,331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12,371,213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7,910,718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2,662,409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93,711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10,666,838</w:t>
            </w:r>
          </w:p>
        </w:tc>
      </w:tr>
      <w:tr>
        <w:trPr>
          <w:trHeight w:val="237"/>
        </w:trPr>
        <w:tc>
          <w:tcPr>
            <w:tcW w:w="330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1">
            <w:col w:w="11420"/>
          </w:cols>
          <w:pgMar w:left="240" w:top="402" w:right="239" w:bottom="1440" w:gutter="0" w:footer="0" w:header="0"/>
        </w:sectPr>
      </w:pPr>
    </w:p>
    <w:p>
      <w:pPr>
        <w:ind w:right="860"/>
        <w:spacing w:after="0" w:line="311" w:lineRule="auto"/>
        <w:rPr>
          <w:sz w:val="20"/>
          <w:szCs w:val="20"/>
          <w:color w:val="auto"/>
        </w:rPr>
      </w:pPr>
      <w:r>
        <w:rPr>
          <w:rFonts w:ascii="Arial" w:cs="Arial" w:eastAsia="Arial" w:hAnsi="Arial"/>
          <w:sz w:val="16"/>
          <w:szCs w:val="16"/>
          <w:b w:val="1"/>
          <w:bCs w:val="1"/>
          <w:color w:val="auto"/>
        </w:rPr>
        <w:t xml:space="preserve">Monetary liabilities - </w:t>
      </w:r>
      <w:r>
        <w:rPr>
          <w:rFonts w:ascii="Arial" w:cs="Arial" w:eastAsia="Arial" w:hAnsi="Arial"/>
          <w:sz w:val="16"/>
          <w:szCs w:val="16"/>
          <w:color w:val="auto"/>
        </w:rPr>
        <w:t>Deposits and obligations</w:t>
      </w:r>
    </w:p>
    <w:p>
      <w:pPr>
        <w:spacing w:after="0" w:line="1" w:lineRule="exact"/>
        <w:rPr>
          <w:sz w:val="20"/>
          <w:szCs w:val="20"/>
          <w:color w:val="auto"/>
        </w:rPr>
      </w:pPr>
    </w:p>
    <w:p>
      <w:pPr>
        <w:ind w:left="180" w:hanging="161"/>
        <w:spacing w:after="0" w:line="257" w:lineRule="auto"/>
        <w:rPr>
          <w:sz w:val="20"/>
          <w:szCs w:val="20"/>
          <w:color w:val="auto"/>
        </w:rPr>
      </w:pPr>
      <w:r>
        <w:rPr>
          <w:rFonts w:ascii="Arial" w:cs="Arial" w:eastAsia="Arial" w:hAnsi="Arial"/>
          <w:sz w:val="18"/>
          <w:szCs w:val="18"/>
          <w:color w:val="auto"/>
        </w:rPr>
        <w:t>Due to bank and correspondents and borrowed funds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Bonds issued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920"/>
        <w:spacing w:after="0" w:line="430" w:lineRule="auto"/>
        <w:rPr>
          <w:sz w:val="20"/>
          <w:szCs w:val="20"/>
          <w:color w:val="auto"/>
        </w:rPr>
      </w:pPr>
      <w:r>
        <w:rPr>
          <w:rFonts w:ascii="Arial" w:cs="Arial" w:eastAsia="Arial" w:hAnsi="Arial"/>
          <w:sz w:val="16"/>
          <w:szCs w:val="16"/>
          <w:color w:val="auto"/>
        </w:rPr>
        <w:t xml:space="preserve">Forwards position, net </w:t>
      </w:r>
      <w:r>
        <w:rPr>
          <w:rFonts w:ascii="Arial" w:cs="Arial" w:eastAsia="Arial" w:hAnsi="Arial"/>
          <w:sz w:val="16"/>
          <w:szCs w:val="16"/>
          <w:b w:val="1"/>
          <w:bCs w:val="1"/>
          <w:color w:val="auto"/>
        </w:rPr>
        <w:t>Net monetary position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(6,098,199)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(2,588,864)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(151,928)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(8,838,991)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(5,315,364)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(1,684,149)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(93,915)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(7,093,428)</w:t>
            </w:r>
          </w:p>
        </w:tc>
      </w:tr>
      <w:tr>
        <w:trPr>
          <w:trHeight w:val="432"/>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(883,979)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(53,193)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(4,429)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(941,601)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(728,161)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(573,665)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(1,303,371)</w:t>
            </w:r>
          </w:p>
        </w:tc>
      </w:tr>
      <w:tr>
        <w:trPr>
          <w:trHeight w:val="243"/>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(334,608)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(177,964)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(512,572)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(278,461)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(150,763)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(429,224)</w:t>
            </w:r>
          </w:p>
        </w:tc>
      </w:tr>
      <w:tr>
        <w:trPr>
          <w:trHeight w:val="270"/>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(662,946)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(378,473)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(1,054,597)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(615,561)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(293,732)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(918,097)</w:t>
            </w: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(7,979,732)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(3,198,494)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(169,535)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(11,347,761)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(6,937,547)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(2,702,309)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(104,264)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(9,744,120)</w:t>
            </w:r>
          </w:p>
        </w:tc>
      </w:tr>
      <w:tr>
        <w:trPr>
          <w:trHeight w:val="20"/>
        </w:trPr>
        <w:tc>
          <w:tcPr>
            <w:tcW w:w="9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264"/>
        </w:trPr>
        <w:tc>
          <w:tcPr>
            <w:tcW w:w="920" w:type="dxa"/>
            <w:vAlign w:val="bottom"/>
          </w:tcPr>
          <w:p>
            <w:pPr>
              <w:jc w:val="right"/>
              <w:spacing w:after="0"/>
              <w:rPr>
                <w:sz w:val="20"/>
                <w:szCs w:val="20"/>
                <w:color w:val="auto"/>
              </w:rPr>
            </w:pPr>
            <w:r>
              <w:rPr>
                <w:rFonts w:ascii="Arial" w:cs="Arial" w:eastAsia="Arial" w:hAnsi="Arial"/>
                <w:sz w:val="18"/>
                <w:szCs w:val="18"/>
                <w:color w:val="auto"/>
              </w:rPr>
              <w:t>228,628</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755,028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39,796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1,023,452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973,171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(39,900)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(10,553)</w:t>
            </w:r>
          </w:p>
        </w:tc>
        <w:tc>
          <w:tcPr>
            <w:tcW w:w="980" w:type="dxa"/>
            <w:vAlign w:val="bottom"/>
          </w:tcPr>
          <w:p>
            <w:pPr>
              <w:jc w:val="right"/>
              <w:spacing w:after="0"/>
              <w:rPr>
                <w:sz w:val="20"/>
                <w:szCs w:val="20"/>
                <w:color w:val="auto"/>
              </w:rPr>
            </w:pPr>
            <w:r>
              <w:rPr>
                <w:rFonts w:ascii="Arial" w:cs="Arial" w:eastAsia="Arial" w:hAnsi="Arial"/>
                <w:sz w:val="18"/>
                <w:szCs w:val="18"/>
                <w:color w:val="auto"/>
              </w:rPr>
              <w:t>922,718</w:t>
            </w:r>
          </w:p>
        </w:tc>
        <w:tc>
          <w:tcPr>
            <w:tcW w:w="120" w:type="dxa"/>
            <w:vAlign w:val="bottom"/>
          </w:tcPr>
          <w:p>
            <w:pPr>
              <w:spacing w:after="0"/>
              <w:rPr>
                <w:sz w:val="22"/>
                <w:szCs w:val="22"/>
                <w:color w:val="auto"/>
              </w:rPr>
            </w:pP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920" w:type="dxa"/>
            <w:vAlign w:val="bottom"/>
          </w:tcPr>
          <w:p>
            <w:pPr>
              <w:jc w:val="right"/>
              <w:spacing w:after="0"/>
              <w:rPr>
                <w:sz w:val="20"/>
                <w:szCs w:val="20"/>
                <w:color w:val="auto"/>
              </w:rPr>
            </w:pPr>
            <w:r>
              <w:rPr>
                <w:rFonts w:ascii="Arial" w:cs="Arial" w:eastAsia="Arial" w:hAnsi="Arial"/>
                <w:sz w:val="18"/>
                <w:szCs w:val="18"/>
                <w:color w:val="auto"/>
              </w:rPr>
              <w:t>30,970</w:t>
            </w:r>
          </w:p>
        </w:tc>
        <w:tc>
          <w:tcPr>
            <w:tcW w:w="1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(22,368)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(8,602)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(310,946)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310,946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0"/>
        </w:trPr>
        <w:tc>
          <w:tcPr>
            <w:tcW w:w="9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259,598</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732,660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31,194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1,023,452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662,225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271,046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(10,553)</w:t>
            </w:r>
          </w:p>
        </w:tc>
        <w:tc>
          <w:tcPr>
            <w:tcW w:w="980" w:type="dxa"/>
            <w:vAlign w:val="bottom"/>
          </w:tcPr>
          <w:p>
            <w:pPr>
              <w:jc w:val="right"/>
              <w:spacing w:after="0"/>
              <w:rPr>
                <w:sz w:val="20"/>
                <w:szCs w:val="20"/>
                <w:color w:val="auto"/>
              </w:rPr>
            </w:pPr>
            <w:r>
              <w:rPr>
                <w:rFonts w:ascii="Arial" w:cs="Arial" w:eastAsia="Arial" w:hAnsi="Arial"/>
                <w:sz w:val="18"/>
                <w:szCs w:val="18"/>
                <w:color w:val="auto"/>
              </w:rPr>
              <w:t>922,718</w:t>
            </w:r>
          </w:p>
        </w:tc>
        <w:tc>
          <w:tcPr>
            <w:tcW w:w="120" w:type="dxa"/>
            <w:vAlign w:val="bottom"/>
          </w:tcPr>
          <w:p>
            <w:pPr>
              <w:spacing w:after="0"/>
              <w:rPr>
                <w:sz w:val="20"/>
                <w:szCs w:val="20"/>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-1482725</wp:posOffset>
            </wp:positionV>
            <wp:extent cx="72466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-1054100</wp:posOffset>
            </wp:positionV>
            <wp:extent cx="724662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-719455</wp:posOffset>
            </wp:positionV>
            <wp:extent cx="7246620" cy="180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-359410</wp:posOffset>
            </wp:positionV>
            <wp:extent cx="724662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640" w:space="660"/>
            <w:col w:w="8120"/>
          </w:cols>
          <w:pgMar w:left="240" w:top="40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risk -</w:t>
      </w:r>
    </w:p>
    <w:p>
      <w:pPr>
        <w:spacing w:after="0" w:line="283"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Group takes on exposure to credit risk, which is the risk that a counterparty will be unable to pay amounts in full when due. Impairment provisions are provided for losses that have been incurred at the balance sheet date. Significant changes in the economy or in the health of particular industry segment that represents a concentration in the Group’s portfolio could result in losses that are different from those provided for at the balance sheet date. Management, therefore, carefully manages its exposure to credit risk.</w:t>
      </w:r>
    </w:p>
    <w:p>
      <w:pPr>
        <w:spacing w:after="0" w:line="241" w:lineRule="exact"/>
        <w:rPr>
          <w:sz w:val="20"/>
          <w:szCs w:val="20"/>
          <w:color w:val="auto"/>
        </w:rPr>
      </w:pPr>
    </w:p>
    <w:p>
      <w:pPr>
        <w:ind w:left="660" w:right="160"/>
        <w:spacing w:after="0" w:line="286" w:lineRule="auto"/>
        <w:rPr>
          <w:sz w:val="20"/>
          <w:szCs w:val="20"/>
          <w:color w:val="auto"/>
        </w:rPr>
      </w:pPr>
      <w:r>
        <w:rPr>
          <w:rFonts w:ascii="Arial" w:cs="Arial" w:eastAsia="Arial" w:hAnsi="Arial"/>
          <w:sz w:val="17"/>
          <w:szCs w:val="17"/>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an annual or more frequent review. Limits in the level of credit risk by product, industry sector and by country are approved by the Board of Directors.</w:t>
      </w:r>
    </w:p>
    <w:p>
      <w:pPr>
        <w:spacing w:after="0" w:line="220"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Exposure to credit risk is managed through regular analysis of the ability of borrowers and potential borrowers to meet interest and capital repayment obligations and by changing these lending limits where appropriate. Exposure to credit risk is also managed in part by obtaining collateral and corporate and personal guarantees, but there is a significant portion in personal lending where no such facilities can be obtained.</w:t>
      </w:r>
    </w:p>
    <w:p>
      <w:pPr>
        <w:spacing w:after="0" w:line="220"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As of December 31, 2006, Group’s management has estimated that the maximum credit risk at which is exposed the Group amounts to approximately US$11,541.2 million (US$9,602.8million as of December 31, 2005), which comprise financial assets subject to credit risk, including mainly deposits in banks, trading securities, investments available-for-sale, loans and indirect loans, without taking into consideration the market value of the guarantee or collateral. The exposure for any specific part, including banks, is further structured by sub-limits covering on and off-balance sheet exposures, and daily delivery risk limits to trading items such as forward foreign exchange contracts. Real exposures against limits are monitored daily.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of the insurance activity -</w:t>
      </w:r>
    </w:p>
    <w:p>
      <w:pPr>
        <w:spacing w:after="0" w:line="283"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risk under any insurance contract is the possibility that the insured event occurs and the uncertainty of the amount of the resulting claim. By the very nature of an insurance contract, this risk is random and therefore unpredictable.</w:t>
      </w:r>
    </w:p>
    <w:p>
      <w:pPr>
        <w:spacing w:after="0" w:line="224"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For a portfolio of insurance contracts where the theory of probability is applied to pricing and provisioning, the principal risk that the Group faces is that the actual claims and benefit payments exceed the carrying amount of the insurance liabilities. This could occur because the frequency or severity of claims and benefits are greater than estimated. Insurance events are random and the actual number and amount of claims and benefits will vary from year to year from the level established using statistical techniques.</w:t>
      </w:r>
    </w:p>
    <w:p>
      <w:pPr>
        <w:spacing w:after="0" w:line="24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Experience shows that the larger the portfolio of similar insurance contracts, the smaller the relative variability about the expected outcome will be. In addition, a more diversified portfolio is less likely to be affected by a change in any subset of the portfolio. The Group has developed its insurance underwriting strategy to diversify the type of insurance risks accepted within each of theses categories to achieve a sufficiently large population of risks to reduce the variability of the expected outcome.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Factors that aggravate insurance risk include lack of risk diversification in terms of type and amount of risk, geographical location and type of industry covered.</w:t>
      </w:r>
    </w:p>
    <w:p>
      <w:pPr>
        <w:spacing w:after="0" w:line="22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The Group is liable for all insured events that occurred during the term of the contract, even if the loss is discovered after the end of the contract term. As a result, liability claims are settled over a long period of time and a larger element of the claims provision relates to incurred but non-reported claims (IBNR). There are several variables that affect the amount and timing of cash flows from these contracts. These mainly relate to the inherent risk of the business activities carried out by individual contract holders and the risk management procedures they adopted.</w:t>
      </w:r>
    </w:p>
    <w:p>
      <w:pPr>
        <w:spacing w:after="0" w:line="208"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The estimated cost of claims includes direct expenses to be incurred in settling claims, net of the expected subrogation value and other recoveries. The Group takes all reasonable steps to ensure that it has appropriate information regarding its claims exposures. The liability for these contracts includes a provision for reported claims not yet paid and a provision for unexpired risks at the balance sheet date.</w:t>
      </w:r>
    </w:p>
    <w:p>
      <w:pPr>
        <w:spacing w:after="0" w:line="220"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However, given the uncertainty in establishing claims provisions, it is likely that the final outcome will prove to be different from the original liability established. This could occur as the frequency or severity, or both, of the claims and benefits are greater than the calculated. In the particular case of the survival business life (life annuities), the risk assumed by the Group consists in that the real life expectancy of the insured population is greater than the estimated at the time of issuing the policy, which would mean there would be a deficit in the reserves to carry out the pension payments.</w:t>
      </w:r>
    </w:p>
    <w:p>
      <w:pPr>
        <w:spacing w:after="0" w:line="24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factors considered in the evaluation of insurance risks are the frequency and severity of the claims, the sources of uncertainty in the calculation of payments for future claims and the mortality tables for life insurance.</w:t>
      </w:r>
    </w:p>
    <w:p>
      <w:pPr>
        <w:spacing w:after="0" w:line="224"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For this reason, for life insurance, the Group estimates conservatively and carries out a careful selection of the risks at the moment of issuing the policies to estimate the degree of risk that each policyholder presents.</w:t>
      </w:r>
    </w:p>
    <w:p>
      <w:pPr>
        <w:spacing w:after="0" w:line="224"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At the renewal of the policies, the terms and conditions are revised according to risk changes and its results (claims past experience) and the Company may impose deductibles and other conditions in order to mitigate the risks. The insurance companies are responsible for all insured events that occurred during the duration of the contract even if the final amount of the loss is determined after the contract period.</w:t>
      </w:r>
    </w:p>
    <w:p>
      <w:pPr>
        <w:spacing w:after="0" w:line="22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subsidiaries of the Group that operate in the insurance segment have automatic reinsurance coverage contracts that protect them against frequency and severity losses. The reinsurance includes coverage for excess claims and catastrophes. The objective of the reinsurance is that the total net insurance loss does not affect the net worth and liquidity of the Company in any given year.</w:t>
      </w:r>
    </w:p>
    <w:p>
      <w:pPr>
        <w:spacing w:after="0" w:line="23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In addition to the total Company’s reinsurance program, it is possible to buy additional reinsurance protection under the automatic or facultative (voluntary) contract modality and for any situation the risk evaluation process considers it necessary.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The treatment of benefits as well as the sufficiency of the reserves is a principal concern of the insurance management. The technical reserves are estimated by actuaries of the insurance segment and are reviewed by independent experts. The insurance segment permanently monitors the claim trends, which allows estimates to be carried out for incurred and non-reported claims based on recent information. These estimations are also reviewed by independent experts.</w:t>
      </w:r>
    </w:p>
    <w:p>
      <w:pPr>
        <w:spacing w:after="0" w:line="24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reference to reinsurance risks, the policy of the Group is to only enter into contracts with companies that are qualified as investment grade by qualified international ratings agencies.</w:t>
      </w:r>
    </w:p>
    <w:p>
      <w:pPr>
        <w:spacing w:after="0" w:line="22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insurance products do not contain particularly relevant terms or clauses that could have a significant impact or represent important uncertainties to the cash flows of the insurance segment.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Fiduciary activities and management of investment and pension funds -</w:t>
      </w:r>
    </w:p>
    <w:p>
      <w:pPr>
        <w:spacing w:after="0" w:line="283"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financial statements. These services give rise to the risk that the Group will be accused of poor administration or under-performance.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2006 and 2005, the assigned value of the financial assets under administration (in millions of U.S. Dollars) is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ind w:left="8840"/>
              <w:spacing w:after="0"/>
              <w:rPr>
                <w:sz w:val="20"/>
                <w:szCs w:val="20"/>
                <w:color w:val="auto"/>
              </w:rPr>
            </w:pPr>
            <w:r>
              <w:rPr>
                <w:rFonts w:ascii="Arial" w:cs="Arial" w:eastAsia="Arial" w:hAnsi="Arial"/>
                <w:sz w:val="18"/>
                <w:szCs w:val="18"/>
                <w:b w:val="1"/>
                <w:bCs w:val="1"/>
                <w:color w:val="auto"/>
                <w:w w:val="99"/>
              </w:rPr>
              <w:t>2006</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1,124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r>
      <w:tr>
        <w:trPr>
          <w:trHeight w:val="243"/>
        </w:trPr>
        <w:tc>
          <w:tcPr>
            <w:tcW w:w="9260" w:type="dxa"/>
            <w:vAlign w:val="bottom"/>
            <w:gridSpan w:val="2"/>
          </w:tcPr>
          <w:p>
            <w:pPr>
              <w:spacing w:after="0"/>
              <w:rPr>
                <w:sz w:val="20"/>
                <w:szCs w:val="20"/>
                <w:color w:val="auto"/>
              </w:rPr>
            </w:pPr>
            <w:r>
              <w:rPr>
                <w:rFonts w:ascii="Arial" w:cs="Arial" w:eastAsia="Arial" w:hAnsi="Arial"/>
                <w:sz w:val="18"/>
                <w:szCs w:val="18"/>
                <w:color w:val="auto"/>
              </w:rPr>
              <w:t>Pension Funds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9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1,689</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1,417</w:t>
            </w:r>
          </w:p>
        </w:tc>
      </w:tr>
      <w:tr>
        <w:trPr>
          <w:trHeight w:val="237"/>
        </w:trPr>
        <w:tc>
          <w:tcPr>
            <w:tcW w:w="834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FFCC"/>
          </w:tcPr>
          <w:p>
            <w:pPr>
              <w:spacing w:after="0"/>
              <w:rPr>
                <w:sz w:val="24"/>
                <w:szCs w:val="24"/>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6,976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83"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24"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47"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A significant portion of the Group’ assets and liabilities are short-term financial instruments, with a remaining maturity of under one-year. These short-term financial instruments are considered to have a fair value equivalent to their carrying value at the balance sheet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224" w:lineRule="exact"/>
        <w:rPr>
          <w:sz w:val="20"/>
          <w:szCs w:val="20"/>
          <w:color w:val="auto"/>
        </w:rPr>
      </w:pPr>
    </w:p>
    <w:p>
      <w:pPr>
        <w:ind w:left="1300" w:right="980" w:hanging="644"/>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Cash and due from banks represent cash and short-term deposits that do not represent significant credit or interest rate risks; in consequence, their book value is equivalent to their fair value.</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Trading securities and available-for-sale investments are recorded at their estimated fair value on the consolidated balance sheet.</w:t>
      </w:r>
    </w:p>
    <w:p>
      <w:pPr>
        <w:spacing w:after="0" w:line="290"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fair value of loans is similar to their book value, because such loans are mainly of a short-term nature or with variable interest rates and are shown net of their respective allowance for loan losses, which are considered by the Management as the approximate recoverable amount at the date of the consolidated financial statements.</w:t>
      </w:r>
    </w:p>
    <w:p>
      <w:pPr>
        <w:spacing w:after="0" w:line="23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fair value of deposits and obligations is similar to their book value; mainly because of their liquid nature and that the interest rates are comparable with the interest rates of other similar liabilities at the consolidated balance sheet date.</w:t>
      </w:r>
    </w:p>
    <w:p>
      <w:pPr>
        <w:spacing w:after="0" w:line="224"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Due to banks and correspondents, borrowed loans, bonds and subordinated rates generate interest contracted at variable interest rates and/or preferred rates similar to the actual rates in the market. As a result, it is considered that their book value approximates their fair values.</w:t>
      </w:r>
    </w:p>
    <w:p>
      <w:pPr>
        <w:spacing w:after="0" w:line="177" w:lineRule="exact"/>
        <w:rPr>
          <w:rFonts w:ascii="Arial" w:cs="Arial" w:eastAsia="Arial" w:hAnsi="Arial"/>
          <w:sz w:val="16"/>
          <w:szCs w:val="16"/>
          <w:color w:val="auto"/>
        </w:rPr>
      </w:pPr>
    </w:p>
    <w:p>
      <w:pPr>
        <w:ind w:left="1300" w:hanging="644"/>
        <w:spacing w:after="0" w:line="279" w:lineRule="auto"/>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As disclosed in note 20, the Group has various commitments to extend credit, open documentary credits and outstanding guarantees and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deemed to be material.</w:t>
      </w:r>
    </w:p>
    <w:p>
      <w:pPr>
        <w:spacing w:after="0" w:line="225" w:lineRule="exact"/>
        <w:rPr>
          <w:rFonts w:ascii="Arial" w:cs="Arial" w:eastAsia="Arial" w:hAnsi="Arial"/>
          <w:sz w:val="17"/>
          <w:szCs w:val="17"/>
          <w:color w:val="auto"/>
        </w:rPr>
      </w:pPr>
    </w:p>
    <w:p>
      <w:pPr>
        <w:ind w:left="1300" w:right="100" w:hanging="644"/>
        <w:spacing w:after="0" w:line="264"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Except for currency forwards, options over exchange rates, interest rate swaps and the certificate indexed of Citigroup, as indicated in note 20(d), and 11(a), the Group does not enter into other agreements, generally described as derivative transactions. The Group records these derivatives in the consolidated balance sheets at their fair market value.</w:t>
      </w:r>
    </w:p>
    <w:p>
      <w:pPr>
        <w:spacing w:after="0" w:line="23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Based in the aforementioned analysis, as of December 31, 2006 and 2005, the management of the Group considers that book values of the financial instruments do not differ significantly from their estimated market value.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83" w:lineRule="exact"/>
        <w:rPr>
          <w:rFonts w:ascii="Arial" w:cs="Arial" w:eastAsia="Arial" w:hAnsi="Arial"/>
          <w:sz w:val="18"/>
          <w:szCs w:val="18"/>
          <w:b w:val="1"/>
          <w:bCs w:val="1"/>
          <w:color w:val="auto"/>
        </w:rPr>
      </w:pPr>
    </w:p>
    <w:p>
      <w:pPr>
        <w:jc w:val="both"/>
        <w:ind w:left="1300" w:right="220" w:hanging="644"/>
        <w:spacing w:after="0" w:line="302" w:lineRule="auto"/>
        <w:tabs>
          <w:tab w:leader="none" w:pos="130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consolidated financial statements of the Group as of December 31, 2006 and 2005 include the transactions with related parties of the companies mentioned in note 3(b). For its 2006 and 2005 financial statements, the Group defines related parties as related companies, the Board of Directors, the Group’s key executives (defined as the management of Credicorp’s Holding) and enterprises which are controlled by these individuals through their majority shareholding or their role as chairman or CEO in those companies.</w:t>
      </w:r>
    </w:p>
    <w:p>
      <w:pPr>
        <w:spacing w:after="0" w:line="208" w:lineRule="exact"/>
        <w:rPr>
          <w:rFonts w:ascii="Arial" w:cs="Arial" w:eastAsia="Arial" w:hAnsi="Arial"/>
          <w:sz w:val="16"/>
          <w:szCs w:val="16"/>
          <w:color w:val="auto"/>
        </w:rPr>
      </w:pPr>
    </w:p>
    <w:p>
      <w:pPr>
        <w:ind w:left="1300" w:hanging="644"/>
        <w:spacing w:after="0"/>
        <w:tabs>
          <w:tab w:leader="none" w:pos="1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companies as of December 31, 2006 and 2005: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4"/>
          </w:tcPr>
          <w:p>
            <w:pPr>
              <w:ind w:left="760"/>
              <w:spacing w:after="0"/>
              <w:rPr>
                <w:sz w:val="20"/>
                <w:szCs w:val="20"/>
                <w:color w:val="auto"/>
              </w:rPr>
            </w:pPr>
            <w:r>
              <w:rPr>
                <w:rFonts w:ascii="Arial" w:cs="Arial" w:eastAsia="Arial" w:hAnsi="Arial"/>
                <w:sz w:val="18"/>
                <w:szCs w:val="18"/>
                <w:b w:val="1"/>
                <w:bCs w:val="1"/>
                <w:color w:val="auto"/>
              </w:rPr>
              <w:t>Related companies</w:t>
            </w:r>
          </w:p>
        </w:tc>
      </w:tr>
      <w:tr>
        <w:trPr>
          <w:trHeight w:val="264"/>
        </w:trPr>
        <w:tc>
          <w:tcPr>
            <w:tcW w:w="83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70,636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Unrealized gain from investments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34,226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23,393</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 por sale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27,899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21,815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Deposits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25,074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21,305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Contingent operations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13,925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8,379</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Interest income related to loans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Derivatives (market value)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546</w:t>
            </w:r>
          </w:p>
        </w:tc>
      </w:tr>
    </w:tbl>
    <w:p>
      <w:pPr>
        <w:spacing w:after="0" w:line="256" w:lineRule="exact"/>
        <w:rPr>
          <w:sz w:val="20"/>
          <w:szCs w:val="20"/>
          <w:color w:val="auto"/>
        </w:rPr>
      </w:pPr>
    </w:p>
    <w:p>
      <w:pPr>
        <w:jc w:val="both"/>
        <w:ind w:left="1300" w:right="280" w:hanging="644"/>
        <w:spacing w:after="0" w:line="288" w:lineRule="auto"/>
        <w:tabs>
          <w:tab w:leader="none" w:pos="13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loans, contingent operations and derivative contracts with related parties are made in accordance with the normal market conditions available to other customers. Outstanding loans balances at the year-end are granted by collaterals given by the related part. The loans to related companies as of December 31, 2006 had a maturity between January 2007 and August 2012 and an accrued interest average of</w:t>
      </w:r>
    </w:p>
    <w:p>
      <w:pPr>
        <w:ind w:left="1300" w:right="180"/>
        <w:spacing w:after="0" w:line="255" w:lineRule="auto"/>
        <w:rPr>
          <w:rFonts w:ascii="Arial" w:cs="Arial" w:eastAsia="Arial" w:hAnsi="Arial"/>
          <w:sz w:val="16"/>
          <w:szCs w:val="16"/>
          <w:color w:val="auto"/>
        </w:rPr>
      </w:pPr>
      <w:r>
        <w:rPr>
          <w:rFonts w:ascii="Arial" w:cs="Arial" w:eastAsia="Arial" w:hAnsi="Arial"/>
          <w:sz w:val="18"/>
          <w:szCs w:val="18"/>
          <w:color w:val="auto"/>
        </w:rPr>
        <w:t>7.71%. As of December 31, 2006, the provision for doubtful debts due to related parties amounts to US$0.1 million (US$1.4 million as of December 31, 2005). This amount is established based on an assessment performed on a continuous basis in the financial position of the related party and the market where it operates.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140" w:hanging="644"/>
        <w:spacing w:after="0" w:line="276" w:lineRule="auto"/>
        <w:tabs>
          <w:tab w:leader="none" w:pos="13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As of December 31, 2006 and 2005, directors, officers and employees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2006 and 2005, direct loans to employees, directors and key management amounts to US$59.5 and US$25.1 million, respectively and are paid monthly during their loan enforce and earn interest at similar market rates for these loans.</w:t>
      </w:r>
    </w:p>
    <w:p>
      <w:pPr>
        <w:spacing w:after="0" w:line="226" w:lineRule="exact"/>
        <w:rPr>
          <w:rFonts w:ascii="Arial" w:cs="Arial" w:eastAsia="Arial" w:hAnsi="Arial"/>
          <w:sz w:val="17"/>
          <w:szCs w:val="17"/>
          <w:color w:val="auto"/>
        </w:rPr>
      </w:pPr>
    </w:p>
    <w:p>
      <w:pPr>
        <w:ind w:left="1300" w:right="80"/>
        <w:spacing w:after="0" w:line="277" w:lineRule="auto"/>
        <w:rPr>
          <w:rFonts w:ascii="Arial" w:cs="Arial" w:eastAsia="Arial" w:hAnsi="Arial"/>
          <w:sz w:val="17"/>
          <w:szCs w:val="17"/>
          <w:color w:val="auto"/>
        </w:rPr>
      </w:pPr>
      <w:r>
        <w:rPr>
          <w:rFonts w:ascii="Arial" w:cs="Arial" w:eastAsia="Arial" w:hAnsi="Arial"/>
          <w:sz w:val="18"/>
          <w:szCs w:val="18"/>
          <w:color w:val="auto"/>
        </w:rPr>
        <w:t>The Group does not maintain loans to the directors and key personnel which are guaranteed with shares of Credicorp or other companies of the Group.</w:t>
      </w:r>
    </w:p>
    <w:p>
      <w:pPr>
        <w:spacing w:after="0" w:line="224" w:lineRule="exact"/>
        <w:rPr>
          <w:rFonts w:ascii="Arial" w:cs="Arial" w:eastAsia="Arial" w:hAnsi="Arial"/>
          <w:sz w:val="17"/>
          <w:szCs w:val="17"/>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Group key executives compensation as of December 31, 2006 and 2005, comprises the following captions: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 note 19</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23,206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Salaries</w:t>
            </w:r>
          </w:p>
        </w:tc>
        <w:tc>
          <w:tcPr>
            <w:tcW w:w="1380" w:type="dxa"/>
            <w:vAlign w:val="bottom"/>
          </w:tcPr>
          <w:p>
            <w:pPr>
              <w:jc w:val="right"/>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1,115</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36,165</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14,941</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key executives compensation comprises all the payments received by them, including the taxes assumed by the Group.</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differences between International Financial Reporting Standards and United States Generally Accepted Accounting Principles</w:t>
      </w:r>
    </w:p>
    <w:p>
      <w:pPr>
        <w:spacing w:after="0" w:line="306" w:lineRule="exact"/>
        <w:rPr>
          <w:rFonts w:ascii="Arial" w:cs="Arial" w:eastAsia="Arial" w:hAnsi="Arial"/>
          <w:sz w:val="16"/>
          <w:szCs w:val="16"/>
          <w:b w:val="1"/>
          <w:bCs w:val="1"/>
          <w:color w:val="auto"/>
        </w:rPr>
      </w:pPr>
    </w:p>
    <w:p>
      <w:pPr>
        <w:ind w:left="660" w:right="5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The accompanying consolidated financial statements are prepared in accordance with International Financial Reporting Standards (IFRS). A description of the significant differences between IFRS and U.S. generally accepted accounting principles (U.S. GAAP) are as follows:</w:t>
      </w:r>
    </w:p>
    <w:p>
      <w:pPr>
        <w:spacing w:after="0" w:line="177" w:lineRule="exact"/>
        <w:rPr>
          <w:rFonts w:ascii="Arial" w:cs="Arial" w:eastAsia="Arial" w:hAnsi="Arial"/>
          <w:sz w:val="16"/>
          <w:szCs w:val="16"/>
          <w:b w:val="1"/>
          <w:bCs w:val="1"/>
          <w:color w:val="auto"/>
        </w:rPr>
      </w:pPr>
    </w:p>
    <w:p>
      <w:pPr>
        <w:ind w:left="980" w:hanging="486"/>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Allowance for credit losses -</w:t>
      </w:r>
    </w:p>
    <w:p>
      <w:pPr>
        <w:spacing w:after="0" w:line="279" w:lineRule="exact"/>
        <w:rPr>
          <w:rFonts w:ascii="Arial" w:cs="Arial" w:eastAsia="Arial" w:hAnsi="Arial"/>
          <w:sz w:val="18"/>
          <w:szCs w:val="18"/>
          <w:color w:val="auto"/>
        </w:rPr>
      </w:pPr>
    </w:p>
    <w:p>
      <w:pPr>
        <w:ind w:left="980" w:right="20"/>
        <w:spacing w:after="0" w:line="312" w:lineRule="auto"/>
        <w:rPr>
          <w:rFonts w:ascii="Arial" w:cs="Arial" w:eastAsia="Arial" w:hAnsi="Arial"/>
          <w:sz w:val="18"/>
          <w:szCs w:val="18"/>
          <w:color w:val="auto"/>
        </w:rPr>
      </w:pPr>
      <w:r>
        <w:rPr>
          <w:rFonts w:ascii="Arial" w:cs="Arial" w:eastAsia="Arial" w:hAnsi="Arial"/>
          <w:sz w:val="16"/>
          <w:szCs w:val="16"/>
          <w:color w:val="auto"/>
        </w:rPr>
        <w:t>Management believes that there is no significant difference between the amount of the allowance for credit losses provided under IFRS and the required allowance that would be provided under U.S. GAAP. Management believes that the allowance for credit losses was adequate at December 31, 2006 and 2005 to cover any known losses and any losses that have not been specifically identified in the loan portfolio.</w:t>
      </w: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Investments in debt and equity securities -</w:t>
      </w:r>
    </w:p>
    <w:p>
      <w:pPr>
        <w:spacing w:after="0" w:line="279" w:lineRule="exact"/>
        <w:rPr>
          <w:rFonts w:ascii="Arial" w:cs="Arial" w:eastAsia="Arial" w:hAnsi="Arial"/>
          <w:sz w:val="18"/>
          <w:szCs w:val="18"/>
          <w:color w:val="auto"/>
        </w:rPr>
      </w:pPr>
    </w:p>
    <w:p>
      <w:pPr>
        <w:ind w:left="980" w:right="80"/>
        <w:spacing w:after="0" w:line="342" w:lineRule="auto"/>
        <w:rPr>
          <w:rFonts w:ascii="Arial" w:cs="Arial" w:eastAsia="Arial" w:hAnsi="Arial"/>
          <w:sz w:val="18"/>
          <w:szCs w:val="18"/>
          <w:color w:val="auto"/>
        </w:rPr>
      </w:pPr>
      <w:r>
        <w:rPr>
          <w:rFonts w:ascii="Arial" w:cs="Arial" w:eastAsia="Arial" w:hAnsi="Arial"/>
          <w:sz w:val="16"/>
          <w:szCs w:val="16"/>
          <w:color w:val="auto"/>
        </w:rPr>
        <w:t>The Group applied IAS 39 “Financial Instruments: Recognition and Measurement” to record its investments in debt and equity securities. The accounting treatment established by IAS 39 is similar to that required by SFAS 115, except as mentioned in paragraph (c) below.</w:t>
      </w:r>
    </w:p>
    <w:p>
      <w:pPr>
        <w:spacing w:after="0" w:line="177" w:lineRule="exact"/>
        <w:rPr>
          <w:rFonts w:ascii="Arial" w:cs="Arial" w:eastAsia="Arial" w:hAnsi="Arial"/>
          <w:sz w:val="18"/>
          <w:szCs w:val="18"/>
          <w:color w:val="auto"/>
        </w:rPr>
      </w:pPr>
    </w:p>
    <w:p>
      <w:pPr>
        <w:ind w:left="980"/>
        <w:spacing w:after="0" w:line="308" w:lineRule="auto"/>
        <w:rPr>
          <w:rFonts w:ascii="Arial" w:cs="Arial" w:eastAsia="Arial" w:hAnsi="Arial"/>
          <w:sz w:val="18"/>
          <w:szCs w:val="18"/>
          <w:color w:val="auto"/>
        </w:rPr>
      </w:pPr>
      <w:r>
        <w:rPr>
          <w:rFonts w:ascii="Arial" w:cs="Arial" w:eastAsia="Arial" w:hAnsi="Arial"/>
          <w:sz w:val="17"/>
          <w:szCs w:val="17"/>
          <w:color w:val="auto"/>
        </w:rPr>
        <w:t>The reconciling items included in paragraph (i) for the years 2006, 2005 and 2004 correspond to the reclassification of the unrealized gains and losses related to investments that are available-for-sale from “Other reserves” to “Other Comprehensive Income”.</w:t>
      </w: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Foreign exchange differences on available-for-sale debt securities -</w:t>
      </w:r>
    </w:p>
    <w:p>
      <w:pPr>
        <w:spacing w:after="0" w:line="279" w:lineRule="exact"/>
        <w:rPr>
          <w:rFonts w:ascii="Arial" w:cs="Arial" w:eastAsia="Arial" w:hAnsi="Arial"/>
          <w:sz w:val="18"/>
          <w:szCs w:val="18"/>
          <w:color w:val="auto"/>
        </w:rPr>
      </w:pPr>
    </w:p>
    <w:p>
      <w:pPr>
        <w:ind w:left="980" w:right="240"/>
        <w:spacing w:after="0" w:line="277" w:lineRule="auto"/>
        <w:rPr>
          <w:rFonts w:ascii="Arial" w:cs="Arial" w:eastAsia="Arial" w:hAnsi="Arial"/>
          <w:sz w:val="18"/>
          <w:szCs w:val="18"/>
          <w:color w:val="auto"/>
        </w:rPr>
      </w:pPr>
      <w:r>
        <w:rPr>
          <w:rFonts w:ascii="Arial" w:cs="Arial" w:eastAsia="Arial" w:hAnsi="Arial"/>
          <w:sz w:val="18"/>
          <w:szCs w:val="18"/>
          <w:color w:val="auto"/>
        </w:rPr>
        <w:t>Under IFRS, IAS 39 established that the exchange differences related to the amortized cost of all financial instruments categories, including available-for-sale debt securities, must be recorded in the income statement.</w:t>
      </w:r>
    </w:p>
    <w:p>
      <w:pPr>
        <w:spacing w:after="0" w:line="224" w:lineRule="exact"/>
        <w:rPr>
          <w:rFonts w:ascii="Arial" w:cs="Arial" w:eastAsia="Arial" w:hAnsi="Arial"/>
          <w:sz w:val="18"/>
          <w:szCs w:val="18"/>
          <w:color w:val="auto"/>
        </w:rPr>
      </w:pPr>
    </w:p>
    <w:p>
      <w:pPr>
        <w:jc w:val="both"/>
        <w:ind w:left="980" w:right="180"/>
        <w:spacing w:after="0" w:line="264" w:lineRule="auto"/>
        <w:rPr>
          <w:rFonts w:ascii="Arial" w:cs="Arial" w:eastAsia="Arial" w:hAnsi="Arial"/>
          <w:sz w:val="18"/>
          <w:szCs w:val="18"/>
          <w:color w:val="auto"/>
        </w:rPr>
      </w:pPr>
      <w:r>
        <w:rPr>
          <w:rFonts w:ascii="Arial" w:cs="Arial" w:eastAsia="Arial" w:hAnsi="Arial"/>
          <w:sz w:val="18"/>
          <w:szCs w:val="18"/>
          <w:color w:val="auto"/>
        </w:rPr>
        <w:t>Under U.S. GAAP, EITF 96-15 , established that the change in the fair value of available-for-sale debt instruments due to changes in foreign currency exchange rates (including those related to the amortized cost) are carried in shareholder’s equity (other comprehensive income) and transferred to income upon sale or maturity of the instrument.</w:t>
      </w:r>
    </w:p>
    <w:p>
      <w:pPr>
        <w:spacing w:after="0" w:line="235" w:lineRule="exact"/>
        <w:rPr>
          <w:rFonts w:ascii="Arial" w:cs="Arial" w:eastAsia="Arial" w:hAnsi="Arial"/>
          <w:sz w:val="18"/>
          <w:szCs w:val="18"/>
          <w:color w:val="auto"/>
        </w:rPr>
      </w:pPr>
    </w:p>
    <w:p>
      <w:pPr>
        <w:ind w:left="980" w:right="20"/>
        <w:spacing w:after="0" w:line="264" w:lineRule="auto"/>
        <w:rPr>
          <w:rFonts w:ascii="Arial" w:cs="Arial" w:eastAsia="Arial" w:hAnsi="Arial"/>
          <w:sz w:val="18"/>
          <w:szCs w:val="18"/>
          <w:color w:val="auto"/>
        </w:rPr>
      </w:pPr>
      <w:r>
        <w:rPr>
          <w:rFonts w:ascii="Arial" w:cs="Arial" w:eastAsia="Arial" w:hAnsi="Arial"/>
          <w:sz w:val="18"/>
          <w:szCs w:val="18"/>
          <w:color w:val="auto"/>
        </w:rPr>
        <w:t>Until December 31, 2005, the Group did not consider this difference in its reconciliation from IFRS to U.S. GAAP. As result, the statements of “Income” and “Other Comprehensive income” for the years 2004 and 2005 below have been restated to present this difference, as shown in paragraphs (g), (h) and (i) below. This difference does not have any effect in shareholders’ equity.</w:t>
      </w:r>
    </w:p>
    <w:p>
      <w:pPr>
        <w:spacing w:after="0" w:line="235" w:lineRule="exact"/>
        <w:rPr>
          <w:sz w:val="20"/>
          <w:szCs w:val="20"/>
          <w:color w:val="auto"/>
        </w:rPr>
      </w:pPr>
    </w:p>
    <w:p>
      <w:pPr>
        <w:ind w:left="980" w:right="720"/>
        <w:spacing w:after="0" w:line="342" w:lineRule="auto"/>
        <w:rPr>
          <w:sz w:val="20"/>
          <w:szCs w:val="20"/>
          <w:color w:val="auto"/>
        </w:rPr>
      </w:pPr>
      <w:r>
        <w:rPr>
          <w:rFonts w:ascii="Arial" w:cs="Arial" w:eastAsia="Arial" w:hAnsi="Arial"/>
          <w:sz w:val="16"/>
          <w:szCs w:val="16"/>
          <w:color w:val="auto"/>
        </w:rPr>
        <w:t>In addition, the Group has determined that due to the exchange difference loss for the year 2005, there was an “Other-than-temporary impairment” on such investments of US$8,912. This amount has been included in the reconciliation adjustment in 2005.</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02" w:right="35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adjustment affects the caption “Translation Result” in the consolidated income statement prepared in accordance with IFRS.</w:t>
      </w:r>
    </w:p>
    <w:p>
      <w:pPr>
        <w:spacing w:after="0" w:line="279" w:lineRule="exact"/>
        <w:rPr>
          <w:sz w:val="20"/>
          <w:szCs w:val="20"/>
          <w:color w:val="auto"/>
        </w:rPr>
      </w:pPr>
    </w:p>
    <w:p>
      <w:pPr>
        <w:ind w:left="980" w:hanging="486"/>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Amortization of goodwill -</w:t>
      </w:r>
    </w:p>
    <w:p>
      <w:pPr>
        <w:spacing w:after="0" w:line="279" w:lineRule="exact"/>
        <w:rPr>
          <w:rFonts w:ascii="Arial" w:cs="Arial" w:eastAsia="Arial" w:hAnsi="Arial"/>
          <w:sz w:val="18"/>
          <w:szCs w:val="18"/>
          <w:color w:val="auto"/>
        </w:rPr>
      </w:pPr>
    </w:p>
    <w:p>
      <w:pPr>
        <w:ind w:left="980" w:right="260"/>
        <w:spacing w:after="0" w:line="263" w:lineRule="auto"/>
        <w:rPr>
          <w:rFonts w:ascii="Arial" w:cs="Arial" w:eastAsia="Arial" w:hAnsi="Arial"/>
          <w:sz w:val="18"/>
          <w:szCs w:val="18"/>
          <w:color w:val="auto"/>
        </w:rPr>
      </w:pPr>
      <w:r>
        <w:rPr>
          <w:rFonts w:ascii="Arial" w:cs="Arial" w:eastAsia="Arial" w:hAnsi="Arial"/>
          <w:sz w:val="16"/>
          <w:szCs w:val="16"/>
          <w:color w:val="auto"/>
        </w:rPr>
        <w:t>Since March 2004, Credicorp has adopted IFRS 3, “Business Combinations”; as a result the goodwill recorded has been amortized until December 31, 2004. In accordance with the disposals of IFRS 3, since January 1</w:t>
      </w:r>
      <w:r>
        <w:rPr>
          <w:rFonts w:ascii="Arial" w:cs="Arial" w:eastAsia="Arial" w:hAnsi="Arial"/>
          <w:sz w:val="26"/>
          <w:szCs w:val="26"/>
          <w:color w:val="auto"/>
          <w:vertAlign w:val="superscript"/>
        </w:rPr>
        <w:t>st</w:t>
      </w:r>
      <w:r>
        <w:rPr>
          <w:rFonts w:ascii="Arial" w:cs="Arial" w:eastAsia="Arial" w:hAnsi="Arial"/>
          <w:sz w:val="16"/>
          <w:szCs w:val="16"/>
          <w:color w:val="auto"/>
        </w:rPr>
        <w:t>, 2005, the Group has ceased the amortization of goodwill. The accumulated amortization as of December 31, 2004 has been eliminated with a corresponding decrease in the cost of goodwill.</w:t>
      </w:r>
    </w:p>
    <w:p>
      <w:pPr>
        <w:spacing w:after="0" w:line="227" w:lineRule="exact"/>
        <w:rPr>
          <w:rFonts w:ascii="Arial" w:cs="Arial" w:eastAsia="Arial" w:hAnsi="Arial"/>
          <w:sz w:val="18"/>
          <w:szCs w:val="18"/>
          <w:color w:val="auto"/>
        </w:rPr>
      </w:pPr>
    </w:p>
    <w:p>
      <w:pPr>
        <w:ind w:left="980" w:right="220"/>
        <w:spacing w:after="0" w:line="259" w:lineRule="auto"/>
        <w:rPr>
          <w:rFonts w:ascii="Arial" w:cs="Arial" w:eastAsia="Arial" w:hAnsi="Arial"/>
          <w:sz w:val="18"/>
          <w:szCs w:val="18"/>
          <w:color w:val="auto"/>
        </w:rPr>
      </w:pPr>
      <w:r>
        <w:rPr>
          <w:rFonts w:ascii="Arial" w:cs="Arial" w:eastAsia="Arial" w:hAnsi="Arial"/>
          <w:sz w:val="18"/>
          <w:szCs w:val="18"/>
          <w:color w:val="auto"/>
        </w:rPr>
        <w:t>SFAS 142, “Goodwill and Other Intangibles” establishes that the goodwill should be assigned to a reporting unit, which is defined as an operating unit or a component of an operating unit. Also, the goodwill is not subject to amortization since December 31, 2001, and should be tested for impairment at least annually. In this respect, the Group made the analysis and evaluation of the impairment of goodwill as of December 31, 2006 and 2005, and no impairment loss was required.</w:t>
      </w:r>
    </w:p>
    <w:p>
      <w:pPr>
        <w:spacing w:after="0" w:line="240" w:lineRule="exact"/>
        <w:rPr>
          <w:rFonts w:ascii="Arial" w:cs="Arial" w:eastAsia="Arial" w:hAnsi="Arial"/>
          <w:sz w:val="18"/>
          <w:szCs w:val="18"/>
          <w:color w:val="auto"/>
        </w:rPr>
      </w:pPr>
    </w:p>
    <w:p>
      <w:pPr>
        <w:ind w:left="980" w:hanging="486"/>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Income taxes -</w:t>
      </w:r>
    </w:p>
    <w:p>
      <w:pPr>
        <w:spacing w:after="0" w:line="279" w:lineRule="exact"/>
        <w:rPr>
          <w:rFonts w:ascii="Arial" w:cs="Arial" w:eastAsia="Arial" w:hAnsi="Arial"/>
          <w:sz w:val="18"/>
          <w:szCs w:val="18"/>
          <w:color w:val="auto"/>
        </w:rPr>
      </w:pPr>
    </w:p>
    <w:p>
      <w:pPr>
        <w:ind w:left="980" w:right="240"/>
        <w:spacing w:after="0" w:line="264" w:lineRule="auto"/>
        <w:rPr>
          <w:rFonts w:ascii="Arial" w:cs="Arial" w:eastAsia="Arial" w:hAnsi="Arial"/>
          <w:sz w:val="18"/>
          <w:szCs w:val="18"/>
          <w:color w:val="auto"/>
        </w:rPr>
      </w:pPr>
      <w:r>
        <w:rPr>
          <w:rFonts w:ascii="Arial" w:cs="Arial" w:eastAsia="Arial" w:hAnsi="Arial"/>
          <w:sz w:val="18"/>
          <w:szCs w:val="18"/>
          <w:color w:val="auto"/>
        </w:rPr>
        <w:t>As mentioned in Note 3 (r), income tax is recorded in accordance with IAS 12, “Income Taxes”, which, among other provisions, requires the recognition of deferred taxes on the translation differences arising in the remeasured of assets and liabilities from local currency into the functional currency.</w:t>
      </w:r>
    </w:p>
    <w:p>
      <w:pPr>
        <w:spacing w:after="0" w:line="235" w:lineRule="exact"/>
        <w:rPr>
          <w:rFonts w:ascii="Arial" w:cs="Arial" w:eastAsia="Arial" w:hAnsi="Arial"/>
          <w:sz w:val="18"/>
          <w:szCs w:val="18"/>
          <w:color w:val="auto"/>
        </w:rPr>
      </w:pPr>
    </w:p>
    <w:p>
      <w:pPr>
        <w:ind w:left="980" w:right="200"/>
        <w:spacing w:after="0" w:line="264" w:lineRule="auto"/>
        <w:rPr>
          <w:rFonts w:ascii="Arial" w:cs="Arial" w:eastAsia="Arial" w:hAnsi="Arial"/>
          <w:sz w:val="18"/>
          <w:szCs w:val="18"/>
          <w:color w:val="auto"/>
        </w:rPr>
      </w:pPr>
      <w:r>
        <w:rPr>
          <w:rFonts w:ascii="Arial" w:cs="Arial" w:eastAsia="Arial" w:hAnsi="Arial"/>
          <w:sz w:val="18"/>
          <w:szCs w:val="18"/>
          <w:color w:val="auto"/>
        </w:rPr>
        <w:t>Under U.S. GAAP, the Company follows the guidelines established in SFAS 109 “Accounting for Income Taxes”. This statement does not permit recognition of deferred taxes for differences related to assets and liabilities that are remeasured from local currency into the functional currency resulting from changes in exchange rates.</w:t>
      </w:r>
    </w:p>
    <w:p>
      <w:pPr>
        <w:spacing w:after="0" w:line="235" w:lineRule="exact"/>
        <w:rPr>
          <w:rFonts w:ascii="Arial" w:cs="Arial" w:eastAsia="Arial" w:hAnsi="Arial"/>
          <w:sz w:val="18"/>
          <w:szCs w:val="18"/>
          <w:color w:val="auto"/>
        </w:rPr>
      </w:pPr>
    </w:p>
    <w:p>
      <w:pPr>
        <w:ind w:left="980"/>
        <w:spacing w:after="0" w:line="279" w:lineRule="auto"/>
        <w:rPr>
          <w:rFonts w:ascii="Arial" w:cs="Arial" w:eastAsia="Arial" w:hAnsi="Arial"/>
          <w:sz w:val="18"/>
          <w:szCs w:val="18"/>
          <w:color w:val="auto"/>
        </w:rPr>
      </w:pPr>
      <w:r>
        <w:rPr>
          <w:rFonts w:ascii="Arial" w:cs="Arial" w:eastAsia="Arial" w:hAnsi="Arial"/>
          <w:sz w:val="17"/>
          <w:szCs w:val="17"/>
          <w:color w:val="auto"/>
        </w:rPr>
        <w:t>In prior years, the differences for this matter between IFRS and U.S. GAAP calculations have been immaterial; hence no reconciliation item has been reported for 2004 and 2005. Due to the variation in this difference during 2006, the Group has incorporated it in the reconciliation between IFRS and U.S. GAAP figures in 2006, the amount of this difference is US$5.1 millions as of December 31, 2006. This item is presented to reconcile the net income and the shareholder’s equity in paragraphs (g) and (h) below.</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Minority interest -</w:t>
      </w:r>
    </w:p>
    <w:p>
      <w:pPr>
        <w:spacing w:after="0" w:line="2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Under U.S. GAAP, shareholder’s equity and net income is made up only of the equity portion attributed to equity holders of the Parent.</w:t>
      </w:r>
    </w:p>
    <w:p>
      <w:pPr>
        <w:spacing w:after="0" w:line="290" w:lineRule="exact"/>
        <w:rPr>
          <w:rFonts w:ascii="Arial" w:cs="Arial" w:eastAsia="Arial" w:hAnsi="Arial"/>
          <w:sz w:val="18"/>
          <w:szCs w:val="18"/>
          <w:color w:val="auto"/>
        </w:rPr>
      </w:pPr>
    </w:p>
    <w:p>
      <w:pPr>
        <w:ind w:left="980" w:right="240"/>
        <w:spacing w:after="0" w:line="259" w:lineRule="auto"/>
        <w:rPr>
          <w:rFonts w:ascii="Arial" w:cs="Arial" w:eastAsia="Arial" w:hAnsi="Arial"/>
          <w:sz w:val="18"/>
          <w:szCs w:val="18"/>
          <w:color w:val="auto"/>
        </w:rPr>
      </w:pPr>
      <w:r>
        <w:rPr>
          <w:rFonts w:ascii="Arial" w:cs="Arial" w:eastAsia="Arial" w:hAnsi="Arial"/>
          <w:sz w:val="18"/>
          <w:szCs w:val="18"/>
          <w:color w:val="auto"/>
        </w:rPr>
        <w:t>However, under IFRS equity and net income includes the equity and net income corresponding to the shareholders of both the Parent and the minority interests. Therefore, there is an adjustment to exclude the Minority Interests portion of shareholder’s equity and net income, see paragraphs g) and h). The adjustment included in the income statement and shareholder’s equity reconciliation, also include the effect of minority interest on other U.S. GAAP adjustments.</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Summary of significant adjustments to net income -</w:t>
      </w:r>
    </w:p>
    <w:p>
      <w:pPr>
        <w:spacing w:after="0" w:line="279" w:lineRule="exact"/>
        <w:rPr>
          <w:rFonts w:ascii="Arial" w:cs="Arial" w:eastAsia="Arial" w:hAnsi="Arial"/>
          <w:sz w:val="18"/>
          <w:szCs w:val="18"/>
          <w:color w:val="auto"/>
        </w:rPr>
      </w:pPr>
    </w:p>
    <w:p>
      <w:pPr>
        <w:ind w:left="980" w:right="520"/>
        <w:spacing w:after="0" w:line="277" w:lineRule="auto"/>
        <w:rPr>
          <w:rFonts w:ascii="Arial" w:cs="Arial" w:eastAsia="Arial" w:hAnsi="Arial"/>
          <w:sz w:val="18"/>
          <w:szCs w:val="18"/>
          <w:color w:val="auto"/>
        </w:rPr>
      </w:pPr>
      <w:r>
        <w:rPr>
          <w:rFonts w:ascii="Arial" w:cs="Arial" w:eastAsia="Arial" w:hAnsi="Arial"/>
          <w:sz w:val="18"/>
          <w:szCs w:val="18"/>
          <w:color w:val="auto"/>
        </w:rPr>
        <w:t>The significant adjustments that would be required to determine the net income of the Group under U.S. GAAP instead of under IFRS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For the year ended 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in accordance with IFRS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247,265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194,853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Additions (deductions) reported:</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Foreign exchange differences on available-for-sale debt securities (c)</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(55,155)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Income taxes (e)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(5,129)</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Reversal of amortization of goodwill (d)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 (f)</w:t>
            </w: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(11,957)</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(12,968)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in accordance with U.S. GAAP, as previously reported</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175,024</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135,600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Foreign exchange differences on available-for-sale debt securities, net of impairment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US$8,912 in 2005 (c)</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53,293</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(5,055)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income in accordance with U.S. GAAP, as restated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175,024</w:t>
            </w:r>
          </w:p>
        </w:tc>
        <w:tc>
          <w:tcPr>
            <w:tcW w:w="1380" w:type="dxa"/>
            <w:vAlign w:val="bottom"/>
          </w:tcPr>
          <w:p>
            <w:pPr>
              <w:jc w:val="right"/>
              <w:spacing w:after="0"/>
              <w:rPr>
                <w:sz w:val="20"/>
                <w:szCs w:val="20"/>
                <w:color w:val="auto"/>
              </w:rPr>
            </w:pPr>
            <w:r>
              <w:rPr>
                <w:rFonts w:ascii="Arial" w:cs="Arial" w:eastAsia="Arial" w:hAnsi="Arial"/>
                <w:sz w:val="18"/>
                <w:szCs w:val="18"/>
                <w:color w:val="auto"/>
              </w:rPr>
              <w:t>230,123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7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w w:val="93"/>
              </w:rPr>
              <w:t>Net income per share in accordance with U.S. GAAP based on weighted average number</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of shares issued and outstanding, as previously reported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Net income per share in accordance with U.S. GAAP based on weighted average number</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shares issued and outstanding, as restated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number of outstanding shares issued and outstanding, excluding</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treasury stock (in thousands of shares)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79,761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79,758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20" w:type="dxa"/>
            <w:vAlign w:val="bottom"/>
          </w:tcPr>
          <w:p>
            <w:pPr>
              <w:ind w:left="5520"/>
              <w:spacing w:after="0"/>
              <w:rPr>
                <w:sz w:val="20"/>
                <w:szCs w:val="20"/>
                <w:color w:val="auto"/>
              </w:rPr>
            </w:pPr>
            <w:r>
              <w:rPr>
                <w:rFonts w:ascii="Arial" w:cs="Arial" w:eastAsia="Arial" w:hAnsi="Arial"/>
                <w:sz w:val="18"/>
                <w:szCs w:val="18"/>
                <w:color w:val="auto"/>
              </w:rPr>
              <w:t>F-87</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Summary of significant adjustments to shareholders’ equity -</w:t>
      </w:r>
    </w:p>
    <w:p>
      <w:pPr>
        <w:spacing w:after="0" w:line="279" w:lineRule="exact"/>
        <w:rPr>
          <w:rFonts w:ascii="Arial" w:cs="Arial" w:eastAsia="Arial" w:hAnsi="Arial"/>
          <w:sz w:val="18"/>
          <w:szCs w:val="18"/>
          <w:color w:val="auto"/>
        </w:rPr>
      </w:pPr>
    </w:p>
    <w:p>
      <w:pPr>
        <w:ind w:left="980" w:right="160"/>
        <w:spacing w:after="0" w:line="277" w:lineRule="auto"/>
        <w:rPr>
          <w:rFonts w:ascii="Arial" w:cs="Arial" w:eastAsia="Arial" w:hAnsi="Arial"/>
          <w:sz w:val="18"/>
          <w:szCs w:val="18"/>
          <w:color w:val="auto"/>
        </w:rPr>
      </w:pPr>
      <w:r>
        <w:rPr>
          <w:rFonts w:ascii="Arial" w:cs="Arial" w:eastAsia="Arial" w:hAnsi="Arial"/>
          <w:sz w:val="18"/>
          <w:szCs w:val="18"/>
          <w:color w:val="auto"/>
        </w:rPr>
        <w:t>A summary of the significant adjustments that would be required to determine the shareholders’ equity of the Group under U.S. GAAP instead of under IFRS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As of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2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Shareholders’ equity in accordance with IFRS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1,533,768</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1,291,955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(deductions):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 (f)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Income taxes, net of minority interest (e)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Reversal of amortization of goodwill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(136,946)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(101,515)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(85,253)</w:t>
            </w:r>
          </w:p>
        </w:tc>
      </w:tr>
      <w:tr>
        <w:trPr>
          <w:trHeight w:val="243"/>
        </w:trPr>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(4,987)</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-334010</wp:posOffset>
            </wp:positionV>
            <wp:extent cx="72466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0</wp:posOffset>
            </wp:positionV>
            <wp:extent cx="72466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402"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Shareholders’ equity in accordance with U.S. GAAP</w:t>
            </w:r>
          </w:p>
        </w:tc>
        <w:tc>
          <w:tcPr>
            <w:tcW w:w="1380" w:type="dxa"/>
            <w:vAlign w:val="bottom"/>
          </w:tcPr>
          <w:p>
            <w:pPr>
              <w:jc w:val="right"/>
              <w:spacing w:after="0"/>
              <w:rPr>
                <w:sz w:val="20"/>
                <w:szCs w:val="20"/>
                <w:color w:val="auto"/>
              </w:rPr>
            </w:pPr>
            <w:r>
              <w:rPr>
                <w:rFonts w:ascii="Arial" w:cs="Arial" w:eastAsia="Arial" w:hAnsi="Arial"/>
                <w:sz w:val="18"/>
                <w:szCs w:val="18"/>
                <w:color w:val="auto"/>
              </w:rPr>
              <w:t>1,403,944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1,202,549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1,077,306</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changes in shareholders’ equity of the Group under U.S. GAAP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For the year ended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2"/>
                <w:szCs w:val="22"/>
                <w:color w:val="auto"/>
              </w:rPr>
            </w:pPr>
          </w:p>
        </w:tc>
      </w:tr>
      <w:tr>
        <w:trPr>
          <w:trHeight w:val="237"/>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40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restated)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restated)</w:t>
            </w:r>
          </w:p>
        </w:tc>
      </w:tr>
      <w:tr>
        <w:trPr>
          <w:trHeight w:val="243"/>
        </w:trPr>
        <w:tc>
          <w:tcPr>
            <w:tcW w:w="40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January 1</w:t>
            </w:r>
          </w:p>
        </w:tc>
        <w:tc>
          <w:tcPr>
            <w:tcW w:w="4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1,202,549</w:t>
            </w:r>
          </w:p>
        </w:tc>
        <w:tc>
          <w:tcPr>
            <w:tcW w:w="1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1,077,306</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917,986</w:t>
            </w: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Cash dividends</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(87,738)</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(63,810)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(31,900)</w:t>
            </w: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Decrease in treasury stock</w:t>
            </w:r>
          </w:p>
        </w:tc>
        <w:tc>
          <w:tcPr>
            <w:tcW w:w="4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w:t>
            </w: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180" w:type="dxa"/>
            <w:vAlign w:val="bottom"/>
            <w:gridSpan w:val="3"/>
          </w:tcPr>
          <w:p>
            <w:pPr>
              <w:jc w:val="right"/>
              <w:ind w:right="120"/>
              <w:spacing w:after="0"/>
              <w:rPr>
                <w:sz w:val="20"/>
                <w:szCs w:val="20"/>
                <w:color w:val="auto"/>
              </w:rPr>
            </w:pPr>
            <w:r>
              <w:rPr>
                <w:rFonts w:ascii="Arial" w:cs="Arial" w:eastAsia="Arial" w:hAnsi="Arial"/>
                <w:sz w:val="18"/>
                <w:szCs w:val="18"/>
                <w:color w:val="auto"/>
              </w:rPr>
              <w:t>114,109</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(41,066)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68,527</w:t>
            </w: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Net income under U.S. GAAP (g)</w:t>
            </w:r>
          </w:p>
        </w:tc>
        <w:tc>
          <w:tcPr>
            <w:tcW w:w="4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175,024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230,123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122,454</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7"/>
        </w:trPr>
        <w:tc>
          <w:tcPr>
            <w:tcW w:w="4060" w:type="dxa"/>
            <w:vAlign w:val="bottom"/>
            <w:shd w:val="clear" w:color="auto" w:fill="CCFFCC"/>
          </w:tcPr>
          <w:p>
            <w:pPr>
              <w:spacing w:after="0"/>
              <w:rPr>
                <w:sz w:val="20"/>
                <w:szCs w:val="20"/>
                <w:color w:val="auto"/>
              </w:rPr>
            </w:pPr>
          </w:p>
        </w:tc>
        <w:tc>
          <w:tcPr>
            <w:tcW w:w="268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b w:val="1"/>
                <w:bCs w:val="1"/>
                <w:color w:val="auto"/>
              </w:rPr>
              <w:t>Balances as of December 31</w:t>
            </w:r>
          </w:p>
        </w:tc>
        <w:tc>
          <w:tcPr>
            <w:tcW w:w="26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1,202,549</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1,077,306</w:t>
            </w:r>
          </w:p>
        </w:tc>
        <w:tc>
          <w:tcPr>
            <w:tcW w:w="10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060" w:type="dxa"/>
            <w:vAlign w:val="bottom"/>
          </w:tcPr>
          <w:p>
            <w:pPr>
              <w:spacing w:after="0"/>
              <w:rPr>
                <w:sz w:val="24"/>
                <w:szCs w:val="24"/>
                <w:color w:val="auto"/>
              </w:rPr>
            </w:pPr>
          </w:p>
        </w:tc>
        <w:tc>
          <w:tcPr>
            <w:tcW w:w="4180" w:type="dxa"/>
            <w:vAlign w:val="bottom"/>
            <w:gridSpan w:val="3"/>
          </w:tcPr>
          <w:p>
            <w:pPr>
              <w:jc w:val="right"/>
              <w:ind w:right="2360"/>
              <w:spacing w:after="0"/>
              <w:rPr>
                <w:sz w:val="20"/>
                <w:szCs w:val="20"/>
                <w:color w:val="auto"/>
              </w:rPr>
            </w:pPr>
            <w:r>
              <w:rPr>
                <w:rFonts w:ascii="Arial" w:cs="Arial" w:eastAsia="Arial" w:hAnsi="Arial"/>
                <w:sz w:val="18"/>
                <w:szCs w:val="18"/>
                <w:color w:val="auto"/>
              </w:rPr>
              <w:t>F-88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06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500"/>
              <w:spacing w:after="0"/>
              <w:rPr>
                <w:sz w:val="20"/>
                <w:szCs w:val="20"/>
                <w:color w:val="auto"/>
              </w:rPr>
            </w:pPr>
            <w:r>
              <w:rPr>
                <w:rFonts w:ascii="Arial" w:cs="Arial" w:eastAsia="Arial" w:hAnsi="Arial"/>
                <w:sz w:val="18"/>
                <w:szCs w:val="18"/>
                <w:color w:val="auto"/>
              </w:rPr>
              <w:t>(i)</w:t>
            </w:r>
          </w:p>
        </w:tc>
        <w:tc>
          <w:tcPr>
            <w:tcW w:w="5900" w:type="dxa"/>
            <w:vAlign w:val="bottom"/>
          </w:tcPr>
          <w:p>
            <w:pPr>
              <w:ind w:left="140"/>
              <w:spacing w:after="0"/>
              <w:rPr>
                <w:sz w:val="20"/>
                <w:szCs w:val="20"/>
                <w:color w:val="auto"/>
              </w:rPr>
            </w:pPr>
            <w:r>
              <w:rPr>
                <w:rFonts w:ascii="Arial" w:cs="Arial" w:eastAsia="Arial" w:hAnsi="Arial"/>
                <w:sz w:val="18"/>
                <w:szCs w:val="18"/>
                <w:color w:val="auto"/>
              </w:rPr>
              <w:t>Other comprehensive income -</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91"/>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4"/>
                <w:szCs w:val="24"/>
                <w:color w:val="auto"/>
              </w:rPr>
            </w:pPr>
          </w:p>
        </w:tc>
      </w:tr>
      <w:tr>
        <w:trPr>
          <w:trHeight w:val="264"/>
        </w:trPr>
        <w:tc>
          <w:tcPr>
            <w:tcW w:w="8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70"/>
        </w:trPr>
        <w:tc>
          <w:tcPr>
            <w:tcW w:w="8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restated)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restated)</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in accordance with U.S.GAAP</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175,024</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230,123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122,454</w:t>
            </w:r>
          </w:p>
        </w:tc>
      </w:tr>
      <w:tr>
        <w:trPr>
          <w:trHeight w:val="270"/>
        </w:trPr>
        <w:tc>
          <w:tcPr>
            <w:tcW w:w="8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comprehensive income (loss)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2"/>
        </w:trPr>
        <w:tc>
          <w:tcPr>
            <w:tcW w:w="67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Unrealized (losses) gains arising during the period, net of tax and minority interest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5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85,372</w:t>
            </w:r>
          </w:p>
        </w:tc>
        <w:tc>
          <w:tcPr>
            <w:tcW w:w="2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(26,920)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70,942</w:t>
            </w:r>
          </w:p>
        </w:tc>
      </w:tr>
      <w:tr>
        <w:trPr>
          <w:trHeight w:val="243"/>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Transfer of realized losses (gains) to net income (**)</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27,421</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(15,768)</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(2,415)</w:t>
            </w:r>
          </w:p>
        </w:tc>
      </w:tr>
      <w:tr>
        <w:trPr>
          <w:trHeight w:val="270"/>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Net gain on cash flow hedge.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r>
      <w:tr>
        <w:trPr>
          <w:trHeight w:val="296"/>
        </w:trPr>
        <w:tc>
          <w:tcPr>
            <w:tcW w:w="840" w:type="dxa"/>
            <w:vAlign w:val="bottom"/>
            <w:tcBorders>
              <w:bottom w:val="single" w:sz="8" w:color="CCFFCC"/>
            </w:tcBorders>
            <w:shd w:val="clear" w:color="auto" w:fill="CCFFCC"/>
          </w:tcPr>
          <w:p>
            <w:pPr>
              <w:spacing w:after="0"/>
              <w:rPr>
                <w:sz w:val="24"/>
                <w:szCs w:val="24"/>
                <w:color w:val="auto"/>
              </w:rPr>
            </w:pPr>
          </w:p>
        </w:tc>
        <w:tc>
          <w:tcPr>
            <w:tcW w:w="590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114,109</w:t>
            </w:r>
          </w:p>
        </w:tc>
        <w:tc>
          <w:tcPr>
            <w:tcW w:w="240" w:type="dxa"/>
            <w:vAlign w:val="bottom"/>
            <w:tcBorders>
              <w:bottom w:val="single" w:sz="8" w:color="CCFFCC"/>
            </w:tcBorders>
            <w:shd w:val="clear" w:color="auto" w:fill="CCFFCC"/>
          </w:tcPr>
          <w:p>
            <w:pPr>
              <w:spacing w:after="0"/>
              <w:rPr>
                <w:sz w:val="24"/>
                <w:szCs w:val="24"/>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(41,066)</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68,527</w:t>
            </w:r>
          </w:p>
        </w:tc>
      </w:tr>
      <w:tr>
        <w:trPr>
          <w:trHeight w:val="264"/>
        </w:trPr>
        <w:tc>
          <w:tcPr>
            <w:tcW w:w="6740" w:type="dxa"/>
            <w:vAlign w:val="bottom"/>
            <w:tcBorders>
              <w:top w:val="single" w:sz="8" w:color="CCFFCC"/>
            </w:tcBorders>
            <w:gridSpan w:val="2"/>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CCFFCC"/>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83"/>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 xml:space="preserve">Comprehensive </w:t>
            </w:r>
            <w:r>
              <w:rPr>
                <w:rFonts w:ascii="Arial" w:cs="Arial" w:eastAsia="Arial" w:hAnsi="Arial"/>
                <w:sz w:val="18"/>
                <w:szCs w:val="18"/>
                <w:color w:val="auto"/>
              </w:rPr>
              <w:t>I</w:t>
            </w:r>
            <w:r>
              <w:rPr>
                <w:rFonts w:ascii="Arial" w:cs="Arial" w:eastAsia="Arial" w:hAnsi="Arial"/>
                <w:sz w:val="18"/>
                <w:szCs w:val="18"/>
                <w:b w:val="1"/>
                <w:bCs w:val="1"/>
                <w:color w:val="auto"/>
              </w:rPr>
              <w:t>ncome</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289,133</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189,057</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190,981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500" w:hanging="492"/>
        <w:spacing w:after="0"/>
        <w:tabs>
          <w:tab w:leader="none" w:pos="5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Include exchange differences for US$15,961, US$(34,041) and US$14,196 in 2006, 2005 and 2004, respectively, net of minority interest.</w:t>
      </w:r>
    </w:p>
    <w:p>
      <w:pPr>
        <w:spacing w:after="0" w:line="279" w:lineRule="exact"/>
        <w:rPr>
          <w:sz w:val="20"/>
          <w:szCs w:val="20"/>
          <w:color w:val="auto"/>
        </w:rPr>
      </w:pPr>
    </w:p>
    <w:p>
      <w:pPr>
        <w:ind w:right="1000" w:firstLine="8"/>
        <w:spacing w:after="0" w:line="590" w:lineRule="auto"/>
        <w:tabs>
          <w:tab w:leader="none" w:pos="48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Include exchange differences for US$34,041, US$(14,196) and US$(1,050) in 2006, 2005 and 2004, respectively, net of minority interest. Cumulative other comprehensive income (loss)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64"/>
        </w:trPr>
        <w:tc>
          <w:tcPr>
            <w:tcW w:w="6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486"/>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restated)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restated)</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49,261</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90,327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21,800</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Current period changes</w:t>
            </w:r>
          </w:p>
        </w:tc>
        <w:tc>
          <w:tcPr>
            <w:tcW w:w="1380" w:type="dxa"/>
            <w:vAlign w:val="bottom"/>
          </w:tcPr>
          <w:p>
            <w:pPr>
              <w:jc w:val="right"/>
              <w:spacing w:after="0"/>
              <w:rPr>
                <w:sz w:val="20"/>
                <w:szCs w:val="20"/>
                <w:color w:val="auto"/>
              </w:rPr>
            </w:pPr>
            <w:r>
              <w:rPr>
                <w:rFonts w:ascii="Arial" w:cs="Arial" w:eastAsia="Arial" w:hAnsi="Arial"/>
                <w:sz w:val="18"/>
                <w:szCs w:val="18"/>
                <w:color w:val="auto"/>
              </w:rPr>
              <w:t>114,109</w:t>
            </w:r>
          </w:p>
        </w:tc>
        <w:tc>
          <w:tcPr>
            <w:tcW w:w="24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(41,066)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68,527</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380" w:type="dxa"/>
            <w:vAlign w:val="bottom"/>
          </w:tcPr>
          <w:p>
            <w:pPr>
              <w:jc w:val="right"/>
              <w:spacing w:after="0"/>
              <w:rPr>
                <w:sz w:val="20"/>
                <w:szCs w:val="20"/>
                <w:color w:val="auto"/>
              </w:rPr>
            </w:pPr>
            <w:r>
              <w:rPr>
                <w:rFonts w:ascii="Arial" w:cs="Arial" w:eastAsia="Arial" w:hAnsi="Arial"/>
                <w:sz w:val="18"/>
                <w:szCs w:val="18"/>
                <w:color w:val="auto"/>
              </w:rPr>
              <w:t>163,370</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49,261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90,327</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440"/>
        <w:spacing w:after="0" w:line="277" w:lineRule="auto"/>
        <w:rPr>
          <w:sz w:val="20"/>
          <w:szCs w:val="20"/>
          <w:color w:val="auto"/>
        </w:rPr>
      </w:pPr>
      <w:r>
        <w:rPr>
          <w:rFonts w:ascii="Arial" w:cs="Arial" w:eastAsia="Arial" w:hAnsi="Arial"/>
          <w:sz w:val="18"/>
          <w:szCs w:val="18"/>
          <w:color w:val="auto"/>
        </w:rPr>
        <w:t>As result of the inclusion of the foreign exchange difference as part of the unrealized gains (losses) in available-for-sale debt securities, the amounts presented in Note 6 for 2006 and 2005 for U.S. GAAP purposes are as follow: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89"/>
              </w:rPr>
              <w:t>2006</w:t>
            </w: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32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Unrealized gross amount</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market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Arial" w:cs="Arial" w:eastAsia="Arial" w:hAnsi="Arial"/>
                <w:sz w:val="18"/>
                <w:szCs w:val="18"/>
                <w:b w:val="1"/>
                <w:bCs w:val="1"/>
                <w:color w:val="auto"/>
              </w:rPr>
              <w:t>Fixed maturity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BCRP deposit certificates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1,265,351</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12,262</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1,277,613</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Government treasury 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471,615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63,982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533,980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1,359,237</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39,962</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1,394,671</w:t>
            </w:r>
          </w:p>
        </w:tc>
        <w:tc>
          <w:tcPr>
            <w:tcW w:w="0" w:type="dxa"/>
            <w:vAlign w:val="bottom"/>
          </w:tcPr>
          <w:p>
            <w:pPr>
              <w:spacing w:after="0"/>
              <w:rPr>
                <w:sz w:val="1"/>
                <w:szCs w:val="1"/>
                <w:color w:val="auto"/>
              </w:rPr>
            </w:pP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3,096,203</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116,206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(6,145)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3,206,264</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b w:val="1"/>
                <w:bCs w:val="1"/>
                <w:color w:val="auto"/>
              </w:rPr>
              <w:t>Shares -</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96,486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119,989</w:t>
            </w: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216,183</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3,192,689</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236,195</w:t>
            </w: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(6,437)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3,422,447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3,450,711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vMerge w:val="restart"/>
          </w:tcPr>
          <w:p>
            <w:pPr>
              <w:jc w:val="center"/>
              <w:ind w:left="1070"/>
              <w:spacing w:after="0"/>
              <w:rPr>
                <w:sz w:val="20"/>
                <w:szCs w:val="20"/>
                <w:color w:val="auto"/>
              </w:rPr>
            </w:pPr>
            <w:r>
              <w:rPr>
                <w:rFonts w:ascii="Arial" w:cs="Arial" w:eastAsia="Arial" w:hAnsi="Arial"/>
                <w:sz w:val="18"/>
                <w:szCs w:val="18"/>
                <w:b w:val="1"/>
                <w:bCs w:val="1"/>
                <w:color w:val="auto"/>
                <w:w w:val="89"/>
              </w:rPr>
              <w:t>2005</w:t>
            </w: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1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32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Unrealized gross amount</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market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b w:val="1"/>
                <w:bCs w:val="1"/>
                <w:color w:val="auto"/>
              </w:rPr>
              <w:t>Fixed maturity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BCRP deposit certificates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1,180,484</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(34,669)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1,145,815</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Government treasury 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367,866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20,662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387,154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1,088,169</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18,651</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(7,742)</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1,099,078</w:t>
            </w:r>
          </w:p>
        </w:tc>
        <w:tc>
          <w:tcPr>
            <w:tcW w:w="0" w:type="dxa"/>
            <w:vAlign w:val="bottom"/>
          </w:tcPr>
          <w:p>
            <w:pPr>
              <w:spacing w:after="0"/>
              <w:rPr>
                <w:sz w:val="1"/>
                <w:szCs w:val="1"/>
                <w:color w:val="auto"/>
              </w:rPr>
            </w:pP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2,636,519</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39,313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(43,785)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2,632,047</w:t>
            </w: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b w:val="1"/>
                <w:bCs w:val="1"/>
                <w:color w:val="auto"/>
              </w:rPr>
              <w:t>Shares -</w:t>
            </w:r>
          </w:p>
        </w:tc>
        <w:tc>
          <w:tcPr>
            <w:tcW w:w="1380" w:type="dxa"/>
            <w:vAlign w:val="bottom"/>
          </w:tcPr>
          <w:p>
            <w:pPr>
              <w:jc w:val="right"/>
              <w:spacing w:after="0"/>
              <w:rPr>
                <w:sz w:val="20"/>
                <w:szCs w:val="20"/>
                <w:color w:val="auto"/>
              </w:rPr>
            </w:pPr>
            <w:r>
              <w:rPr>
                <w:rFonts w:ascii="Arial" w:cs="Arial" w:eastAsia="Arial" w:hAnsi="Arial"/>
                <w:sz w:val="18"/>
                <w:szCs w:val="18"/>
                <w:color w:val="auto"/>
              </w:rPr>
              <w:t>72,218</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162,582</w:t>
            </w: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2,708,737</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130,426</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(44,534)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2,794,629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2,810,705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Arial" w:cs="Arial" w:eastAsia="Arial" w:hAnsi="Arial"/>
                <w:sz w:val="18"/>
                <w:szCs w:val="18"/>
                <w:color w:val="auto"/>
              </w:rPr>
              <w:t>F-90</w:t>
            </w: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400"/>
        <w:spacing w:after="0" w:line="277" w:lineRule="auto"/>
        <w:rPr>
          <w:sz w:val="20"/>
          <w:szCs w:val="20"/>
          <w:color w:val="auto"/>
        </w:rPr>
      </w:pPr>
      <w:r>
        <w:rPr>
          <w:rFonts w:ascii="Arial" w:cs="Arial" w:eastAsia="Arial" w:hAnsi="Arial"/>
          <w:sz w:val="18"/>
          <w:szCs w:val="18"/>
          <w:color w:val="auto"/>
        </w:rPr>
        <w:t>The unrealized losses for 2005 have existed for less than 12 months and such amounts are presented net of a permanent impairment of US$ 8,912; which has been fully realized during 2006.</w:t>
      </w:r>
    </w:p>
    <w:p>
      <w:pPr>
        <w:spacing w:after="0" w:line="224" w:lineRule="exact"/>
        <w:rPr>
          <w:sz w:val="20"/>
          <w:szCs w:val="20"/>
          <w:color w:val="auto"/>
        </w:rPr>
      </w:pPr>
    </w:p>
    <w:p>
      <w:pPr>
        <w:ind w:left="980" w:hanging="486"/>
        <w:spacing w:after="0"/>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Commitments and guarantees -</w:t>
      </w:r>
    </w:p>
    <w:p>
      <w:pPr>
        <w:spacing w:after="0" w:line="2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disclosures required for FIN 45 applicable to Credicorp’s operations are as follow:</w:t>
      </w:r>
    </w:p>
    <w:p>
      <w:pPr>
        <w:spacing w:after="0" w:line="27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Commitments to extend credit -</w:t>
      </w:r>
    </w:p>
    <w:p>
      <w:pPr>
        <w:spacing w:after="0" w:line="283" w:lineRule="exact"/>
        <w:rPr>
          <w:rFonts w:ascii="Arial" w:cs="Arial" w:eastAsia="Arial" w:hAnsi="Arial"/>
          <w:sz w:val="18"/>
          <w:szCs w:val="18"/>
          <w:color w:val="auto"/>
        </w:rPr>
      </w:pPr>
    </w:p>
    <w:p>
      <w:pPr>
        <w:ind w:left="980" w:right="20"/>
        <w:spacing w:after="0" w:line="290" w:lineRule="auto"/>
        <w:rPr>
          <w:rFonts w:ascii="Arial" w:cs="Arial" w:eastAsia="Arial" w:hAnsi="Arial"/>
          <w:sz w:val="18"/>
          <w:szCs w:val="18"/>
          <w:color w:val="auto"/>
        </w:rPr>
      </w:pPr>
      <w:r>
        <w:rPr>
          <w:rFonts w:ascii="Arial" w:cs="Arial" w:eastAsia="Arial" w:hAnsi="Arial"/>
          <w:sz w:val="16"/>
          <w:szCs w:val="16"/>
          <w:color w:val="auto"/>
        </w:rPr>
        <w:t>The Group does no have commitments to extend credit. The caption “responsibilities under credit lines agreements” (see note 20), correspond to consumer credit lines and other consumer loans that are cancelable upon notification to the consumer. In addition, these credit lines generally have fixed expiration dates or other termination clauses. The contractual amount of the credit line represents the Company's exposure to credit loss, in the event of default by the borrower and by the amount of the credit line used at the default date. The Group manages this credit risk by using the same credit policies it applies to loans. Collateral is obtained to commercial commitments based on management's credit assessment of the borrower. Since the Group expects many of the commitments to expire without being drawn, or to cancel them in case of client default as allowed by the contracts signed, total responsibilities under credit lines agreements amounts do not necessarily represent the Group's future liquidity requirements. The contract or notional amounts of these credit lines at December 31, 2006 and 2005,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4"/>
              </w:rPr>
              <w:t>Expire within</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Expire after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Expire within</w:t>
            </w:r>
          </w:p>
        </w:tc>
        <w:tc>
          <w:tcPr>
            <w:tcW w:w="11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Expire within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Consumer credit cards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531,816</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Commercial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90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line="237" w:lineRule="exact"/>
              <w:rPr>
                <w:sz w:val="20"/>
                <w:szCs w:val="20"/>
                <w:color w:val="auto"/>
              </w:rPr>
            </w:pPr>
            <w:r>
              <w:rPr>
                <w:rFonts w:ascii="Arial" w:cs="Arial" w:eastAsia="Arial" w:hAnsi="Arial"/>
                <w:sz w:val="22"/>
                <w:szCs w:val="22"/>
                <w:color w:val="auto"/>
              </w:rPr>
              <w:t>-</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531,816</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Letters of credit and guarantees -</w:t>
      </w:r>
    </w:p>
    <w:p>
      <w:pPr>
        <w:spacing w:after="0" w:line="283"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 The maximum potential future payments guaranteed by the Group under letters of credit and guarantee arrangements as of December 31, 2006, were approximately US$1,204.5 million (approximately US$982.0 million as of December 31, 2005) with a weighted average term of approximately 24 months. The estimated fair value of standby letters of credit and guarantees was approximately US$1.0 million as of December 31, 2006 (approximately US$0.8 million as of December 31, 2005). The contract or notional amounts of letters of credit and guarantees at December 31, 2006 and 2005, were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Expire within</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Expire after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Expire within</w:t>
            </w: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Expire after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Standby letters of credit and guarantees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1,195,790</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8,710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1,204,500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944,598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982,044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Import and export letters of credit</w:t>
            </w:r>
          </w:p>
        </w:tc>
        <w:tc>
          <w:tcPr>
            <w:tcW w:w="1160" w:type="dxa"/>
            <w:vAlign w:val="bottom"/>
          </w:tcPr>
          <w:p>
            <w:pPr>
              <w:jc w:val="right"/>
              <w:spacing w:after="0"/>
              <w:rPr>
                <w:sz w:val="20"/>
                <w:szCs w:val="20"/>
                <w:color w:val="auto"/>
              </w:rPr>
            </w:pPr>
            <w:r>
              <w:rPr>
                <w:rFonts w:ascii="Arial" w:cs="Arial" w:eastAsia="Arial" w:hAnsi="Arial"/>
                <w:sz w:val="18"/>
                <w:szCs w:val="18"/>
                <w:color w:val="auto"/>
              </w:rPr>
              <w:t>250,466</w:t>
            </w:r>
          </w:p>
        </w:tc>
        <w:tc>
          <w:tcPr>
            <w:tcW w:w="1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250,876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238,902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238,902</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90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1,446,256</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9,120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1,183,500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1,220,946</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980" w:hanging="486"/>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Recently Issued US Accounting Standards</w:t>
      </w:r>
    </w:p>
    <w:p>
      <w:pPr>
        <w:spacing w:after="0" w:line="279" w:lineRule="exact"/>
        <w:rPr>
          <w:rFonts w:ascii="Arial" w:cs="Arial" w:eastAsia="Arial" w:hAnsi="Arial"/>
          <w:sz w:val="18"/>
          <w:szCs w:val="18"/>
          <w:color w:val="auto"/>
        </w:rPr>
      </w:pPr>
    </w:p>
    <w:p>
      <w:pPr>
        <w:ind w:left="1620" w:hanging="640"/>
        <w:spacing w:after="0"/>
        <w:tabs>
          <w:tab w:leader="none" w:pos="1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Stock-Based Compensation -</w:t>
      </w:r>
    </w:p>
    <w:p>
      <w:pPr>
        <w:spacing w:after="0" w:line="279" w:lineRule="exact"/>
        <w:rPr>
          <w:rFonts w:ascii="Arial" w:cs="Arial" w:eastAsia="Arial" w:hAnsi="Arial"/>
          <w:sz w:val="18"/>
          <w:szCs w:val="18"/>
          <w:color w:val="auto"/>
        </w:rPr>
      </w:pPr>
    </w:p>
    <w:p>
      <w:pPr>
        <w:ind w:left="1620" w:right="40"/>
        <w:spacing w:after="0" w:line="270" w:lineRule="auto"/>
        <w:rPr>
          <w:rFonts w:ascii="Arial" w:cs="Arial" w:eastAsia="Arial" w:hAnsi="Arial"/>
          <w:sz w:val="18"/>
          <w:szCs w:val="18"/>
          <w:color w:val="auto"/>
        </w:rPr>
      </w:pPr>
      <w:r>
        <w:rPr>
          <w:rFonts w:ascii="Arial" w:cs="Arial" w:eastAsia="Arial" w:hAnsi="Arial"/>
          <w:sz w:val="17"/>
          <w:szCs w:val="17"/>
          <w:color w:val="auto"/>
        </w:rPr>
        <w:t>In December 2004, the FASB issued SFAS No. 123 (revised 2004), Shared Based Payments (SFAS 123R). This statement eliminates the option to apply the intrinsic value measurement provisions of Accounting Principles Board ("APB") Opinion No. 25, "Accounting for Stock Issued to Employees" to stock compensation awards issued to employees. Rather, SFAS 123R requires companies to measure the cost of employee services received in exchange for an award of equity instruments based on the grant-date fair value of the award. That cost will be recognized over the period during which an employee is required to provide services in exchange for the award - the requisite service period (usually the vesting period). SFAS 123R applies to all awards granted after the required effective date, December 15, 2005, and to awards modified, repurchased, or cancelled after that date. SFAS 123R was effective as of the beginning of the first interim or annual reporting period that begins after June 15, 2005 and therefore we applied this standard for U.S. GAAP purposes in the fiscal year beginning January 1, 2006 and as a result, there were not any material effect on its financial position, results of operations or cash flows.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Other Issued US Accounting Standards</w:t>
      </w:r>
    </w:p>
    <w:p>
      <w:pPr>
        <w:spacing w:after="0" w:line="279" w:lineRule="exact"/>
        <w:rPr>
          <w:rFonts w:ascii="Arial" w:cs="Arial" w:eastAsia="Arial" w:hAnsi="Arial"/>
          <w:sz w:val="18"/>
          <w:szCs w:val="18"/>
          <w:color w:val="auto"/>
        </w:rPr>
      </w:pPr>
    </w:p>
    <w:p>
      <w:pPr>
        <w:ind w:left="1620" w:right="280" w:hanging="640"/>
        <w:spacing w:after="0" w:line="277" w:lineRule="auto"/>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FASB Staff Position (FSP) FAS 115-1 and FAS 124-1 “The Meaning of Other- Than- Temporary Impairment and its Application to Certain Investments” -</w:t>
      </w:r>
    </w:p>
    <w:p>
      <w:pPr>
        <w:spacing w:after="0" w:line="224" w:lineRule="exact"/>
        <w:rPr>
          <w:rFonts w:ascii="Arial" w:cs="Arial" w:eastAsia="Arial" w:hAnsi="Arial"/>
          <w:sz w:val="18"/>
          <w:szCs w:val="18"/>
          <w:color w:val="auto"/>
        </w:rPr>
      </w:pPr>
    </w:p>
    <w:p>
      <w:pPr>
        <w:ind w:left="1620" w:right="60"/>
        <w:spacing w:after="0" w:line="302" w:lineRule="auto"/>
        <w:rPr>
          <w:rFonts w:ascii="Arial" w:cs="Arial" w:eastAsia="Arial" w:hAnsi="Arial"/>
          <w:sz w:val="18"/>
          <w:szCs w:val="18"/>
          <w:color w:val="auto"/>
        </w:rPr>
      </w:pPr>
      <w:r>
        <w:rPr>
          <w:rFonts w:ascii="Arial" w:cs="Arial" w:eastAsia="Arial" w:hAnsi="Arial"/>
          <w:sz w:val="16"/>
          <w:szCs w:val="16"/>
          <w:color w:val="auto"/>
        </w:rPr>
        <w:t>In November 2005, the FASB issued FASB Staff Position (FSP) FAS 115-1 and FAS 124-1 “The Meaning of Other- Than- Temporary Impairment and its Application to Certain Investments”. The FSP addresses the determination as to when an investment is considered impaired, whether that impairment is other than temporary, and the measurement of an impairment loss. Credicorp adopted the FSP on January 1, 2006. The adoption of the standard did not have a significant impact on its financial condition or results of operations.</w:t>
      </w:r>
    </w:p>
    <w:p>
      <w:pPr>
        <w:spacing w:after="0" w:line="208" w:lineRule="exact"/>
        <w:rPr>
          <w:rFonts w:ascii="Arial" w:cs="Arial" w:eastAsia="Arial" w:hAnsi="Arial"/>
          <w:sz w:val="18"/>
          <w:szCs w:val="18"/>
          <w:color w:val="auto"/>
        </w:rPr>
      </w:pPr>
    </w:p>
    <w:p>
      <w:pPr>
        <w:ind w:left="1620" w:right="260" w:hanging="640"/>
        <w:spacing w:after="0" w:line="277" w:lineRule="auto"/>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Staff Accounting Bulletin (SAB) No. 108 “Considering the Effects of Prior Year Misstatements when Quantifying Misstatements in Current Year Financial Statements” -</w:t>
      </w:r>
    </w:p>
    <w:p>
      <w:pPr>
        <w:spacing w:after="0" w:line="224" w:lineRule="exact"/>
        <w:rPr>
          <w:rFonts w:ascii="Arial" w:cs="Arial" w:eastAsia="Arial" w:hAnsi="Arial"/>
          <w:sz w:val="18"/>
          <w:szCs w:val="18"/>
          <w:color w:val="auto"/>
        </w:rPr>
      </w:pPr>
    </w:p>
    <w:p>
      <w:pPr>
        <w:ind w:left="1620"/>
        <w:spacing w:after="0" w:line="255" w:lineRule="auto"/>
        <w:rPr>
          <w:rFonts w:ascii="Arial" w:cs="Arial" w:eastAsia="Arial" w:hAnsi="Arial"/>
          <w:sz w:val="18"/>
          <w:szCs w:val="18"/>
          <w:color w:val="auto"/>
        </w:rPr>
      </w:pPr>
      <w:r>
        <w:rPr>
          <w:rFonts w:ascii="Arial" w:cs="Arial" w:eastAsia="Arial" w:hAnsi="Arial"/>
          <w:sz w:val="18"/>
          <w:szCs w:val="18"/>
          <w:color w:val="auto"/>
        </w:rPr>
        <w:t>In September 1, 2006, the Securities and Exchange Commission (SEC) issued Staff Accounting Bulletin (SAB) No. 108 “Considering the Effects of Prior Year Misstatements when Quantifying Misstatements in Current Year Financial Statements” (SAB 108). SAB 108 expresses the SEC Staff’s views regarding the process of quantifying financial statement misstatements. SAB 108 states that in evaluating the materiality of financial statement misstatements, a corporation must quantify the impact of correcting misstatements, including both the carryover and reversing effects of prior year misstatements, on the current year financial statements. SAB 108 is effective for the year ended December 31, 2006. The application of SAB 108 did not have an impact on the Group’s financial condition and results of operations.</w:t>
      </w:r>
    </w:p>
    <w:p>
      <w:pPr>
        <w:spacing w:after="0" w:line="243" w:lineRule="exact"/>
        <w:rPr>
          <w:rFonts w:ascii="Arial" w:cs="Arial" w:eastAsia="Arial" w:hAnsi="Arial"/>
          <w:sz w:val="18"/>
          <w:szCs w:val="18"/>
          <w:color w:val="auto"/>
        </w:rPr>
      </w:pPr>
    </w:p>
    <w:p>
      <w:pPr>
        <w:ind w:left="980" w:hanging="486"/>
        <w:spacing w:after="0"/>
        <w:tabs>
          <w:tab w:leader="none" w:pos="9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Recently issued US accounting standards not yet adopted</w:t>
      </w:r>
    </w:p>
    <w:p>
      <w:pPr>
        <w:spacing w:after="0" w:line="279" w:lineRule="exact"/>
        <w:rPr>
          <w:rFonts w:ascii="Arial" w:cs="Arial" w:eastAsia="Arial" w:hAnsi="Arial"/>
          <w:sz w:val="18"/>
          <w:szCs w:val="18"/>
          <w:color w:val="auto"/>
        </w:rPr>
      </w:pPr>
    </w:p>
    <w:p>
      <w:pPr>
        <w:ind w:left="1460" w:right="40" w:hanging="480"/>
        <w:spacing w:after="0" w:line="277" w:lineRule="auto"/>
        <w:tabs>
          <w:tab w:leader="none" w:pos="14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Statement of Financial Accounting Standard No. 155: “Accounting for Certain Hybrid Instruments”- an amendment of FASB Statements 133 and 140.</w:t>
      </w:r>
    </w:p>
    <w:p>
      <w:pPr>
        <w:spacing w:after="0" w:line="224" w:lineRule="exact"/>
        <w:rPr>
          <w:rFonts w:ascii="Arial" w:cs="Arial" w:eastAsia="Arial" w:hAnsi="Arial"/>
          <w:sz w:val="18"/>
          <w:szCs w:val="18"/>
          <w:color w:val="auto"/>
        </w:rPr>
      </w:pPr>
    </w:p>
    <w:p>
      <w:pPr>
        <w:ind w:left="1460" w:right="40"/>
        <w:spacing w:after="0" w:line="270" w:lineRule="auto"/>
        <w:rPr>
          <w:rFonts w:ascii="Arial" w:cs="Arial" w:eastAsia="Arial" w:hAnsi="Arial"/>
          <w:sz w:val="18"/>
          <w:szCs w:val="18"/>
          <w:color w:val="auto"/>
        </w:rPr>
      </w:pPr>
      <w:r>
        <w:rPr>
          <w:rFonts w:ascii="Arial" w:cs="Arial" w:eastAsia="Arial" w:hAnsi="Arial"/>
          <w:sz w:val="17"/>
          <w:szCs w:val="17"/>
          <w:color w:val="auto"/>
        </w:rPr>
        <w:t>In February 2006, the FASB issued Statement of Financial Accounting Standard No. 155, Accounting for Certain Hybrid Instruments, an amendment of FASB Statements No. 133 and 140 (SFAS 155). SFAS 155 permits Credicorp to elect to measure any hybrid financial instrument at fair value, with changes in fair value recognized in net profit, if the hybrid instrument contains an embedded derivative that would otherwise require bifurcation under SFAS 133. The election to measure the hybrid instrument at fair value is made on an instrument-by-instrument basis and is irreversible. SFAS 155 is effective after the beginning of an entity’s first fiscal year that begins after September 15, 2006, with early adoption permitted in certain circumstances. At adoption of SFAS 155, any difference between the total carrying amount of the individual components of an existing hybrid instrument and the fair value of the combined hybrid financial instrument is recognized as a cumulative-effect adjustment to beginning retained earnings. Credicorp did not elect to early adopt SFAS 155 and, therefore, will adopt the new standard as of 1 January 2007. Credicorp does not believe that SFAS 155 will have a significant impact on its consolidated financial statements.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240" w:hanging="480"/>
        <w:spacing w:after="0" w:line="277" w:lineRule="auto"/>
        <w:tabs>
          <w:tab w:leader="none" w:pos="1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Statement of Financial Accounting Standard No. 156, “Accounting for Servicing of Financial Assets” (SFAS 156)- and amendment of FASB Statement 140</w:t>
      </w:r>
    </w:p>
    <w:p>
      <w:pPr>
        <w:spacing w:after="0" w:line="224" w:lineRule="exact"/>
        <w:rPr>
          <w:rFonts w:ascii="Arial" w:cs="Arial" w:eastAsia="Arial" w:hAnsi="Arial"/>
          <w:sz w:val="18"/>
          <w:szCs w:val="18"/>
          <w:color w:val="auto"/>
        </w:rPr>
      </w:pPr>
    </w:p>
    <w:p>
      <w:pPr>
        <w:ind w:left="1460" w:right="40"/>
        <w:spacing w:after="0" w:line="272" w:lineRule="auto"/>
        <w:rPr>
          <w:rFonts w:ascii="Arial" w:cs="Arial" w:eastAsia="Arial" w:hAnsi="Arial"/>
          <w:sz w:val="18"/>
          <w:szCs w:val="18"/>
          <w:color w:val="auto"/>
        </w:rPr>
      </w:pPr>
      <w:r>
        <w:rPr>
          <w:rFonts w:ascii="Arial" w:cs="Arial" w:eastAsia="Arial" w:hAnsi="Arial"/>
          <w:sz w:val="17"/>
          <w:szCs w:val="17"/>
          <w:color w:val="auto"/>
        </w:rPr>
        <w:t>In March 2006, the FASB issued Statement of Financial Accounting Standard No. 156, Accounting for Servicing of Financial Assets (SFAS 156). SFAS 156 addresses the accounting for recognized servicing assets and servicing liabilities related to certain transfers of the servicer’s financial assets and for acquisitions or assumptions of obligations to service financial assets that do not relate to the financial assets of the service and its related parties. SFAS 156 requires that all recognized servicing assets and servicing liabilities are initially measured at fair value and subsequently measured at either fair value or by applying an amortization method for each class of recognized servicing assets and servicing liabilities. SFAS 156 is effective in fiscal years beginning after September 15, 2006. The adoption of SFAS 156 is not expected to have a material impact on Credicorp’s Financial Statements.</w:t>
      </w:r>
    </w:p>
    <w:p>
      <w:pPr>
        <w:spacing w:after="0" w:line="231" w:lineRule="exact"/>
        <w:rPr>
          <w:rFonts w:ascii="Arial" w:cs="Arial" w:eastAsia="Arial" w:hAnsi="Arial"/>
          <w:sz w:val="18"/>
          <w:szCs w:val="18"/>
          <w:color w:val="auto"/>
        </w:rPr>
      </w:pPr>
    </w:p>
    <w:p>
      <w:pPr>
        <w:ind w:left="1460" w:right="60" w:hanging="480"/>
        <w:spacing w:after="0" w:line="279" w:lineRule="auto"/>
        <w:tabs>
          <w:tab w:leader="none" w:pos="14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FIN 48, “</w:t>
      </w:r>
      <w:r>
        <w:rPr>
          <w:rFonts w:ascii="Arial" w:cs="Arial" w:eastAsia="Arial" w:hAnsi="Arial"/>
          <w:sz w:val="17"/>
          <w:szCs w:val="17"/>
          <w:i w:val="1"/>
          <w:iCs w:val="1"/>
          <w:color w:val="auto"/>
        </w:rPr>
        <w:t>Accounting for Uncertainty in Income Taxes” - an interpretation of SFAS 109 -</w:t>
      </w:r>
      <w:r>
        <w:rPr>
          <w:rFonts w:ascii="Arial" w:cs="Arial" w:eastAsia="Arial" w:hAnsi="Arial"/>
          <w:sz w:val="17"/>
          <w:szCs w:val="17"/>
          <w:color w:val="auto"/>
        </w:rPr>
        <w:t xml:space="preserve"> In June 2006, the FASB issued FIN 48, </w:t>
      </w:r>
      <w:r>
        <w:rPr>
          <w:rFonts w:ascii="Arial" w:cs="Arial" w:eastAsia="Arial" w:hAnsi="Arial"/>
          <w:sz w:val="17"/>
          <w:szCs w:val="17"/>
          <w:i w:val="1"/>
          <w:iCs w:val="1"/>
          <w:color w:val="auto"/>
        </w:rPr>
        <w:t>Accounting for Uncertainty in Income Taxes - an interpretation of SFAS 109</w:t>
      </w:r>
      <w:r>
        <w:rPr>
          <w:rFonts w:ascii="Arial" w:cs="Arial" w:eastAsia="Arial" w:hAnsi="Arial"/>
          <w:sz w:val="17"/>
          <w:szCs w:val="17"/>
          <w:color w:val="auto"/>
        </w:rPr>
        <w:t>, which prescribes a recognition threshold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 for financial statement recognition and measurement of tax positions. FIN 48 is effective for years commencing after December 15, 2006. Credicorp is continuing to evaluate the impact of FIN 48 on its Financial Statements.</w:t>
      </w:r>
    </w:p>
    <w:p>
      <w:pPr>
        <w:spacing w:after="0" w:line="225" w:lineRule="exact"/>
        <w:rPr>
          <w:rFonts w:ascii="Arial" w:cs="Arial" w:eastAsia="Arial" w:hAnsi="Arial"/>
          <w:sz w:val="17"/>
          <w:szCs w:val="17"/>
          <w:color w:val="auto"/>
        </w:rPr>
      </w:pPr>
    </w:p>
    <w:p>
      <w:pPr>
        <w:ind w:left="1460" w:hanging="480"/>
        <w:spacing w:after="0" w:line="289" w:lineRule="auto"/>
        <w:tabs>
          <w:tab w:leader="none" w:pos="14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Statement of Financial Accounting Standards No. 157, “</w:t>
      </w:r>
      <w:r>
        <w:rPr>
          <w:rFonts w:ascii="Arial" w:cs="Arial" w:eastAsia="Arial" w:hAnsi="Arial"/>
          <w:sz w:val="16"/>
          <w:szCs w:val="16"/>
          <w:i w:val="1"/>
          <w:iCs w:val="1"/>
          <w:color w:val="auto"/>
        </w:rPr>
        <w:t>Fair Value Measurements” (</w:t>
      </w:r>
      <w:r>
        <w:rPr>
          <w:rFonts w:ascii="Arial" w:cs="Arial" w:eastAsia="Arial" w:hAnsi="Arial"/>
          <w:sz w:val="16"/>
          <w:szCs w:val="16"/>
          <w:color w:val="auto"/>
        </w:rPr>
        <w:t xml:space="preserve">SFAS 157) - In September 2006, the FASB issued Statement of Financial Accounting Standards No. 157, </w:t>
      </w:r>
      <w:r>
        <w:rPr>
          <w:rFonts w:ascii="Arial" w:cs="Arial" w:eastAsia="Arial" w:hAnsi="Arial"/>
          <w:sz w:val="16"/>
          <w:szCs w:val="16"/>
          <w:i w:val="1"/>
          <w:iCs w:val="1"/>
          <w:color w:val="auto"/>
        </w:rPr>
        <w:t>Fair Value Measurements (</w:t>
      </w:r>
      <w:r>
        <w:rPr>
          <w:rFonts w:ascii="Arial" w:cs="Arial" w:eastAsia="Arial" w:hAnsi="Arial"/>
          <w:sz w:val="16"/>
          <w:szCs w:val="16"/>
          <w:color w:val="auto"/>
        </w:rPr>
        <w:t>SFAS 157). SFAS 157 defines fair value, establishes a framework for measuring fair value, and expands the required disclosures about an entity’s fair value measurements. Additionally, SFAS 157 eliminates the requirement to defer calculated profit or loss on transaction values that include unobservable inputs (“Day 1 profit and loss”) and eliminates the use of block discounts for securities traded in an active market. SFAS 157 is effective for financial statements issued for fiscal years beginning after November 15, 2007. The provisions of SFAS 157 should be applied prospectively upon initial adoption, except for the provisions that eliminate prior measurement guidance regarding block discounts and Day 1 profit and loss. These changes should be applied retrospectively as an adjustment to the opening balance of retained earnings in the period of adoption. Credicorp is still assessing the impact that SFAS 157 will have on its Financial Statements.</w:t>
      </w:r>
    </w:p>
    <w:p>
      <w:pPr>
        <w:spacing w:after="0" w:line="220" w:lineRule="exact"/>
        <w:rPr>
          <w:rFonts w:ascii="Arial" w:cs="Arial" w:eastAsia="Arial" w:hAnsi="Arial"/>
          <w:sz w:val="16"/>
          <w:szCs w:val="16"/>
          <w:color w:val="auto"/>
        </w:rPr>
      </w:pPr>
    </w:p>
    <w:p>
      <w:pPr>
        <w:ind w:left="1460" w:hanging="480"/>
        <w:spacing w:after="0"/>
        <w:tabs>
          <w:tab w:leader="none" w:pos="14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Statement of Financial Accounting Standards No. 159, “</w:t>
      </w:r>
      <w:r>
        <w:rPr>
          <w:rFonts w:ascii="Arial" w:cs="Arial" w:eastAsia="Arial" w:hAnsi="Arial"/>
          <w:sz w:val="17"/>
          <w:szCs w:val="17"/>
          <w:i w:val="1"/>
          <w:iCs w:val="1"/>
          <w:color w:val="auto"/>
        </w:rPr>
        <w:t>The Fair Value Option for Financial Assets and Liabilities”</w:t>
      </w:r>
      <w:r>
        <w:rPr>
          <w:rFonts w:ascii="Arial" w:cs="Arial" w:eastAsia="Arial" w:hAnsi="Arial"/>
          <w:sz w:val="17"/>
          <w:szCs w:val="17"/>
          <w:color w:val="auto"/>
        </w:rPr>
        <w:t xml:space="preserve"> (SFAS 159) -</w:t>
      </w:r>
    </w:p>
    <w:p>
      <w:pPr>
        <w:spacing w:after="0" w:line="344" w:lineRule="exact"/>
        <w:rPr>
          <w:rFonts w:ascii="Arial" w:cs="Arial" w:eastAsia="Arial" w:hAnsi="Arial"/>
          <w:sz w:val="17"/>
          <w:szCs w:val="17"/>
          <w:color w:val="auto"/>
        </w:rPr>
      </w:pPr>
    </w:p>
    <w:p>
      <w:pPr>
        <w:ind w:left="1460"/>
        <w:spacing w:after="0" w:line="291" w:lineRule="auto"/>
        <w:rPr>
          <w:rFonts w:ascii="Arial" w:cs="Arial" w:eastAsia="Arial" w:hAnsi="Arial"/>
          <w:sz w:val="17"/>
          <w:szCs w:val="17"/>
          <w:color w:val="auto"/>
        </w:rPr>
      </w:pPr>
      <w:r>
        <w:rPr>
          <w:rFonts w:ascii="Arial" w:cs="Arial" w:eastAsia="Arial" w:hAnsi="Arial"/>
          <w:sz w:val="16"/>
          <w:szCs w:val="16"/>
          <w:color w:val="auto"/>
        </w:rPr>
        <w:t xml:space="preserve">In February 2007, the FASB issued Statement of Financial Accounting Standards No. 159, </w:t>
      </w:r>
      <w:r>
        <w:rPr>
          <w:rFonts w:ascii="Arial" w:cs="Arial" w:eastAsia="Arial" w:hAnsi="Arial"/>
          <w:sz w:val="16"/>
          <w:szCs w:val="16"/>
          <w:i w:val="1"/>
          <w:iCs w:val="1"/>
          <w:color w:val="auto"/>
        </w:rPr>
        <w:t>The Fair Value Option for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Liabilities </w:t>
      </w:r>
      <w:r>
        <w:rPr>
          <w:rFonts w:ascii="Arial" w:cs="Arial" w:eastAsia="Arial" w:hAnsi="Arial"/>
          <w:sz w:val="16"/>
          <w:szCs w:val="16"/>
          <w:color w:val="auto"/>
        </w:rPr>
        <w:t>(SFAS 159). This new standard permits entities to irrevocably choose to measure many financial instruments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items at fair value. Unrealized gains and losses on items for which the fair value option has been elected are recognized in net profit at each subsequent reporting date. The election in SFAS 159 is similar, but not identical, to the fair value option in IAS 39. The fair value option in IAS 39 is subject to certain qualifying criteria not include in this standard, and it applies to a slightly different set of instruments. SFAS 159 is effective for fiscal years beginning after November 15, 2007. Early adoption is permitted only if the provisions of SFAS 157 are also applied. Credicorp is currently assessing the impact SFAS 159 will have on its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Exhibit 12.1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79" w:lineRule="exact"/>
        <w:rPr>
          <w:sz w:val="20"/>
          <w:szCs w:val="20"/>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t>Exhibit 12.2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Walter Bayly, certify that:</w:t>
      </w:r>
    </w:p>
    <w:p>
      <w:pPr>
        <w:spacing w:after="0" w:line="279" w:lineRule="exact"/>
        <w:rPr>
          <w:sz w:val="20"/>
          <w:szCs w:val="20"/>
          <w:color w:val="auto"/>
        </w:rPr>
      </w:pPr>
    </w:p>
    <w:p>
      <w:pPr>
        <w:ind w:left="180" w:hanging="172"/>
        <w:spacing w:after="0"/>
        <w:tabs>
          <w:tab w:leader="none" w:pos="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Walter Bayly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t>Exhibit 13.1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65" w:lineRule="exact"/>
        <w:rPr>
          <w:sz w:val="20"/>
          <w:szCs w:val="20"/>
          <w:color w:val="auto"/>
        </w:rPr>
      </w:pPr>
    </w:p>
    <w:p>
      <w:pPr>
        <w:ind w:left="680" w:hanging="672"/>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33" w:lineRule="exact"/>
        <w:rPr>
          <w:sz w:val="20"/>
          <w:szCs w:val="20"/>
          <w:color w:val="auto"/>
        </w:rPr>
      </w:pPr>
    </w:p>
    <w:p>
      <w:pPr>
        <w:jc w:val="both"/>
        <w:ind w:firstLine="8"/>
        <w:spacing w:after="0" w:line="271" w:lineRule="auto"/>
        <w:tabs>
          <w:tab w:leader="none" w:pos="83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Exhibit 13.2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65" w:lineRule="exact"/>
        <w:rPr>
          <w:sz w:val="20"/>
          <w:szCs w:val="20"/>
          <w:color w:val="auto"/>
        </w:rPr>
      </w:pPr>
    </w:p>
    <w:p>
      <w:pPr>
        <w:ind w:left="680" w:hanging="672"/>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33" w:lineRule="exact"/>
        <w:rPr>
          <w:sz w:val="20"/>
          <w:szCs w:val="20"/>
          <w:color w:val="auto"/>
        </w:rPr>
      </w:pPr>
    </w:p>
    <w:p>
      <w:pPr>
        <w:jc w:val="both"/>
        <w:ind w:firstLine="8"/>
        <w:spacing w:after="0" w:line="271" w:lineRule="auto"/>
        <w:tabs>
          <w:tab w:leader="none" w:pos="83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By: /s/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81280</wp:posOffset>
            </wp:positionV>
            <wp:extent cx="243078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30780" cy="21590"/>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Walter Bayly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o"/>
      <w:numFmt w:val="bullet"/>
      <w:start w:val="1"/>
    </w:lvl>
  </w:abstractNum>
  <w:abstractNum w:abstractNumId="1">
    <w:nsid w:val="5B25ACE2"/>
    <w:multiLevelType w:val="hybridMultilevel"/>
    <w:lvl w:ilvl="0">
      <w:lvlJc w:val="left"/>
      <w:lvlText w:val="x"/>
      <w:numFmt w:val="bullet"/>
      <w:start w:val="1"/>
    </w:lvl>
  </w:abstractNum>
  <w:abstractNum w:abstractNumId="2">
    <w:nsid w:val="175DFCF0"/>
    <w:multiLevelType w:val="hybridMultilevel"/>
    <w:lvl w:ilvl="0">
      <w:lvlJc w:val="left"/>
      <w:lvlText w:val="o"/>
      <w:numFmt w:val="bullet"/>
      <w:start w:val="1"/>
    </w:lvl>
  </w:abstractNum>
  <w:abstractNum w:abstractNumId="3">
    <w:nsid w:val="4F97E3E4"/>
    <w:multiLevelType w:val="hybridMultilevel"/>
    <w:lvl w:ilvl="0">
      <w:lvlJc w:val="left"/>
      <w:lvlText w:val="(%1)"/>
      <w:numFmt w:val="upperLetter"/>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1)"/>
      <w:numFmt w:val="upperLetter"/>
      <w:start w:val="1"/>
    </w:lvl>
  </w:abstractNum>
  <w:abstractNum w:abstractNumId="6">
    <w:nsid w:val="5915FF32"/>
    <w:multiLevelType w:val="hybridMultilevel"/>
    <w:lvl w:ilvl="0">
      <w:lvlJc w:val="left"/>
      <w:lvlText w:val="(%1)"/>
      <w:numFmt w:val="decimal"/>
      <w:start w:val="1"/>
    </w:lvl>
  </w:abstractNum>
  <w:abstractNum w:abstractNumId="7">
    <w:nsid w:val="56438D15"/>
    <w:multiLevelType w:val="hybridMultilevel"/>
    <w:lvl w:ilvl="0">
      <w:lvlJc w:val="left"/>
      <w:lvlText w:val="(%1)"/>
      <w:numFmt w:val="decimal"/>
      <w:start w:val="2"/>
    </w:lvl>
  </w:abstractNum>
  <w:abstractNum w:abstractNumId="8">
    <w:nsid w:val="519E3149"/>
    <w:multiLevelType w:val="hybridMultilevel"/>
    <w:lvl w:ilvl="0">
      <w:lvlJc w:val="left"/>
      <w:lvlText w:val="(%1)"/>
      <w:numFmt w:val="decimal"/>
      <w:start w:val="1"/>
    </w:lvl>
  </w:abstractNum>
  <w:abstractNum w:abstractNumId="9">
    <w:nsid w:val="2C6E4AFD"/>
    <w:multiLevelType w:val="hybridMultilevel"/>
    <w:lvl w:ilvl="0">
      <w:lvlJc w:val="left"/>
      <w:lvlText w:val="(%1)"/>
      <w:numFmt w:val="decimal"/>
      <w:start w:val="1"/>
    </w:lvl>
  </w:abstractNum>
  <w:abstractNum w:abstractNumId="10">
    <w:nsid w:val="17A1B582"/>
    <w:multiLevelType w:val="hybridMultilevel"/>
    <w:lvl w:ilvl="0">
      <w:lvlJc w:val="left"/>
      <w:lvlText w:val="(%1)"/>
      <w:numFmt w:val="upperLetter"/>
      <w:start w:val="2"/>
    </w:lvl>
  </w:abstractNum>
  <w:abstractNum w:abstractNumId="11">
    <w:nsid w:val="4DF72E4E"/>
    <w:multiLevelType w:val="hybridMultilevel"/>
    <w:lvl w:ilvl="0">
      <w:lvlJc w:val="left"/>
      <w:lvlText w:val="(%1)"/>
      <w:numFmt w:val="upperLetter"/>
      <w:start w:val="1"/>
    </w:lvl>
  </w:abstractNum>
  <w:abstractNum w:abstractNumId="12">
    <w:nsid w:val="5046B5A9"/>
    <w:multiLevelType w:val="hybridMultilevel"/>
    <w:lvl w:ilvl="0">
      <w:lvlJc w:val="left"/>
      <w:lvlText w:val="(%1)"/>
      <w:numFmt w:val="decimal"/>
      <w:start w:val="1"/>
    </w:lvl>
  </w:abstractNum>
  <w:abstractNum w:abstractNumId="13">
    <w:nsid w:val="5D888A08"/>
    <w:multiLevelType w:val="hybridMultilevel"/>
    <w:lvl w:ilvl="0">
      <w:lvlJc w:val="left"/>
      <w:lvlText w:val="(%1)"/>
      <w:numFmt w:val="decimal"/>
      <w:start w:val="1"/>
    </w:lvl>
  </w:abstractNum>
  <w:abstractNum w:abstractNumId="14">
    <w:nsid w:val="2A082C70"/>
    <w:multiLevelType w:val="hybridMultilevel"/>
    <w:lvl w:ilvl="0">
      <w:lvlJc w:val="left"/>
      <w:lvlText w:val="(%1)"/>
      <w:numFmt w:val="upperLetter"/>
      <w:start w:val="2"/>
    </w:lvl>
  </w:abstractNum>
  <w:abstractNum w:abstractNumId="15">
    <w:nsid w:val="5EC6AFD4"/>
    <w:multiLevelType w:val="hybridMultilevel"/>
    <w:lvl w:ilvl="0">
      <w:lvlJc w:val="left"/>
      <w:lvlText w:val="(%1)"/>
      <w:numFmt w:val="decimal"/>
      <w:start w:val="1"/>
    </w:lvl>
  </w:abstractNum>
  <w:abstractNum w:abstractNumId="16">
    <w:nsid w:val="19E21BB2"/>
    <w:multiLevelType w:val="hybridMultilevel"/>
    <w:lvl w:ilvl="0">
      <w:lvlJc w:val="left"/>
      <w:lvlText w:val="(%1)"/>
      <w:numFmt w:val="decimal"/>
      <w:start w:val="2"/>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1)"/>
      <w:numFmt w:val="decimal"/>
      <w:start w:val="4"/>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1)"/>
      <w:numFmt w:val="lowerRoman"/>
      <w:start w:val="1"/>
    </w:lvl>
    <w:lvl w:ilvl="1">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1)"/>
      <w:numFmt w:val="lowerRoman"/>
      <w:start w:val="3"/>
    </w:lvl>
  </w:abstractNum>
  <w:abstractNum w:abstractNumId="29">
    <w:nsid w:val="49D0FEAC"/>
    <w:multiLevelType w:val="hybridMultilevel"/>
    <w:lvl w:ilvl="0">
      <w:lvlJc w:val="left"/>
      <w:lvlText w:val="(%1)"/>
      <w:numFmt w:val="lowerRoman"/>
      <w:start w:val="4"/>
    </w:lvl>
  </w:abstractNum>
  <w:abstractNum w:abstractNumId="30">
    <w:nsid w:val="4BEE5A5B"/>
    <w:multiLevelType w:val="hybridMultilevel"/>
    <w:lvl w:ilvl="0">
      <w:lvlJc w:val="left"/>
      <w:lvlText w:val="(%1)"/>
      <w:numFmt w:val="lowerRoman"/>
      <w:start w:val="5"/>
    </w:lvl>
  </w:abstractNum>
  <w:abstractNum w:abstractNumId="31">
    <w:nsid w:val="5551B9F3"/>
    <w:multiLevelType w:val="hybridMultilevel"/>
    <w:lvl w:ilvl="0">
      <w:lvlJc w:val="left"/>
      <w:lvlText w:val="(%1)"/>
      <w:numFmt w:val="lowerRoman"/>
      <w:start w:val="6"/>
    </w:lvl>
  </w:abstractNum>
  <w:abstractNum w:abstractNumId="32">
    <w:nsid w:val="24F6AB8E"/>
    <w:multiLevelType w:val="hybridMultilevel"/>
    <w:lvl w:ilvl="0">
      <w:lvlJc w:val="left"/>
      <w:lvlText w:val="(%1)"/>
      <w:numFmt w:val="decimal"/>
      <w:start w:val="1"/>
    </w:lvl>
  </w:abstractNum>
  <w:abstractNum w:abstractNumId="33">
    <w:nsid w:val="634C574C"/>
    <w:multiLevelType w:val="hybridMultilevel"/>
    <w:lvl w:ilvl="0">
      <w:lvlJc w:val="left"/>
      <w:lvlText w:val="(%1)"/>
      <w:numFmt w:val="lowerRoman"/>
      <w:start w:val="7"/>
    </w:lvl>
  </w:abstractNum>
  <w:abstractNum w:abstractNumId="34">
    <w:nsid w:val="24E99DD7"/>
    <w:multiLevelType w:val="hybridMultilevel"/>
    <w:lvl w:ilvl="0">
      <w:lvlJc w:val="left"/>
      <w:lvlText w:val="(%1)"/>
      <w:numFmt w:val="lowerRoman"/>
      <w:start w:val="8"/>
    </w:lvl>
  </w:abstractNum>
  <w:abstractNum w:abstractNumId="35">
    <w:nsid w:val="2A31B62D"/>
    <w:multiLevelType w:val="hybridMultilevel"/>
    <w:lvl w:ilvl="0">
      <w:lvlJc w:val="left"/>
      <w:lvlText w:val="(%1)"/>
      <w:numFmt w:val="lowerRoman"/>
      <w:start w:val="9"/>
    </w:lvl>
  </w:abstractNum>
  <w:abstractNum w:abstractNumId="36">
    <w:nsid w:val="1849C29B"/>
    <w:multiLevelType w:val="hybridMultilevel"/>
    <w:lvl w:ilvl="0">
      <w:lvlJc w:val="left"/>
      <w:lvlText w:val="(%1)"/>
      <w:numFmt w:val="lowerRoman"/>
      <w:start w:val="10"/>
    </w:lvl>
  </w:abstractNum>
  <w:abstractNum w:abstractNumId="37">
    <w:nsid w:val="7DFF9D09"/>
    <w:multiLevelType w:val="hybridMultilevel"/>
    <w:lvl w:ilvl="0">
      <w:lvlJc w:val="left"/>
      <w:lvlText w:val="(%1)"/>
      <w:numFmt w:val="decimal"/>
      <w:start w:val="5"/>
    </w:lvl>
  </w:abstractNum>
  <w:abstractNum w:abstractNumId="38">
    <w:nsid w:val="754342"/>
    <w:multiLevelType w:val="hybridMultilevel"/>
    <w:lvl w:ilvl="0">
      <w:lvlJc w:val="left"/>
      <w:lvlText w:val="(%1)"/>
      <w:numFmt w:val="decimal"/>
      <w:start w:val="6"/>
    </w:lvl>
  </w:abstractNum>
  <w:abstractNum w:abstractNumId="39">
    <w:nsid w:val="69E7F3E5"/>
    <w:multiLevelType w:val="hybridMultilevel"/>
    <w:lvl w:ilvl="0">
      <w:lvlJc w:val="left"/>
      <w:lvlText w:val="(%1)"/>
      <w:numFmt w:val="lowerRoman"/>
      <w:start w:val="1"/>
    </w:lvl>
  </w:abstractNum>
  <w:abstractNum w:abstractNumId="40">
    <w:nsid w:val="2A6DE806"/>
    <w:multiLevelType w:val="hybridMultilevel"/>
    <w:lvl w:ilvl="0">
      <w:lvlJc w:val="left"/>
      <w:lvlText w:val="(%1)"/>
      <w:numFmt w:val="lowerRoman"/>
      <w:start w:val="2"/>
    </w:lvl>
  </w:abstractNum>
  <w:abstractNum w:abstractNumId="41">
    <w:nsid w:val="1816F8C4"/>
    <w:multiLevelType w:val="hybridMultilevel"/>
    <w:lvl w:ilvl="0">
      <w:lvlJc w:val="left"/>
      <w:lvlText w:val="(%1)"/>
      <w:numFmt w:val="lowerRoman"/>
      <w:start w:val="3"/>
    </w:lvl>
  </w:abstractNum>
  <w:abstractNum w:abstractNumId="42">
    <w:nsid w:val="37DF2233"/>
    <w:multiLevelType w:val="hybridMultilevel"/>
    <w:lvl w:ilvl="0">
      <w:lvlJc w:val="left"/>
      <w:lvlText w:val="(%1)"/>
      <w:numFmt w:val="decimal"/>
      <w:start w:val="7"/>
    </w:lvl>
  </w:abstractNum>
  <w:abstractNum w:abstractNumId="43">
    <w:nsid w:val="7AB49DAF"/>
    <w:multiLevelType w:val="hybridMultilevel"/>
    <w:lvl w:ilvl="0">
      <w:lvlJc w:val="left"/>
      <w:lvlText w:val="(%1)"/>
      <w:numFmt w:val="decimal"/>
      <w:start w:val="1"/>
    </w:lvl>
  </w:abstractNum>
  <w:abstractNum w:abstractNumId="44">
    <w:nsid w:val="759F82CD"/>
    <w:multiLevelType w:val="hybridMultilevel"/>
    <w:lvl w:ilvl="0">
      <w:lvlJc w:val="left"/>
      <w:lvlText w:val="(%1)"/>
      <w:numFmt w:val="decimal"/>
      <w:start w:val="8"/>
    </w:lvl>
    <w:lvl w:ilvl="1">
      <w:lvlJc w:val="left"/>
      <w:lvlText w:val="(%2)"/>
      <w:numFmt w:val="lowerRoman"/>
      <w:start w:val="1"/>
    </w:lvl>
  </w:abstractNum>
  <w:abstractNum w:abstractNumId="45">
    <w:nsid w:val="61E74EA3"/>
    <w:multiLevelType w:val="hybridMultilevel"/>
    <w:lvl w:ilvl="0">
      <w:lvlJc w:val="left"/>
      <w:lvlText w:val="(%1)"/>
      <w:numFmt w:val="lowerRoman"/>
      <w:start w:val="2"/>
    </w:lvl>
  </w:abstractNum>
  <w:abstractNum w:abstractNumId="46">
    <w:nsid w:val="597B4D84"/>
    <w:multiLevelType w:val="hybridMultilevel"/>
    <w:lvl w:ilvl="0">
      <w:lvlJc w:val="left"/>
      <w:lvlText w:val="(%1)"/>
      <w:numFmt w:val="lowerRoman"/>
      <w:start w:val="3"/>
    </w:lvl>
  </w:abstractNum>
  <w:abstractNum w:abstractNumId="47">
    <w:nsid w:val="F819E7F"/>
    <w:multiLevelType w:val="hybridMultilevel"/>
    <w:lvl w:ilvl="0">
      <w:lvlJc w:val="left"/>
      <w:lvlText w:val="(%1)"/>
      <w:numFmt w:val="lowerRoman"/>
      <w:start w:val="4"/>
    </w:lvl>
  </w:abstractNum>
  <w:abstractNum w:abstractNumId="48">
    <w:nsid w:val="57C7D42D"/>
    <w:multiLevelType w:val="hybridMultilevel"/>
    <w:lvl w:ilvl="0">
      <w:lvlJc w:val="left"/>
      <w:lvlText w:val="(%1)"/>
      <w:numFmt w:val="decimal"/>
      <w:start w:val="9"/>
    </w:lvl>
  </w:abstractNum>
  <w:abstractNum w:abstractNumId="49">
    <w:nsid w:val="312167AD"/>
    <w:multiLevelType w:val="hybridMultilevel"/>
    <w:lvl w:ilvl="0">
      <w:lvlJc w:val="left"/>
      <w:lvlText w:val="(%1)"/>
      <w:numFmt w:val="lowerRoman"/>
      <w:start w:val="1"/>
    </w:lvl>
  </w:abstractNum>
  <w:abstractNum w:abstractNumId="50">
    <w:nsid w:val="631B64D4"/>
    <w:multiLevelType w:val="hybridMultilevel"/>
    <w:lvl w:ilvl="0">
      <w:lvlJc w:val="left"/>
      <w:lvlText w:val="(%1)"/>
      <w:numFmt w:val="lowerRoman"/>
      <w:start w:val="2"/>
    </w:lvl>
  </w:abstractNum>
  <w:abstractNum w:abstractNumId="51">
    <w:nsid w:val="78B5E776"/>
    <w:multiLevelType w:val="hybridMultilevel"/>
    <w:lvl w:ilvl="0">
      <w:lvlJc w:val="left"/>
      <w:lvlText w:val="(%1)"/>
      <w:numFmt w:val="decimal"/>
      <w:start w:val="10"/>
    </w:lvl>
  </w:abstractNum>
  <w:abstractNum w:abstractNumId="52">
    <w:nsid w:val="75486E47"/>
    <w:multiLevelType w:val="hybridMultilevel"/>
    <w:lvl w:ilvl="0">
      <w:lvlJc w:val="left"/>
      <w:lvlText w:val="(%1)"/>
      <w:numFmt w:val="lowerRoman"/>
      <w:start w:val="1"/>
    </w:lvl>
  </w:abstractNum>
  <w:abstractNum w:abstractNumId="53">
    <w:nsid w:val="6E534CDE"/>
    <w:multiLevelType w:val="hybridMultilevel"/>
    <w:lvl w:ilvl="0">
      <w:lvlJc w:val="left"/>
      <w:lvlText w:val="(%1)"/>
      <w:numFmt w:val="lowerRoman"/>
      <w:start w:val="2"/>
    </w:lvl>
  </w:abstractNum>
  <w:abstractNum w:abstractNumId="54">
    <w:nsid w:val="1A0DDE32"/>
    <w:multiLevelType w:val="hybridMultilevel"/>
    <w:lvl w:ilvl="0">
      <w:lvlJc w:val="left"/>
      <w:lvlText w:val="(%1)"/>
      <w:numFmt w:val="lowerRoman"/>
      <w:start w:val="3"/>
    </w:lvl>
  </w:abstractNum>
  <w:abstractNum w:abstractNumId="55">
    <w:nsid w:val="65968C1C"/>
    <w:multiLevelType w:val="hybridMultilevel"/>
    <w:lvl w:ilvl="0">
      <w:lvlJc w:val="left"/>
      <w:lvlText w:val="(%1)"/>
      <w:numFmt w:val="lowerRoman"/>
      <w:start w:val="4"/>
    </w:lvl>
  </w:abstractNum>
  <w:abstractNum w:abstractNumId="56">
    <w:nsid w:val="46263DEC"/>
    <w:multiLevelType w:val="hybridMultilevel"/>
    <w:lvl w:ilvl="0">
      <w:lvlJc w:val="left"/>
      <w:lvlText w:val="(%1)"/>
      <w:numFmt w:val="decimal"/>
      <w:start w:val="11"/>
    </w:lvl>
    <w:lvl w:ilvl="1">
      <w:lvlJc w:val="left"/>
      <w:lvlText w:val="(%2)"/>
      <w:numFmt w:val="lowerRoman"/>
      <w:start w:val="1"/>
    </w:lvl>
  </w:abstractNum>
  <w:abstractNum w:abstractNumId="57">
    <w:nsid w:val="260D8C4A"/>
    <w:multiLevelType w:val="hybridMultilevel"/>
    <w:lvl w:ilvl="0">
      <w:lvlJc w:val="left"/>
      <w:lvlText w:val="(%1)"/>
      <w:numFmt w:val="upperLetter"/>
      <w:start w:val="3"/>
    </w:lvl>
    <w:lvl w:ilvl="1">
      <w:lvlJc w:val="left"/>
      <w:lvlText w:val="(%2)"/>
      <w:numFmt w:val="lowerRoman"/>
      <w:start w:val="2"/>
    </w:lvl>
  </w:abstractNum>
  <w:abstractNum w:abstractNumId="58">
    <w:nsid w:val="73D4D3C4"/>
    <w:multiLevelType w:val="hybridMultilevel"/>
    <w:lvl w:ilvl="0">
      <w:lvlJc w:val="left"/>
      <w:lvlText w:val="(%1)"/>
      <w:numFmt w:val="lowerRoman"/>
      <w:start w:val="3"/>
    </w:lvl>
  </w:abstractNum>
  <w:abstractNum w:abstractNumId="59">
    <w:nsid w:val="746F2E30"/>
    <w:multiLevelType w:val="hybridMultilevel"/>
    <w:lvl w:ilvl="0">
      <w:lvlJc w:val="left"/>
      <w:lvlText w:val="(%1)"/>
      <w:numFmt w:val="lowerRoman"/>
      <w:start w:val="4"/>
    </w:lvl>
  </w:abstractNum>
  <w:abstractNum w:abstractNumId="60">
    <w:nsid w:val="6FDE8AF6"/>
    <w:multiLevelType w:val="hybridMultilevel"/>
    <w:lvl w:ilvl="0">
      <w:lvlJc w:val="left"/>
      <w:lvlText w:val="(%1)"/>
      <w:numFmt w:val="lowerRoman"/>
      <w:start w:val="5"/>
    </w:lvl>
  </w:abstractNum>
  <w:abstractNum w:abstractNumId="61">
    <w:nsid w:val="3FC32E20"/>
    <w:multiLevelType w:val="hybridMultilevel"/>
    <w:lvl w:ilvl="0">
      <w:lvlJc w:val="left"/>
      <w:lvlText w:val="(%1)"/>
      <w:numFmt w:val="decimal"/>
      <w:start w:val="12"/>
    </w:lvl>
  </w:abstractNum>
  <w:abstractNum w:abstractNumId="62">
    <w:nsid w:val="49C0E823"/>
    <w:multiLevelType w:val="hybridMultilevel"/>
    <w:lvl w:ilvl="0">
      <w:lvlJc w:val="left"/>
      <w:lvlText w:val="(%1)"/>
      <w:numFmt w:val="lowerRoman"/>
      <w:start w:val="1"/>
    </w:lvl>
  </w:abstractNum>
  <w:abstractNum w:abstractNumId="63">
    <w:nsid w:val="14D53685"/>
    <w:multiLevelType w:val="hybridMultilevel"/>
    <w:lvl w:ilvl="0">
      <w:lvlJc w:val="left"/>
      <w:lvlText w:val="I"/>
      <w:numFmt w:val="bullet"/>
      <w:start w:val="1"/>
    </w:lvl>
  </w:abstractNum>
  <w:abstractNum w:abstractNumId="64">
    <w:nsid w:val="230F856C"/>
    <w:multiLevelType w:val="hybridMultilevel"/>
    <w:lvl w:ilvl="0">
      <w:lvlJc w:val="left"/>
      <w:lvlText w:val="(%1)"/>
      <w:numFmt w:val="decimal"/>
      <w:start w:val="1"/>
    </w:lvl>
  </w:abstractNum>
  <w:abstractNum w:abstractNumId="65">
    <w:nsid w:val="6EAA85FB"/>
    <w:multiLevelType w:val="hybridMultilevel"/>
    <w:lvl w:ilvl="0">
      <w:lvlJc w:val="left"/>
      <w:lvlText w:val="(%1)"/>
      <w:numFmt w:val="decimal"/>
      <w:start w:val="1"/>
    </w:lvl>
  </w:abstractNum>
  <w:abstractNum w:abstractNumId="66">
    <w:nsid w:val="3F06ECB2"/>
    <w:multiLevelType w:val="hybridMultilevel"/>
    <w:lvl w:ilvl="0">
      <w:lvlJc w:val="left"/>
      <w:lvlText w:val="(%1)"/>
      <w:numFmt w:val="decimal"/>
      <w:start w:val="1"/>
    </w:lvl>
  </w:abstractNum>
  <w:abstractNum w:abstractNumId="67">
    <w:nsid w:val="3B594807"/>
    <w:multiLevelType w:val="hybridMultilevel"/>
    <w:lvl w:ilvl="0">
      <w:lvlJc w:val="left"/>
      <w:lvlText w:val="(%1)"/>
      <w:numFmt w:val="lowerRoman"/>
      <w:start w:val="2"/>
    </w:lvl>
  </w:abstractNum>
  <w:abstractNum w:abstractNumId="68">
    <w:nsid w:val="6CAA2304"/>
    <w:multiLevelType w:val="hybridMultilevel"/>
    <w:lvl w:ilvl="0">
      <w:lvlJc w:val="left"/>
      <w:lvlText w:val="(%1)"/>
      <w:numFmt w:val="lowerRoman"/>
      <w:start w:val="3"/>
    </w:lvl>
  </w:abstractNum>
  <w:abstractNum w:abstractNumId="69">
    <w:nsid w:val="3F7C2FF4"/>
    <w:multiLevelType w:val="hybridMultilevel"/>
    <w:lvl w:ilvl="0">
      <w:lvlJc w:val="left"/>
      <w:lvlText w:val="(%1)"/>
      <w:numFmt w:val="decimal"/>
      <w:start w:val="1"/>
    </w:lvl>
  </w:abstractNum>
  <w:abstractNum w:abstractNumId="70">
    <w:nsid w:val="25413BEC"/>
    <w:multiLevelType w:val="hybridMultilevel"/>
    <w:lvl w:ilvl="0">
      <w:lvlJc w:val="left"/>
      <w:lvlText w:val="(%1)"/>
      <w:numFmt w:val="decimal"/>
      <w:start w:val="1"/>
    </w:lvl>
  </w:abstractNum>
  <w:abstractNum w:abstractNumId="71">
    <w:nsid w:val="17180B0B"/>
    <w:multiLevelType w:val="hybridMultilevel"/>
    <w:lvl w:ilvl="0">
      <w:lvlJc w:val="left"/>
      <w:lvlText w:val="(%1)"/>
      <w:numFmt w:val="decimal"/>
      <w:start w:val="11"/>
    </w:lvl>
  </w:abstractNum>
  <w:abstractNum w:abstractNumId="72">
    <w:nsid w:val="579328B9"/>
    <w:multiLevelType w:val="hybridMultilevel"/>
    <w:lvl w:ilvl="0">
      <w:lvlJc w:val="left"/>
      <w:lvlText w:val="(%1)"/>
      <w:numFmt w:val="decimal"/>
      <w:start w:val="1"/>
    </w:lvl>
  </w:abstractNum>
  <w:abstractNum w:abstractNumId="73">
    <w:nsid w:val="5D205E20"/>
    <w:multiLevelType w:val="hybridMultilevel"/>
    <w:lvl w:ilvl="0">
      <w:lvlJc w:val="left"/>
      <w:lvlText w:val="(%1)"/>
      <w:numFmt w:val="lowerRoman"/>
      <w:start w:val="5"/>
    </w:lvl>
  </w:abstractNum>
  <w:abstractNum w:abstractNumId="74">
    <w:nsid w:val="11CCA8BA"/>
    <w:multiLevelType w:val="hybridMultilevel"/>
    <w:lvl w:ilvl="0">
      <w:lvlJc w:val="left"/>
      <w:lvlText w:val="(%1)"/>
      <w:numFmt w:val="decimal"/>
      <w:start w:val="1"/>
    </w:lvl>
  </w:abstractNum>
  <w:abstractNum w:abstractNumId="75">
    <w:nsid w:val="4D32AB86"/>
    <w:multiLevelType w:val="hybridMultilevel"/>
    <w:lvl w:ilvl="0">
      <w:lvlJc w:val="left"/>
      <w:lvlText w:val="(%1)"/>
      <w:numFmt w:val="lowerRoman"/>
      <w:start w:val="6"/>
    </w:lvl>
  </w:abstractNum>
  <w:abstractNum w:abstractNumId="76">
    <w:nsid w:val="3F07ACC3"/>
    <w:multiLevelType w:val="hybridMultilevel"/>
    <w:lvl w:ilvl="0">
      <w:lvlJc w:val="left"/>
      <w:lvlText w:val="(%1)"/>
      <w:numFmt w:val="upperLetter"/>
      <w:start w:val="4"/>
    </w:lvl>
  </w:abstractNum>
  <w:abstractNum w:abstractNumId="77">
    <w:nsid w:val="6B47F63E"/>
    <w:multiLevelType w:val="hybridMultilevel"/>
    <w:lvl w:ilvl="0">
      <w:lvlJc w:val="left"/>
      <w:lvlText w:val="(%1)"/>
      <w:numFmt w:val="upperLetter"/>
      <w:start w:val="1"/>
    </w:lvl>
  </w:abstractNum>
  <w:abstractNum w:abstractNumId="78">
    <w:nsid w:val="5CB44A05"/>
    <w:multiLevelType w:val="hybridMultilevel"/>
    <w:lvl w:ilvl="0">
      <w:lvlJc w:val="left"/>
      <w:lvlText w:val="(%1)"/>
      <w:numFmt w:val="decimal"/>
      <w:start w:val="1"/>
    </w:lvl>
  </w:abstractNum>
  <w:abstractNum w:abstractNumId="79">
    <w:nsid w:val="16CF80F1"/>
    <w:multiLevelType w:val="hybridMultilevel"/>
    <w:lvl w:ilvl="0">
      <w:lvlJc w:val="left"/>
      <w:lvlText w:val="(%1)"/>
      <w:numFmt w:val="lowerRoman"/>
      <w:start w:val="2"/>
    </w:lvl>
  </w:abstractNum>
  <w:abstractNum w:abstractNumId="80">
    <w:nsid w:val="1C695DEC"/>
    <w:multiLevelType w:val="hybridMultilevel"/>
    <w:lvl w:ilvl="0">
      <w:lvlJc w:val="left"/>
      <w:lvlText w:val="(%1)"/>
      <w:numFmt w:val="decimal"/>
      <w:start w:val="2"/>
    </w:lvl>
  </w:abstractNum>
  <w:abstractNum w:abstractNumId="81">
    <w:nsid w:val="3FCFAED9"/>
    <w:multiLevelType w:val="hybridMultilevel"/>
    <w:lvl w:ilvl="0">
      <w:lvlJc w:val="left"/>
      <w:lvlText w:val="(%1)"/>
      <w:numFmt w:val="decimal"/>
      <w:start w:val="1"/>
    </w:lvl>
  </w:abstractNum>
  <w:abstractNum w:abstractNumId="82">
    <w:nsid w:val="F856867"/>
    <w:multiLevelType w:val="hybridMultilevel"/>
    <w:lvl w:ilvl="0">
      <w:lvlJc w:val="left"/>
      <w:lvlText w:val="(%1)"/>
      <w:numFmt w:val="upperLetter"/>
      <w:start w:val="3"/>
    </w:lvl>
  </w:abstractNum>
  <w:abstractNum w:abstractNumId="83">
    <w:nsid w:val="11B1CC33"/>
    <w:multiLevelType w:val="hybridMultilevel"/>
    <w:lvl w:ilvl="0">
      <w:lvlJc w:val="left"/>
      <w:lvlText w:val="(%1)"/>
      <w:numFmt w:val="upperLetter"/>
      <w:start w:val="5"/>
    </w:lvl>
  </w:abstractNum>
  <w:abstractNum w:abstractNumId="84">
    <w:nsid w:val="2E22FBB7"/>
    <w:multiLevelType w:val="hybridMultilevel"/>
    <w:lvl w:ilvl="0">
      <w:lvlJc w:val="left"/>
      <w:lvlText w:val="(%1)"/>
      <w:numFmt w:val="upperLetter"/>
      <w:start w:val="6"/>
    </w:lvl>
  </w:abstractNum>
  <w:abstractNum w:abstractNumId="85">
    <w:nsid w:val="29934699"/>
    <w:multiLevelType w:val="hybridMultilevel"/>
    <w:lvl w:ilvl="0">
      <w:lvlJc w:val="left"/>
      <w:lvlText w:val="·"/>
      <w:numFmt w:val="bullet"/>
      <w:start w:val="1"/>
    </w:lvl>
  </w:abstractNum>
  <w:abstractNum w:abstractNumId="86">
    <w:nsid w:val="77485850"/>
    <w:multiLevelType w:val="hybridMultilevel"/>
    <w:lvl w:ilvl="0">
      <w:lvlJc w:val="left"/>
      <w:lvlText w:val="·"/>
      <w:numFmt w:val="bullet"/>
      <w:start w:val="1"/>
    </w:lvl>
  </w:abstractNum>
  <w:abstractNum w:abstractNumId="87">
    <w:nsid w:val="744939A3"/>
    <w:multiLevelType w:val="hybridMultilevel"/>
    <w:lvl w:ilvl="0">
      <w:lvlJc w:val="left"/>
      <w:lvlText w:val="(%1)"/>
      <w:numFmt w:val="upperLetter"/>
      <w:start w:val="1"/>
    </w:lvl>
  </w:abstractNum>
  <w:abstractNum w:abstractNumId="88">
    <w:nsid w:val="4FA0D2E3"/>
    <w:multiLevelType w:val="hybridMultilevel"/>
    <w:lvl w:ilvl="0">
      <w:lvlJc w:val="left"/>
      <w:lvlText w:val="(%1)"/>
      <w:numFmt w:val="decimal"/>
      <w:start w:val="1"/>
    </w:lvl>
  </w:abstractNum>
  <w:abstractNum w:abstractNumId="89">
    <w:nsid w:val="6B1D2C14"/>
    <w:multiLevelType w:val="hybridMultilevel"/>
    <w:lvl w:ilvl="0">
      <w:lvlJc w:val="left"/>
      <w:lvlText w:val="(%1)"/>
      <w:numFmt w:val="decimal"/>
      <w:start w:val="1"/>
    </w:lvl>
  </w:abstractNum>
  <w:abstractNum w:abstractNumId="90">
    <w:nsid w:val="68B867D3"/>
    <w:multiLevelType w:val="hybridMultilevel"/>
    <w:lvl w:ilvl="0">
      <w:lvlJc w:val="left"/>
      <w:lvlText w:val="(%1)"/>
      <w:numFmt w:val="upperLetter"/>
      <w:start w:val="2"/>
    </w:lvl>
  </w:abstractNum>
  <w:abstractNum w:abstractNumId="91">
    <w:nsid w:val="3F7F5DD9"/>
    <w:multiLevelType w:val="hybridMultilevel"/>
    <w:lvl w:ilvl="0">
      <w:lvlJc w:val="left"/>
      <w:lvlText w:val="(%1)"/>
      <w:numFmt w:val="upperLetter"/>
      <w:start w:val="3"/>
    </w:lvl>
  </w:abstractNum>
  <w:abstractNum w:abstractNumId="92">
    <w:nsid w:val="2AE05A34"/>
    <w:multiLevelType w:val="hybridMultilevel"/>
    <w:lvl w:ilvl="0">
      <w:lvlJc w:val="left"/>
      <w:lvlText w:val="(%1)"/>
      <w:numFmt w:val="upperLetter"/>
      <w:start w:val="4"/>
    </w:lvl>
  </w:abstractNum>
  <w:abstractNum w:abstractNumId="93">
    <w:nsid w:val="32794FF7"/>
    <w:multiLevelType w:val="hybridMultilevel"/>
    <w:lvl w:ilvl="0">
      <w:lvlJc w:val="left"/>
      <w:lvlText w:val="(%1)"/>
      <w:numFmt w:val="upperLetter"/>
      <w:start w:val="5"/>
    </w:lvl>
  </w:abstractNum>
  <w:abstractNum w:abstractNumId="94">
    <w:nsid w:val="5454945E"/>
    <w:multiLevelType w:val="hybridMultilevel"/>
    <w:lvl w:ilvl="0">
      <w:lvlJc w:val="left"/>
      <w:lvlText w:val="(%1)"/>
      <w:numFmt w:val="upperLetter"/>
      <w:start w:val="1"/>
    </w:lvl>
  </w:abstractNum>
  <w:abstractNum w:abstractNumId="95">
    <w:nsid w:val="4DEFDFA0"/>
    <w:multiLevelType w:val="hybridMultilevel"/>
    <w:lvl w:ilvl="0">
      <w:lvlJc w:val="left"/>
      <w:lvlText w:val="(%1)"/>
      <w:numFmt w:val="decimal"/>
      <w:start w:val="1"/>
    </w:lvl>
  </w:abstractNum>
  <w:abstractNum w:abstractNumId="96">
    <w:nsid w:val="2123D5F2"/>
    <w:multiLevelType w:val="hybridMultilevel"/>
    <w:lvl w:ilvl="0">
      <w:lvlJc w:val="left"/>
      <w:lvlText w:val="(%1)"/>
      <w:numFmt w:val="upperLetter"/>
      <w:start w:val="2"/>
    </w:lvl>
    <w:lvl w:ilvl="1">
      <w:lvlJc w:val="left"/>
      <w:lvlText w:val="(%2)"/>
      <w:numFmt w:val="lowerRoman"/>
      <w:start w:val="1"/>
    </w:lvl>
  </w:abstractNum>
  <w:abstractNum w:abstractNumId="97">
    <w:nsid w:val="135B8110"/>
    <w:multiLevelType w:val="hybridMultilevel"/>
    <w:lvl w:ilvl="0">
      <w:lvlJc w:val="left"/>
      <w:lvlText w:val="(%1)"/>
      <w:numFmt w:val="upperLetter"/>
      <w:start w:val="3"/>
    </w:lvl>
  </w:abstractNum>
  <w:abstractNum w:abstractNumId="98">
    <w:nsid w:val="94927A8"/>
    <w:multiLevelType w:val="hybridMultilevel"/>
    <w:lvl w:ilvl="0">
      <w:lvlJc w:val="left"/>
      <w:lvlText w:val="(%1)"/>
      <w:numFmt w:val="upperLetter"/>
      <w:start w:val="1"/>
    </w:lvl>
  </w:abstractNum>
  <w:abstractNum w:abstractNumId="99">
    <w:nsid w:val="DCDF8F6"/>
    <w:multiLevelType w:val="hybridMultilevel"/>
    <w:lvl w:ilvl="0">
      <w:lvlJc w:val="left"/>
      <w:lvlText w:val="(%1)"/>
      <w:numFmt w:val="upperLetter"/>
      <w:start w:val="2"/>
    </w:lvl>
  </w:abstractNum>
  <w:abstractNum w:abstractNumId="100">
    <w:nsid w:val="52D7B105"/>
    <w:multiLevelType w:val="hybridMultilevel"/>
    <w:lvl w:ilvl="0">
      <w:lvlJc w:val="left"/>
      <w:lvlText w:val="(%1)"/>
      <w:numFmt w:val="upperLetter"/>
      <w:start w:val="1"/>
    </w:lvl>
  </w:abstractNum>
  <w:abstractNum w:abstractNumId="101">
    <w:nsid w:val="2E8A6394"/>
    <w:multiLevelType w:val="hybridMultilevel"/>
    <w:lvl w:ilvl="0">
      <w:lvlJc w:val="left"/>
      <w:lvlText w:val="(%1)"/>
      <w:numFmt w:val="decimal"/>
      <w:start w:val="1"/>
    </w:lvl>
  </w:abstractNum>
  <w:abstractNum w:abstractNumId="102">
    <w:nsid w:val="24E60401"/>
    <w:multiLevelType w:val="hybridMultilevel"/>
    <w:lvl w:ilvl="0">
      <w:lvlJc w:val="left"/>
      <w:lvlText w:val="(%1)"/>
      <w:numFmt w:val="decimal"/>
      <w:start w:val="1"/>
    </w:lvl>
  </w:abstractNum>
  <w:abstractNum w:abstractNumId="103">
    <w:nsid w:val="2A6AD9BE"/>
    <w:multiLevelType w:val="hybridMultilevel"/>
    <w:lvl w:ilvl="0">
      <w:lvlJc w:val="left"/>
      <w:lvlText w:val="(%1)"/>
      <w:numFmt w:val="upperLetter"/>
      <w:start w:val="2"/>
    </w:lvl>
    <w:lvl w:ilvl="1">
      <w:lvlJc w:val="left"/>
      <w:lvlText w:val="(%2)"/>
      <w:numFmt w:val="lowerRoman"/>
      <w:start w:val="1"/>
    </w:lvl>
  </w:abstractNum>
  <w:abstractNum w:abstractNumId="104">
    <w:nsid w:val="BAAC1B4"/>
    <w:multiLevelType w:val="hybridMultilevel"/>
    <w:lvl w:ilvl="0">
      <w:lvlJc w:val="left"/>
      <w:lvlText w:val="(%1)"/>
      <w:numFmt w:val="upperLetter"/>
      <w:start w:val="4"/>
    </w:lvl>
  </w:abstractNum>
  <w:abstractNum w:abstractNumId="105">
    <w:nsid w:val="36B2ACBC"/>
    <w:multiLevelType w:val="hybridMultilevel"/>
    <w:lvl w:ilvl="0">
      <w:lvlJc w:val="left"/>
      <w:lvlText w:val="(%1)"/>
      <w:numFmt w:val="upperLetter"/>
      <w:start w:val="5"/>
    </w:lvl>
  </w:abstractNum>
  <w:abstractNum w:abstractNumId="106">
    <w:nsid w:val="779D8544"/>
    <w:multiLevelType w:val="hybridMultilevel"/>
    <w:lvl w:ilvl="0">
      <w:lvlJc w:val="left"/>
      <w:lvlText w:val="(%1)"/>
      <w:numFmt w:val="upperLetter"/>
      <w:start w:val="1"/>
    </w:lvl>
  </w:abstractNum>
  <w:abstractNum w:abstractNumId="107">
    <w:nsid w:val="4AB26E78"/>
    <w:multiLevelType w:val="hybridMultilevel"/>
    <w:lvl w:ilvl="0">
      <w:lvlJc w:val="left"/>
      <w:lvlText w:val="(%1)"/>
      <w:numFmt w:val="upperLetter"/>
      <w:start w:val="3"/>
    </w:lvl>
  </w:abstractNum>
  <w:abstractNum w:abstractNumId="108">
    <w:nsid w:val="21FAA2FA"/>
    <w:multiLevelType w:val="hybridMultilevel"/>
    <w:lvl w:ilvl="0">
      <w:lvlJc w:val="left"/>
      <w:lvlText w:val="(%1)"/>
      <w:numFmt w:val="upperLetter"/>
      <w:start w:val="5"/>
    </w:lvl>
  </w:abstractNum>
  <w:abstractNum w:abstractNumId="109">
    <w:nsid w:val="5451CF49"/>
    <w:multiLevelType w:val="hybridMultilevel"/>
    <w:lvl w:ilvl="0">
      <w:lvlJc w:val="left"/>
      <w:lvlText w:val="(%1)"/>
      <w:numFmt w:val="upperLetter"/>
      <w:start w:val="6"/>
    </w:lvl>
  </w:abstractNum>
  <w:abstractNum w:abstractNumId="110">
    <w:nsid w:val="6181EF69"/>
    <w:multiLevelType w:val="hybridMultilevel"/>
    <w:lvl w:ilvl="0">
      <w:lvlJc w:val="left"/>
      <w:lvlText w:val="(%1)"/>
      <w:numFmt w:val="upperLetter"/>
      <w:start w:val="8"/>
    </w:lvl>
  </w:abstractNum>
  <w:abstractNum w:abstractNumId="111">
    <w:nsid w:val="3E6400E6"/>
    <w:multiLevelType w:val="hybridMultilevel"/>
    <w:lvl w:ilvl="0">
      <w:lvlJc w:val="left"/>
      <w:lvlText w:val="(%1)"/>
      <w:numFmt w:val="decimal"/>
      <w:start w:val="1"/>
    </w:lvl>
  </w:abstractNum>
  <w:abstractNum w:abstractNumId="112">
    <w:nsid w:val="14217E23"/>
    <w:multiLevelType w:val="hybridMultilevel"/>
    <w:lvl w:ilvl="0">
      <w:lvlJc w:val="left"/>
      <w:lvlText w:val="(%1)"/>
      <w:numFmt w:val="decimal"/>
      <w:start w:val="1"/>
    </w:lvl>
  </w:abstractNum>
  <w:abstractNum w:abstractNumId="113">
    <w:nsid w:val="710757D0"/>
    <w:multiLevelType w:val="hybridMultilevel"/>
    <w:lvl w:ilvl="0">
      <w:lvlJc w:val="left"/>
      <w:lvlText w:val="(%1)"/>
      <w:numFmt w:val="upperLetter"/>
      <w:start w:val="1"/>
    </w:lvl>
  </w:abstractNum>
  <w:abstractNum w:abstractNumId="114">
    <w:nsid w:val="5015CD1A"/>
    <w:multiLevelType w:val="hybridMultilevel"/>
    <w:lvl w:ilvl="0">
      <w:lvlJc w:val="left"/>
      <w:lvlText w:val="(%1)"/>
      <w:numFmt w:val="upperLetter"/>
      <w:start w:val="1"/>
    </w:lvl>
  </w:abstractNum>
  <w:abstractNum w:abstractNumId="115">
    <w:nsid w:val="424479DA"/>
    <w:multiLevelType w:val="hybridMultilevel"/>
    <w:lvl w:ilvl="0">
      <w:lvlJc w:val="left"/>
      <w:lvlText w:val="(%1)"/>
      <w:numFmt w:val="upperLetter"/>
      <w:start w:val="2"/>
    </w:lvl>
  </w:abstractNum>
  <w:abstractNum w:abstractNumId="116">
    <w:nsid w:val="1A9A9E69"/>
    <w:multiLevelType w:val="hybridMultilevel"/>
    <w:lvl w:ilvl="0">
      <w:lvlJc w:val="left"/>
      <w:lvlText w:val="(%1)"/>
      <w:numFmt w:val="lowerRoman"/>
      <w:start w:val="1"/>
    </w:lvl>
  </w:abstractNum>
  <w:abstractNum w:abstractNumId="117">
    <w:nsid w:val="475E256A"/>
    <w:multiLevelType w:val="hybridMultilevel"/>
    <w:lvl w:ilvl="0">
      <w:lvlJc w:val="left"/>
      <w:lvlText w:val="(%1)"/>
      <w:numFmt w:val="upperLetter"/>
      <w:start w:val="3"/>
    </w:lvl>
  </w:abstractNum>
  <w:abstractNum w:abstractNumId="118">
    <w:nsid w:val="368DB37E"/>
    <w:multiLevelType w:val="hybridMultilevel"/>
    <w:lvl w:ilvl="0">
      <w:lvlJc w:val="left"/>
      <w:lvlText w:val="(%1)"/>
      <w:numFmt w:val="upperLetter"/>
      <w:start w:val="4"/>
    </w:lvl>
  </w:abstractNum>
  <w:abstractNum w:abstractNumId="119">
    <w:nsid w:val="6A3B714C"/>
    <w:multiLevelType w:val="hybridMultilevel"/>
    <w:lvl w:ilvl="0">
      <w:lvlJc w:val="left"/>
      <w:lvlText w:val="8"/>
      <w:numFmt w:val="bullet"/>
      <w:start w:val="1"/>
    </w:lvl>
  </w:abstractNum>
  <w:abstractNum w:abstractNumId="120">
    <w:nsid w:val="327B517E"/>
    <w:multiLevelType w:val="hybridMultilevel"/>
    <w:lvl w:ilvl="0">
      <w:lvlJc w:val="left"/>
      <w:lvlText w:val="%1."/>
      <w:numFmt w:val="decimal"/>
      <w:start w:val="1"/>
    </w:lvl>
    <w:lvl w:ilvl="1">
      <w:lvlJc w:val="left"/>
      <w:lvlText w:val="(%2)"/>
      <w:numFmt w:val="lowerLetter"/>
      <w:start w:val="1"/>
    </w:lvl>
  </w:abstractNum>
  <w:abstractNum w:abstractNumId="121">
    <w:nsid w:val="1F461B51"/>
    <w:multiLevelType w:val="hybridMultilevel"/>
    <w:lvl w:ilvl="0">
      <w:lvlJc w:val="left"/>
      <w:lvlText w:val="(*)"/>
      <w:numFmt w:val="bullet"/>
      <w:start w:val="1"/>
    </w:lvl>
  </w:abstractNum>
  <w:abstractNum w:abstractNumId="122">
    <w:nsid w:val="29BACF25"/>
    <w:multiLevelType w:val="hybridMultilevel"/>
    <w:lvl w:ilvl="0">
      <w:lvlJc w:val="left"/>
      <w:lvlText w:val="(%1)"/>
      <w:numFmt w:val="lowerLetter"/>
      <w:start w:val="2"/>
    </w:lvl>
  </w:abstractNum>
  <w:abstractNum w:abstractNumId="123">
    <w:nsid w:val="5D5BABB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4">
    <w:nsid w:val="51BF6B48"/>
    <w:multiLevelType w:val="hybridMultilevel"/>
    <w:lvl w:ilvl="0">
      <w:lvlJc w:val="left"/>
      <w:lvlText w:val="·"/>
      <w:numFmt w:val="bullet"/>
      <w:start w:val="1"/>
    </w:lvl>
  </w:abstractNum>
  <w:abstractNum w:abstractNumId="125">
    <w:nsid w:val="7E0F6384"/>
    <w:multiLevelType w:val="hybridMultilevel"/>
    <w:lvl w:ilvl="0">
      <w:lvlJc w:val="left"/>
      <w:lvlText w:val="·"/>
      <w:numFmt w:val="bullet"/>
      <w:start w:val="1"/>
    </w:lvl>
    <w:lvl w:ilvl="1">
      <w:lvlJc w:val="left"/>
      <w:lvlText w:val="(%2)"/>
      <w:numFmt w:val="lowerRoman"/>
      <w:start w:val="1"/>
    </w:lvl>
  </w:abstractNum>
  <w:abstractNum w:abstractNumId="126">
    <w:nsid w:val="2B4B8B53"/>
    <w:multiLevelType w:val="hybridMultilevel"/>
    <w:lvl w:ilvl="0">
      <w:lvlJc w:val="left"/>
      <w:lvlText w:val="(%1)"/>
      <w:numFmt w:val="lowerLetter"/>
      <w:start w:val="1"/>
    </w:lvl>
    <w:lvl w:ilvl="1">
      <w:lvlJc w:val="left"/>
      <w:lvlText w:val="·"/>
      <w:numFmt w:val="bullet"/>
      <w:start w:val="1"/>
    </w:lvl>
  </w:abstractNum>
  <w:abstractNum w:abstractNumId="127">
    <w:nsid w:val="72E3413A"/>
    <w:multiLevelType w:val="hybridMultilevel"/>
    <w:lvl w:ilvl="0">
      <w:lvlJc w:val="left"/>
      <w:lvlText w:val="(%1)"/>
      <w:numFmt w:val="lowerRoman"/>
      <w:start w:val="1"/>
    </w:lvl>
  </w:abstractNum>
  <w:abstractNum w:abstractNumId="128">
    <w:nsid w:val="116AE494"/>
    <w:multiLevelType w:val="hybridMultilevel"/>
    <w:lvl w:ilvl="0">
      <w:lvlJc w:val="left"/>
      <w:lvlText w:val="(%1)"/>
      <w:numFmt w:val="lowerRoman"/>
      <w:start w:val="3"/>
    </w:lvl>
  </w:abstractNum>
  <w:abstractNum w:abstractNumId="129">
    <w:nsid w:val="3494B2FB"/>
    <w:multiLevelType w:val="hybridMultilevel"/>
    <w:lvl w:ilvl="0">
      <w:lvlJc w:val="left"/>
      <w:lvlText w:val="(%1)"/>
      <w:numFmt w:val="lowerLetter"/>
      <w:start w:val="3"/>
    </w:lvl>
  </w:abstractNum>
  <w:abstractNum w:abstractNumId="130">
    <w:nsid w:val="B13A31"/>
    <w:multiLevelType w:val="hybridMultilevel"/>
    <w:lvl w:ilvl="0">
      <w:lvlJc w:val="left"/>
      <w:lvlText w:val="(%1)"/>
      <w:numFmt w:val="lowerLetter"/>
      <w:start w:val="3"/>
    </w:lvl>
    <w:lvl w:ilvl="1">
      <w:lvlJc w:val="left"/>
      <w:lvlText w:val="·"/>
      <w:numFmt w:val="bullet"/>
      <w:start w:val="1"/>
    </w:lvl>
  </w:abstractNum>
  <w:abstractNum w:abstractNumId="131">
    <w:nsid w:val="64429599"/>
    <w:multiLevelType w:val="hybridMultilevel"/>
    <w:lvl w:ilvl="0">
      <w:lvlJc w:val="left"/>
      <w:lvlText w:val="(%1)"/>
      <w:numFmt w:val="lowerLetter"/>
      <w:start w:val="6"/>
    </w:lvl>
  </w:abstractNum>
  <w:abstractNum w:abstractNumId="132">
    <w:nsid w:val="631F1690"/>
    <w:multiLevelType w:val="hybridMultilevel"/>
    <w:lvl w:ilvl="0">
      <w:lvlJc w:val="left"/>
      <w:lvlText w:val="(%1)"/>
      <w:numFmt w:val="lowerLetter"/>
      <w:start w:val="7"/>
    </w:lvl>
  </w:abstractNum>
  <w:abstractNum w:abstractNumId="133">
    <w:nsid w:val="25973E32"/>
    <w:multiLevelType w:val="hybridMultilevel"/>
    <w:lvl w:ilvl="0">
      <w:lvlJc w:val="left"/>
      <w:lvlText w:val="(%1)"/>
      <w:numFmt w:val="lowerLetter"/>
      <w:start w:val="9"/>
    </w:lvl>
  </w:abstractNum>
  <w:abstractNum w:abstractNumId="134">
    <w:nsid w:val="EAD6F57"/>
    <w:multiLevelType w:val="hybridMultilevel"/>
    <w:lvl w:ilvl="0">
      <w:lvlJc w:val="left"/>
      <w:lvlText w:val="(%1)"/>
      <w:numFmt w:val="lowerLetter"/>
      <w:start w:val="11"/>
    </w:lvl>
  </w:abstractNum>
  <w:abstractNum w:abstractNumId="135">
    <w:nsid w:val="6EC9D844"/>
    <w:multiLevelType w:val="hybridMultilevel"/>
    <w:lvl w:ilvl="0">
      <w:lvlJc w:val="left"/>
      <w:lvlText w:val="(%1)"/>
      <w:numFmt w:val="lowerLetter"/>
      <w:start w:val="14"/>
    </w:lvl>
  </w:abstractNum>
  <w:abstractNum w:abstractNumId="136">
    <w:nsid w:val="5C49EAEE"/>
    <w:multiLevelType w:val="hybridMultilevel"/>
    <w:lvl w:ilvl="0">
      <w:lvlJc w:val="left"/>
      <w:lvlText w:val="(%1)"/>
      <w:numFmt w:val="lowerLetter"/>
      <w:start w:val="15"/>
    </w:lvl>
  </w:abstractNum>
  <w:abstractNum w:abstractNumId="137">
    <w:nsid w:val="64AF49B"/>
    <w:multiLevelType w:val="hybridMultilevel"/>
    <w:lvl w:ilvl="0">
      <w:lvlJc w:val="left"/>
      <w:lvlText w:val="(%1)"/>
      <w:numFmt w:val="lowerLetter"/>
      <w:start w:val="19"/>
    </w:lvl>
  </w:abstractNum>
  <w:abstractNum w:abstractNumId="138">
    <w:nsid w:val="397C46BC"/>
    <w:multiLevelType w:val="hybridMultilevel"/>
    <w:lvl w:ilvl="0">
      <w:lvlJc w:val="left"/>
      <w:lvlText w:val="(%1)"/>
      <w:numFmt w:val="lowerLetter"/>
      <w:start w:val="22"/>
    </w:lvl>
  </w:abstractNum>
  <w:abstractNum w:abstractNumId="139">
    <w:nsid w:val="7E448DE9"/>
    <w:multiLevelType w:val="hybridMultilevel"/>
    <w:lvl w:ilvl="0">
      <w:lvlJc w:val="left"/>
      <w:lvlText w:val="(%1)"/>
      <w:numFmt w:val="lowerLetter"/>
      <w:start w:val="25"/>
    </w:lvl>
  </w:abstractNum>
  <w:abstractNum w:abstractNumId="140">
    <w:nsid w:val="5A9CC3E5"/>
    <w:multiLevelType w:val="hybridMultilevel"/>
    <w:lvl w:ilvl="0">
      <w:lvlJc w:val="left"/>
      <w:lvlText w:val="(%1)"/>
      <w:numFmt w:val="lowerLetter"/>
      <w:start w:val="27"/>
    </w:lvl>
    <w:lvl w:ilvl="1">
      <w:lvlJc w:val="left"/>
      <w:lvlText w:val="(%2)"/>
      <w:numFmt w:val="lowerRoman"/>
      <w:start w:val="1"/>
    </w:lvl>
  </w:abstractNum>
  <w:abstractNum w:abstractNumId="141">
    <w:nsid w:val="1AFE3625"/>
    <w:multiLevelType w:val="hybridMultilevel"/>
    <w:lvl w:ilvl="0">
      <w:lvlJc w:val="left"/>
      <w:lvlText w:val="·"/>
      <w:numFmt w:val="bullet"/>
      <w:start w:val="1"/>
    </w:lvl>
  </w:abstractNum>
  <w:abstractNum w:abstractNumId="142">
    <w:nsid w:val="3CA88ECF"/>
    <w:multiLevelType w:val="hybridMultilevel"/>
    <w:lvl w:ilvl="0">
      <w:lvlJc w:val="left"/>
      <w:lvlText w:val="%1."/>
      <w:numFmt w:val="decimal"/>
      <w:start w:val="4"/>
    </w:lvl>
    <w:lvl w:ilvl="1">
      <w:lvlJc w:val="left"/>
      <w:lvlText w:val="(%2)"/>
      <w:numFmt w:val="lowerLetter"/>
      <w:start w:val="1"/>
    </w:lvl>
  </w:abstractNum>
  <w:abstractNum w:abstractNumId="143">
    <w:nsid w:val="6EBE4208"/>
    <w:multiLevelType w:val="hybridMultilevel"/>
    <w:lvl w:ilvl="0">
      <w:lvlJc w:val="left"/>
      <w:lvlText w:val="(%1)"/>
      <w:numFmt w:val="lowerLetter"/>
      <w:start w:val="2"/>
    </w:lvl>
  </w:abstractNum>
  <w:abstractNum w:abstractNumId="144">
    <w:nsid w:val="C058DF5"/>
    <w:multiLevelType w:val="hybridMultilevel"/>
    <w:lvl w:ilvl="0">
      <w:lvlJc w:val="left"/>
      <w:lvlText w:val="%1."/>
      <w:numFmt w:val="decimal"/>
      <w:start w:val="5"/>
    </w:lvl>
    <w:lvl w:ilvl="1">
      <w:lvlJc w:val="left"/>
      <w:lvlText w:val="(%2)"/>
      <w:numFmt w:val="lowerLetter"/>
      <w:start w:val="1"/>
    </w:lvl>
  </w:abstractNum>
  <w:abstractNum w:abstractNumId="145">
    <w:nsid w:val="CBE5BE9"/>
    <w:multiLevelType w:val="hybridMultilevel"/>
    <w:lvl w:ilvl="0">
      <w:lvlJc w:val="left"/>
      <w:lvlText w:val="(%1)"/>
      <w:numFmt w:val="lowerLetter"/>
      <w:start w:val="2"/>
    </w:lvl>
  </w:abstractNum>
  <w:abstractNum w:abstractNumId="146">
    <w:nsid w:val="3102BBE2"/>
    <w:multiLevelType w:val="hybridMultilevel"/>
    <w:lvl w:ilvl="0">
      <w:lvlJc w:val="left"/>
      <w:lvlText w:val="%1."/>
      <w:numFmt w:val="decimal"/>
      <w:start w:val="6"/>
    </w:lvl>
    <w:lvl w:ilvl="1">
      <w:lvlJc w:val="left"/>
      <w:lvlText w:val="(%2)"/>
      <w:numFmt w:val="lowerLetter"/>
      <w:start w:val="1"/>
    </w:lvl>
  </w:abstractNum>
  <w:abstractNum w:abstractNumId="147">
    <w:nsid w:val="26A02C5E"/>
    <w:multiLevelType w:val="hybridMultilevel"/>
    <w:lvl w:ilvl="0">
      <w:lvlJc w:val="left"/>
      <w:lvlText w:val="(%1)"/>
      <w:numFmt w:val="lowerLetter"/>
      <w:start w:val="2"/>
    </w:lvl>
  </w:abstractNum>
  <w:abstractNum w:abstractNumId="148">
    <w:nsid w:val="541C8153"/>
    <w:multiLevelType w:val="hybridMultilevel"/>
    <w:lvl w:ilvl="0">
      <w:lvlJc w:val="left"/>
      <w:lvlText w:val="(%1)"/>
      <w:numFmt w:val="lowerLetter"/>
      <w:start w:val="3"/>
    </w:lvl>
  </w:abstractNum>
  <w:abstractNum w:abstractNumId="149">
    <w:nsid w:val="67906F60"/>
    <w:multiLevelType w:val="hybridMultilevel"/>
    <w:lvl w:ilvl="0">
      <w:lvlJc w:val="left"/>
      <w:lvlText w:val="(%1)"/>
      <w:numFmt w:val="lowerLetter"/>
      <w:start w:val="4"/>
    </w:lvl>
  </w:abstractNum>
  <w:abstractNum w:abstractNumId="150">
    <w:nsid w:val="10DB9DAA"/>
    <w:multiLevelType w:val="hybridMultilevel"/>
    <w:lvl w:ilvl="0">
      <w:lvlJc w:val="left"/>
      <w:lvlText w:val="(%1)"/>
      <w:numFmt w:val="lowerLetter"/>
      <w:start w:val="7"/>
    </w:lvl>
  </w:abstractNum>
  <w:abstractNum w:abstractNumId="151">
    <w:nsid w:val="697D2D2"/>
    <w:multiLevelType w:val="hybridMultilevel"/>
    <w:lvl w:ilvl="0">
      <w:lvlJc w:val="left"/>
      <w:lvlText w:val="(%1)"/>
      <w:numFmt w:val="lowerLetter"/>
      <w:start w:val="11"/>
    </w:lvl>
  </w:abstractNum>
  <w:abstractNum w:abstractNumId="152">
    <w:nsid w:val="6D68AB2"/>
    <w:multiLevelType w:val="hybridMultilevel"/>
    <w:lvl w:ilvl="0">
      <w:lvlJc w:val="left"/>
      <w:lvlText w:val="%1."/>
      <w:numFmt w:val="decimal"/>
      <w:start w:val="7"/>
    </w:lvl>
    <w:lvl w:ilvl="1">
      <w:lvlJc w:val="left"/>
      <w:lvlText w:val="(%2)"/>
      <w:numFmt w:val="lowerLetter"/>
      <w:start w:val="1"/>
    </w:lvl>
  </w:abstractNum>
  <w:abstractNum w:abstractNumId="153">
    <w:nsid w:val="3A966CD0"/>
    <w:multiLevelType w:val="hybridMultilevel"/>
    <w:lvl w:ilvl="0">
      <w:lvlJc w:val="left"/>
      <w:lvlText w:val="(%1)"/>
      <w:numFmt w:val="lowerLetter"/>
      <w:start w:val="2"/>
    </w:lvl>
  </w:abstractNum>
  <w:abstractNum w:abstractNumId="154">
    <w:nsid w:val="63F37E85"/>
    <w:multiLevelType w:val="hybridMultilevel"/>
    <w:lvl w:ilvl="0">
      <w:lvlJc w:val="left"/>
      <w:lvlText w:val="(%1)"/>
      <w:numFmt w:val="lowerLetter"/>
      <w:start w:val="4"/>
    </w:lvl>
  </w:abstractNum>
  <w:abstractNum w:abstractNumId="155">
    <w:nsid w:val="5895F5FA"/>
    <w:multiLevelType w:val="hybridMultilevel"/>
    <w:lvl w:ilvl="0">
      <w:lvlJc w:val="left"/>
      <w:lvlText w:val="(%1)"/>
      <w:numFmt w:val="lowerLetter"/>
      <w:start w:val="5"/>
    </w:lvl>
  </w:abstractNum>
  <w:abstractNum w:abstractNumId="156">
    <w:nsid w:val="38A5D054"/>
    <w:multiLevelType w:val="hybridMultilevel"/>
    <w:lvl w:ilvl="0">
      <w:lvlJc w:val="left"/>
      <w:lvlText w:val="(%1)"/>
      <w:numFmt w:val="lowerLetter"/>
      <w:start w:val="6"/>
    </w:lvl>
  </w:abstractNum>
  <w:abstractNum w:abstractNumId="157">
    <w:nsid w:val="F3F09D8"/>
    <w:multiLevelType w:val="hybridMultilevel"/>
    <w:lvl w:ilvl="0">
      <w:lvlJc w:val="left"/>
      <w:lvlText w:val="(*)"/>
      <w:numFmt w:val="bullet"/>
      <w:start w:val="1"/>
    </w:lvl>
  </w:abstractNum>
  <w:abstractNum w:abstractNumId="158">
    <w:nsid w:val="4B793735"/>
    <w:multiLevelType w:val="hybridMultilevel"/>
    <w:lvl w:ilvl="0">
      <w:lvlJc w:val="left"/>
      <w:lvlText w:val="(%1)"/>
      <w:numFmt w:val="lowerLetter"/>
      <w:start w:val="7"/>
    </w:lvl>
  </w:abstractNum>
  <w:abstractNum w:abstractNumId="159">
    <w:nsid w:val="4A10B4E8"/>
    <w:multiLevelType w:val="hybridMultilevel"/>
    <w:lvl w:ilvl="0">
      <w:lvlJc w:val="left"/>
      <w:lvlText w:val="(%1)"/>
      <w:numFmt w:val="lowerLetter"/>
      <w:start w:val="8"/>
    </w:lvl>
  </w:abstractNum>
  <w:abstractNum w:abstractNumId="160">
    <w:nsid w:val="43D3BCD4"/>
    <w:multiLevelType w:val="hybridMultilevel"/>
    <w:lvl w:ilvl="0">
      <w:lvlJc w:val="left"/>
      <w:lvlText w:val="(%1)"/>
      <w:numFmt w:val="lowerRoman"/>
      <w:start w:val="1"/>
    </w:lvl>
  </w:abstractNum>
  <w:abstractNum w:abstractNumId="161">
    <w:nsid w:val="4C2A7166"/>
    <w:multiLevelType w:val="hybridMultilevel"/>
    <w:lvl w:ilvl="0">
      <w:lvlJc w:val="left"/>
      <w:lvlText w:val="%1."/>
      <w:numFmt w:val="decimal"/>
      <w:start w:val="8"/>
    </w:lvl>
    <w:lvl w:ilvl="1">
      <w:lvlJc w:val="left"/>
      <w:lvlText w:val="(%2)"/>
      <w:numFmt w:val="lowerLetter"/>
      <w:start w:val="1"/>
    </w:lvl>
  </w:abstractNum>
  <w:abstractNum w:abstractNumId="162">
    <w:nsid w:val="2E534A82"/>
    <w:multiLevelType w:val="hybridMultilevel"/>
    <w:lvl w:ilvl="0">
      <w:lvlJc w:val="left"/>
      <w:lvlText w:val="%1"/>
      <w:numFmt w:val="decimal"/>
      <w:start w:val="1"/>
    </w:lvl>
    <w:lvl w:ilvl="1">
      <w:lvlJc w:val="left"/>
      <w:lvlText w:val="(%2)"/>
      <w:numFmt w:val="lowerLetter"/>
      <w:start w:val="2"/>
    </w:lvl>
  </w:abstractNum>
  <w:abstractNum w:abstractNumId="163">
    <w:nsid w:val="26F2D364"/>
    <w:multiLevelType w:val="hybridMultilevel"/>
    <w:lvl w:ilvl="0">
      <w:lvlJc w:val="left"/>
      <w:lvlText w:val="%1."/>
      <w:numFmt w:val="decimal"/>
      <w:start w:val="9"/>
    </w:lvl>
    <w:lvl w:ilvl="1">
      <w:lvlJc w:val="left"/>
      <w:lvlText w:val="(%2)"/>
      <w:numFmt w:val="lowerLetter"/>
      <w:start w:val="1"/>
    </w:lvl>
  </w:abstractNum>
  <w:abstractNum w:abstractNumId="164">
    <w:nsid w:val="71C1AF98"/>
    <w:multiLevelType w:val="hybridMultilevel"/>
    <w:lvl w:ilvl="0">
      <w:lvlJc w:val="left"/>
      <w:lvlText w:val="(%1)"/>
      <w:numFmt w:val="lowerLetter"/>
      <w:start w:val="2"/>
    </w:lvl>
  </w:abstractNum>
  <w:abstractNum w:abstractNumId="165">
    <w:nsid w:val="3D00B9D9"/>
    <w:multiLevelType w:val="hybridMultilevel"/>
    <w:lvl w:ilvl="0">
      <w:lvlJc w:val="left"/>
      <w:lvlText w:val="%1."/>
      <w:numFmt w:val="decimal"/>
      <w:start w:val="10"/>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2"/>
    </w:lvl>
  </w:abstractNum>
  <w:abstractNum w:abstractNumId="168">
    <w:nsid w:val="434BAE75"/>
    <w:multiLevelType w:val="hybridMultilevel"/>
    <w:lvl w:ilvl="0">
      <w:lvlJc w:val="left"/>
      <w:lvlText w:val="%1."/>
      <w:numFmt w:val="decimal"/>
      <w:start w:val="11"/>
    </w:lvl>
    <w:lvl w:ilvl="1">
      <w:lvlJc w:val="left"/>
      <w:lvlText w:val="(%2)"/>
      <w:numFmt w:val="lowerLetter"/>
      <w:start w:val="1"/>
    </w:lvl>
  </w:abstractNum>
  <w:abstractNum w:abstractNumId="169">
    <w:nsid w:val="4F38F265"/>
    <w:multiLevelType w:val="hybridMultilevel"/>
    <w:lvl w:ilvl="0">
      <w:lvlJc w:val="left"/>
      <w:lvlText w:val="(%1)"/>
      <w:numFmt w:val="lowerLetter"/>
      <w:start w:val="2"/>
    </w:lvl>
  </w:abstractNum>
  <w:abstractNum w:abstractNumId="170">
    <w:nsid w:val="4C502870"/>
    <w:multiLevelType w:val="hybridMultilevel"/>
    <w:lvl w:ilvl="0">
      <w:lvlJc w:val="left"/>
      <w:lvlText w:val="(%1)"/>
      <w:numFmt w:val="lowerLetter"/>
      <w:start w:val="3"/>
    </w:lvl>
  </w:abstractNum>
  <w:abstractNum w:abstractNumId="171">
    <w:nsid w:val="1DE8725A"/>
    <w:multiLevelType w:val="hybridMultilevel"/>
    <w:lvl w:ilvl="0">
      <w:lvlJc w:val="left"/>
      <w:lvlText w:val="(%1)"/>
      <w:numFmt w:val="lowerLetter"/>
      <w:start w:val="4"/>
    </w:lvl>
  </w:abstractNum>
  <w:abstractNum w:abstractNumId="172">
    <w:nsid w:val="6A37288A"/>
    <w:multiLevelType w:val="hybridMultilevel"/>
    <w:lvl w:ilvl="0">
      <w:lvlJc w:val="left"/>
      <w:lvlText w:val="%1."/>
      <w:numFmt w:val="decimal"/>
      <w:start w:val="12"/>
    </w:lvl>
    <w:lvl w:ilvl="1">
      <w:lvlJc w:val="left"/>
      <w:lvlText w:val="(%2)"/>
      <w:numFmt w:val="lowerLetter"/>
      <w:start w:val="1"/>
    </w:lvl>
  </w:abstractNum>
  <w:abstractNum w:abstractNumId="173">
    <w:nsid w:val="8F8B73F"/>
    <w:multiLevelType w:val="hybridMultilevel"/>
    <w:lvl w:ilvl="0">
      <w:lvlJc w:val="left"/>
      <w:lvlText w:val="%1"/>
      <w:numFmt w:val="decimal"/>
      <w:start w:val="1"/>
    </w:lvl>
    <w:lvl w:ilvl="1">
      <w:lvlJc w:val="left"/>
      <w:lvlText w:val="(%2)"/>
      <w:numFmt w:val="lowerLetter"/>
      <w:start w:val="3"/>
    </w:lvl>
  </w:abstractNum>
  <w:abstractNum w:abstractNumId="174">
    <w:nsid w:val="CA6B462"/>
    <w:multiLevelType w:val="hybridMultilevel"/>
    <w:lvl w:ilvl="0">
      <w:lvlJc w:val="left"/>
      <w:lvlText w:val="%1."/>
      <w:numFmt w:val="decimal"/>
      <w:start w:val="13"/>
    </w:lvl>
    <w:lvl w:ilvl="1">
      <w:lvlJc w:val="left"/>
      <w:lvlText w:val="(%2)"/>
      <w:numFmt w:val="lowerLetter"/>
      <w:start w:val="1"/>
    </w:lvl>
  </w:abstractNum>
  <w:abstractNum w:abstractNumId="175">
    <w:nsid w:val="763CB680"/>
    <w:multiLevelType w:val="hybridMultilevel"/>
    <w:lvl w:ilvl="0">
      <w:lvlJc w:val="left"/>
      <w:lvlText w:val="(%1)"/>
      <w:numFmt w:val="lowerLetter"/>
      <w:start w:val="2"/>
    </w:lvl>
  </w:abstractNum>
  <w:abstractNum w:abstractNumId="176">
    <w:nsid w:val="15B71329"/>
    <w:multiLevelType w:val="hybridMultilevel"/>
    <w:lvl w:ilvl="0">
      <w:lvlJc w:val="left"/>
      <w:lvlText w:val="(%1)"/>
      <w:numFmt w:val="lowerLetter"/>
      <w:start w:val="3"/>
    </w:lvl>
  </w:abstractNum>
  <w:abstractNum w:abstractNumId="177">
    <w:nsid w:val="3DA97044"/>
    <w:multiLevelType w:val="hybridMultilevel"/>
    <w:lvl w:ilvl="0">
      <w:lvlJc w:val="left"/>
      <w:lvlText w:val="%1."/>
      <w:numFmt w:val="decimal"/>
      <w:start w:val="14"/>
    </w:lvl>
  </w:abstractNum>
  <w:abstractNum w:abstractNumId="178">
    <w:nsid w:val="1CDCE2DE"/>
    <w:multiLevelType w:val="hybridMultilevel"/>
    <w:lvl w:ilvl="0">
      <w:lvlJc w:val="left"/>
      <w:lvlText w:val="(%1)"/>
      <w:numFmt w:val="lowerLetter"/>
      <w:start w:val="1"/>
    </w:lvl>
  </w:abstractNum>
  <w:abstractNum w:abstractNumId="179">
    <w:nsid w:val="69D3947C"/>
    <w:multiLevelType w:val="hybridMultilevel"/>
    <w:lvl w:ilvl="0">
      <w:lvlJc w:val="left"/>
      <w:lvlText w:val="(%1)"/>
      <w:numFmt w:val="lowerRoman"/>
      <w:start w:val="1"/>
    </w:lvl>
  </w:abstractNum>
  <w:abstractNum w:abstractNumId="180">
    <w:nsid w:val="2539DFA5"/>
    <w:multiLevelType w:val="hybridMultilevel"/>
    <w:lvl w:ilvl="0">
      <w:lvlJc w:val="left"/>
      <w:lvlText w:val="(%1)"/>
      <w:numFmt w:val="lowerRoman"/>
      <w:start w:val="2"/>
    </w:lvl>
  </w:abstractNum>
  <w:abstractNum w:abstractNumId="181">
    <w:nsid w:val="2DB88089"/>
    <w:multiLevelType w:val="hybridMultilevel"/>
    <w:lvl w:ilvl="0">
      <w:lvlJc w:val="left"/>
      <w:lvlText w:val="(%1)"/>
      <w:numFmt w:val="lowerLetter"/>
      <w:start w:val="2"/>
    </w:lvl>
  </w:abstractNum>
  <w:abstractNum w:abstractNumId="182">
    <w:nsid w:val="706B674E"/>
    <w:multiLevelType w:val="hybridMultilevel"/>
    <w:lvl w:ilvl="0">
      <w:lvlJc w:val="left"/>
      <w:lvlText w:val="(%1)"/>
      <w:numFmt w:val="lowerRoman"/>
      <w:start w:val="1"/>
    </w:lvl>
  </w:abstractNum>
  <w:abstractNum w:abstractNumId="183">
    <w:nsid w:val="2C106A57"/>
    <w:multiLevelType w:val="hybridMultilevel"/>
    <w:lvl w:ilvl="0">
      <w:lvlJc w:val="left"/>
      <w:lvlText w:val="(%1)"/>
      <w:numFmt w:val="lowerRoman"/>
      <w:start w:val="2"/>
    </w:lvl>
  </w:abstractNum>
  <w:abstractNum w:abstractNumId="184">
    <w:nsid w:val="684EED59"/>
    <w:multiLevelType w:val="hybridMultilevel"/>
    <w:lvl w:ilvl="0">
      <w:lvlJc w:val="left"/>
      <w:lvlText w:val="(%1)"/>
      <w:numFmt w:val="lowerLetter"/>
      <w:start w:val="3"/>
    </w:lvl>
  </w:abstractNum>
  <w:abstractNum w:abstractNumId="185">
    <w:nsid w:val="545EE5D3"/>
    <w:multiLevelType w:val="hybridMultilevel"/>
    <w:lvl w:ilvl="0">
      <w:lvlJc w:val="left"/>
      <w:lvlText w:val="%1"/>
      <w:numFmt w:val="decimal"/>
      <w:start w:val="1"/>
    </w:lvl>
    <w:lvl w:ilvl="1">
      <w:lvlJc w:val="left"/>
      <w:lvlText w:val="(%2)"/>
      <w:numFmt w:val="lowerLetter"/>
      <w:start w:val="4"/>
    </w:lvl>
  </w:abstractNum>
  <w:abstractNum w:abstractNumId="186">
    <w:nsid w:val="4A66051"/>
    <w:multiLevelType w:val="hybridMultilevel"/>
    <w:lvl w:ilvl="0">
      <w:lvlJc w:val="left"/>
      <w:lvlText w:val="%1."/>
      <w:numFmt w:val="decimal"/>
      <w:start w:val="15"/>
    </w:lvl>
    <w:lvl w:ilvl="1">
      <w:lvlJc w:val="left"/>
      <w:lvlText w:val="%2"/>
      <w:numFmt w:val="lowerLetter"/>
      <w:start w:val="1"/>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decimal"/>
      <w:start w:val="16"/>
    </w:lvl>
    <w:lvl w:ilvl="1">
      <w:lvlJc w:val="left"/>
      <w:lvlText w:val="(%2)"/>
      <w:numFmt w:val="lowerLetter"/>
      <w:start w:val="1"/>
    </w:lvl>
  </w:abstractNum>
  <w:abstractNum w:abstractNumId="189">
    <w:nsid w:val="501F9786"/>
    <w:multiLevelType w:val="hybridMultilevel"/>
    <w:lvl w:ilvl="0">
      <w:lvlJc w:val="left"/>
      <w:lvlText w:val="(%1)"/>
      <w:numFmt w:val="lowerRoman"/>
      <w:start w:val="1"/>
    </w:lvl>
  </w:abstractNum>
  <w:abstractNum w:abstractNumId="190">
    <w:nsid w:val="6B057295"/>
    <w:multiLevelType w:val="hybridMultilevel"/>
    <w:lvl w:ilvl="0">
      <w:lvlJc w:val="left"/>
      <w:lvlText w:val="(%1)"/>
      <w:numFmt w:val="lowerRoman"/>
      <w:start w:val="2"/>
    </w:lvl>
  </w:abstractNum>
  <w:abstractNum w:abstractNumId="191">
    <w:nsid w:val="2771AC80"/>
    <w:multiLevelType w:val="hybridMultilevel"/>
    <w:lvl w:ilvl="0">
      <w:lvlJc w:val="left"/>
      <w:lvlText w:val="(%1)"/>
      <w:numFmt w:val="lowerLetter"/>
      <w:start w:val="2"/>
    </w:lvl>
  </w:abstractNum>
  <w:abstractNum w:abstractNumId="192">
    <w:nsid w:val="1C4A08EC"/>
    <w:multiLevelType w:val="hybridMultilevel"/>
    <w:lvl w:ilvl="0">
      <w:lvlJc w:val="left"/>
      <w:lvlText w:val="%1."/>
      <w:numFmt w:val="decimal"/>
      <w:start w:val="17"/>
    </w:lvl>
    <w:lvl w:ilvl="1">
      <w:lvlJc w:val="left"/>
      <w:lvlText w:val="(%2)"/>
      <w:numFmt w:val="lowerLetter"/>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lowerLetter"/>
      <w:start w:val="3"/>
    </w:lvl>
  </w:abstractNum>
  <w:abstractNum w:abstractNumId="195">
    <w:nsid w:val="E0BB885"/>
    <w:multiLevelType w:val="hybridMultilevel"/>
    <w:lvl w:ilvl="0">
      <w:lvlJc w:val="left"/>
      <w:lvlText w:val="(%1)"/>
      <w:numFmt w:val="lowerLetter"/>
      <w:start w:val="4"/>
    </w:lvl>
  </w:abstractNum>
  <w:abstractNum w:abstractNumId="196">
    <w:nsid w:val="565976F1"/>
    <w:multiLevelType w:val="hybridMultilevel"/>
    <w:lvl w:ilvl="0">
      <w:lvlJc w:val="left"/>
      <w:lvlText w:val="(%1)"/>
      <w:numFmt w:val="lowerLetter"/>
      <w:start w:val="5"/>
    </w:lvl>
  </w:abstractNum>
  <w:abstractNum w:abstractNumId="197">
    <w:nsid w:val="64212B8C"/>
    <w:multiLevelType w:val="hybridMultilevel"/>
    <w:lvl w:ilvl="0">
      <w:lvlJc w:val="left"/>
      <w:lvlText w:val="%1."/>
      <w:numFmt w:val="decimal"/>
      <w:start w:val="18"/>
    </w:lvl>
    <w:lvl w:ilvl="1">
      <w:lvlJc w:val="left"/>
      <w:lvlText w:val="(%2)"/>
      <w:numFmt w:val="lowerLetter"/>
      <w:start w:val="1"/>
    </w:lvl>
  </w:abstractNum>
  <w:abstractNum w:abstractNumId="198">
    <w:nsid w:val="5C17530C"/>
    <w:multiLevelType w:val="hybridMultilevel"/>
    <w:lvl w:ilvl="0">
      <w:lvlJc w:val="left"/>
      <w:lvlText w:val="(%1)"/>
      <w:numFmt w:val="lowerRoman"/>
      <w:start w:val="1"/>
    </w:lvl>
  </w:abstractNum>
  <w:abstractNum w:abstractNumId="199">
    <w:nsid w:val="19A52566"/>
    <w:multiLevelType w:val="hybridMultilevel"/>
    <w:lvl w:ilvl="0">
      <w:lvlJc w:val="left"/>
      <w:lvlText w:val="(%1)"/>
      <w:numFmt w:val="lowerLetter"/>
      <w:start w:val="2"/>
    </w:lvl>
  </w:abstractNum>
  <w:abstractNum w:abstractNumId="200">
    <w:nsid w:val="335A1DF1"/>
    <w:multiLevelType w:val="hybridMultilevel"/>
    <w:lvl w:ilvl="0">
      <w:lvlJc w:val="left"/>
      <w:lvlText w:val="(%1)"/>
      <w:numFmt w:val="lowerLetter"/>
      <w:start w:val="3"/>
    </w:lvl>
  </w:abstractNum>
  <w:abstractNum w:abstractNumId="201">
    <w:nsid w:val="28677B7C"/>
    <w:multiLevelType w:val="hybridMultilevel"/>
    <w:lvl w:ilvl="0">
      <w:lvlJc w:val="left"/>
      <w:lvlText w:val="(%1)"/>
      <w:numFmt w:val="lowerLetter"/>
      <w:start w:val="4"/>
    </w:lvl>
  </w:abstractNum>
  <w:abstractNum w:abstractNumId="202">
    <w:nsid w:val="378D97C0"/>
    <w:multiLevelType w:val="hybridMultilevel"/>
    <w:lvl w:ilvl="0">
      <w:lvlJc w:val="left"/>
      <w:lvlText w:val="%1."/>
      <w:numFmt w:val="decimal"/>
      <w:start w:val="19"/>
    </w:lvl>
  </w:abstractNum>
  <w:abstractNum w:abstractNumId="203">
    <w:nsid w:val="1D91467C"/>
    <w:multiLevelType w:val="hybridMultilevel"/>
    <w:lvl w:ilvl="0">
      <w:lvlJc w:val="left"/>
      <w:lvlText w:val="(%1)"/>
      <w:numFmt w:val="lowerLetter"/>
      <w:start w:val="2"/>
    </w:lvl>
  </w:abstractNum>
  <w:abstractNum w:abstractNumId="204">
    <w:nsid w:val="316032BB"/>
    <w:multiLevelType w:val="hybridMultilevel"/>
    <w:lvl w:ilvl="0">
      <w:lvlJc w:val="left"/>
      <w:lvlText w:val="(%1)"/>
      <w:numFmt w:val="lowerLetter"/>
      <w:start w:val="3"/>
    </w:lvl>
  </w:abstractNum>
  <w:abstractNum w:abstractNumId="205">
    <w:nsid w:val="44344C22"/>
    <w:multiLevelType w:val="hybridMultilevel"/>
    <w:lvl w:ilvl="0">
      <w:lvlJc w:val="left"/>
      <w:lvlText w:val="%1."/>
      <w:numFmt w:val="decimal"/>
      <w:start w:val="21"/>
    </w:lvl>
  </w:abstractNum>
  <w:abstractNum w:abstractNumId="206">
    <w:nsid w:val="13CDFCFC"/>
    <w:multiLevelType w:val="hybridMultilevel"/>
    <w:lvl w:ilvl="0">
      <w:lvlJc w:val="left"/>
      <w:lvlText w:val="(*)"/>
      <w:numFmt w:val="bullet"/>
      <w:start w:val="1"/>
    </w:lvl>
  </w:abstractNum>
  <w:abstractNum w:abstractNumId="207">
    <w:nsid w:val="471745E4"/>
    <w:multiLevelType w:val="hybridMultilevel"/>
    <w:lvl w:ilvl="0">
      <w:lvlJc w:val="left"/>
      <w:lvlText w:val="%1."/>
      <w:numFmt w:val="decimal"/>
      <w:start w:val="22"/>
    </w:lvl>
  </w:abstractNum>
  <w:abstractNum w:abstractNumId="208">
    <w:nsid w:val="1DDBC66"/>
    <w:multiLevelType w:val="hybridMultilevel"/>
    <w:lvl w:ilvl="0">
      <w:lvlJc w:val="left"/>
      <w:lvlText w:val="%1."/>
      <w:numFmt w:val="decimal"/>
      <w:start w:val="24"/>
    </w:lvl>
  </w:abstractNum>
  <w:abstractNum w:abstractNumId="209">
    <w:nsid w:val="30AADFDA"/>
    <w:multiLevelType w:val="hybridMultilevel"/>
    <w:lvl w:ilvl="0">
      <w:lvlJc w:val="left"/>
      <w:lvlText w:val="%1."/>
      <w:numFmt w:val="decimal"/>
      <w:start w:val="25"/>
    </w:lvl>
    <w:lvl w:ilvl="1">
      <w:lvlJc w:val="left"/>
      <w:lvlText w:val="(%2)"/>
      <w:numFmt w:val="lowerRoman"/>
      <w:start w:val="1"/>
    </w:lvl>
  </w:abstractNum>
  <w:abstractNum w:abstractNumId="210">
    <w:nsid w:val="30EADA61"/>
    <w:multiLevelType w:val="hybridMultilevel"/>
    <w:lvl w:ilvl="0">
      <w:lvlJc w:val="left"/>
      <w:lvlText w:val="(%1)"/>
      <w:numFmt w:val="lowerRoman"/>
      <w:start w:val="1"/>
    </w:lvl>
  </w:abstractNum>
  <w:abstractNum w:abstractNumId="211">
    <w:nsid w:val="27179C0B"/>
    <w:multiLevelType w:val="hybridMultilevel"/>
    <w:lvl w:ilvl="0">
      <w:lvlJc w:val="left"/>
      <w:lvlText w:val="(%1)"/>
      <w:numFmt w:val="lowerRoman"/>
      <w:start w:val="2"/>
    </w:lvl>
  </w:abstractNum>
  <w:abstractNum w:abstractNumId="212">
    <w:nsid w:val="5E636063"/>
    <w:multiLevelType w:val="hybridMultilevel"/>
    <w:lvl w:ilvl="0">
      <w:lvlJc w:val="left"/>
      <w:lvlText w:val="(*)"/>
      <w:numFmt w:val="bullet"/>
      <w:start w:val="1"/>
    </w:lvl>
  </w:abstractNum>
  <w:abstractNum w:abstractNumId="213">
    <w:nsid w:val="215641AF"/>
    <w:multiLevelType w:val="hybridMultilevel"/>
    <w:lvl w:ilvl="0">
      <w:lvlJc w:val="left"/>
      <w:lvlText w:val="(**)"/>
      <w:numFmt w:val="bullet"/>
      <w:start w:val="1"/>
    </w:lvl>
  </w:abstractNum>
  <w:abstractNum w:abstractNumId="214">
    <w:nsid w:val="53280662"/>
    <w:multiLevelType w:val="hybridMultilevel"/>
    <w:lvl w:ilvl="0">
      <w:lvlJc w:val="left"/>
      <w:lvlText w:val="(***)"/>
      <w:numFmt w:val="bullet"/>
      <w:start w:val="1"/>
    </w:lvl>
  </w:abstractNum>
  <w:abstractNum w:abstractNumId="215">
    <w:nsid w:val="46B24DBC"/>
    <w:multiLevelType w:val="hybridMultilevel"/>
    <w:lvl w:ilvl="0">
      <w:lvlJc w:val="left"/>
      <w:lvlText w:val="%1."/>
      <w:numFmt w:val="decimal"/>
      <w:start w:val="26"/>
    </w:lvl>
  </w:abstractNum>
  <w:abstractNum w:abstractNumId="216">
    <w:nsid w:val="75B52783"/>
    <w:multiLevelType w:val="hybridMultilevel"/>
    <w:lvl w:ilvl="0">
      <w:lvlJc w:val="left"/>
      <w:lvlText w:val="%1."/>
      <w:numFmt w:val="decimal"/>
      <w:start w:val="27"/>
    </w:lvl>
  </w:abstractNum>
  <w:abstractNum w:abstractNumId="217">
    <w:nsid w:val="57CE66B4"/>
    <w:multiLevelType w:val="hybridMultilevel"/>
    <w:lvl w:ilvl="0">
      <w:lvlJc w:val="left"/>
      <w:lvlText w:val="·"/>
      <w:numFmt w:val="bullet"/>
      <w:start w:val="1"/>
    </w:lvl>
  </w:abstractNum>
  <w:abstractNum w:abstractNumId="218">
    <w:nsid w:val="67A70B69"/>
    <w:multiLevelType w:val="hybridMultilevel"/>
    <w:lvl w:ilvl="0">
      <w:lvlJc w:val="left"/>
      <w:lvlText w:val="%1."/>
      <w:numFmt w:val="decimal"/>
      <w:start w:val="28"/>
    </w:lvl>
    <w:lvl w:ilvl="1">
      <w:lvlJc w:val="left"/>
      <w:lvlText w:val="(%2)"/>
      <w:numFmt w:val="lowerLetter"/>
      <w:start w:val="1"/>
    </w:lvl>
  </w:abstractNum>
  <w:abstractNum w:abstractNumId="219">
    <w:nsid w:val="5953172F"/>
    <w:multiLevelType w:val="hybridMultilevel"/>
    <w:lvl w:ilvl="0">
      <w:lvlJc w:val="left"/>
      <w:lvlText w:val="(%1)"/>
      <w:numFmt w:val="lowerLetter"/>
      <w:start w:val="3"/>
    </w:lvl>
  </w:abstractNum>
  <w:abstractNum w:abstractNumId="220">
    <w:nsid w:val="27EDFE3A"/>
    <w:multiLevelType w:val="hybridMultilevel"/>
    <w:lvl w:ilvl="0">
      <w:lvlJc w:val="left"/>
      <w:lvlText w:val="(%1)"/>
      <w:numFmt w:val="lowerLetter"/>
      <w:start w:val="4"/>
    </w:lvl>
  </w:abstractNum>
  <w:abstractNum w:abstractNumId="221">
    <w:nsid w:val="52AC7DFF"/>
    <w:multiLevelType w:val="hybridMultilevel"/>
    <w:lvl w:ilvl="0">
      <w:lvlJc w:val="left"/>
      <w:lvlText w:val="%1."/>
      <w:numFmt w:val="decimal"/>
      <w:start w:val="29"/>
    </w:lvl>
    <w:lvl w:ilvl="1">
      <w:lvlJc w:val="left"/>
      <w:lvlText w:val="(%2)"/>
      <w:numFmt w:val="lowerLetter"/>
      <w:start w:val="1"/>
    </w:lvl>
  </w:abstractNum>
  <w:abstractNum w:abstractNumId="222">
    <w:nsid w:val="C4C3AF"/>
    <w:multiLevelType w:val="hybridMultilevel"/>
    <w:lvl w:ilvl="0">
      <w:lvlJc w:val="left"/>
      <w:lvlText w:val="(%1)"/>
      <w:numFmt w:val="lowerLetter"/>
      <w:start w:val="4"/>
    </w:lvl>
  </w:abstractNum>
  <w:abstractNum w:abstractNumId="223">
    <w:nsid w:val="44380727"/>
    <w:multiLevelType w:val="hybridMultilevel"/>
    <w:lvl w:ilvl="0">
      <w:lvlJc w:val="left"/>
      <w:lvlText w:val="(%1)"/>
      <w:numFmt w:val="lowerLetter"/>
      <w:start w:val="7"/>
    </w:lvl>
  </w:abstractNum>
  <w:abstractNum w:abstractNumId="224">
    <w:nsid w:val="6C053B16"/>
    <w:multiLevelType w:val="hybridMultilevel"/>
    <w:lvl w:ilvl="0">
      <w:lvlJc w:val="left"/>
      <w:lvlText w:val="(%1)"/>
      <w:numFmt w:val="lowerLetter"/>
      <w:start w:val="8"/>
    </w:lvl>
  </w:abstractNum>
  <w:abstractNum w:abstractNumId="225">
    <w:nsid w:val="4F294393"/>
    <w:multiLevelType w:val="hybridMultilevel"/>
    <w:lvl w:ilvl="0">
      <w:lvlJc w:val="left"/>
      <w:lvlText w:val="(*)"/>
      <w:numFmt w:val="bullet"/>
      <w:start w:val="1"/>
    </w:lvl>
  </w:abstractNum>
  <w:abstractNum w:abstractNumId="226">
    <w:nsid w:val="5243BFAC"/>
    <w:multiLevelType w:val="hybridMultilevel"/>
    <w:lvl w:ilvl="0">
      <w:lvlJc w:val="left"/>
      <w:lvlText w:val="(**)"/>
      <w:numFmt w:val="bullet"/>
      <w:start w:val="1"/>
    </w:lvl>
  </w:abstractNum>
  <w:abstractNum w:abstractNumId="227">
    <w:nsid w:val="425EB207"/>
    <w:multiLevelType w:val="hybridMultilevel"/>
    <w:lvl w:ilvl="0">
      <w:lvlJc w:val="left"/>
      <w:lvlText w:val="(%1)"/>
      <w:numFmt w:val="lowerLetter"/>
      <w:start w:val="10"/>
    </w:lvl>
  </w:abstractNum>
  <w:abstractNum w:abstractNumId="228">
    <w:nsid w:val="334A6F1F"/>
    <w:multiLevelType w:val="hybridMultilevel"/>
    <w:lvl w:ilvl="0">
      <w:lvlJc w:val="left"/>
      <w:lvlText w:val="(%1)"/>
      <w:numFmt w:val="lowerLetter"/>
      <w:start w:val="11"/>
    </w:lvl>
    <w:lvl w:ilvl="1">
      <w:lvlJc w:val="left"/>
      <w:lvlText w:val="-"/>
      <w:numFmt w:val="bullet"/>
      <w:start w:val="1"/>
    </w:lvl>
  </w:abstractNum>
  <w:abstractNum w:abstractNumId="229">
    <w:nsid w:val="2E5B12B8"/>
    <w:multiLevelType w:val="hybridMultilevel"/>
    <w:lvl w:ilvl="0">
      <w:lvlJc w:val="left"/>
      <w:lvlText w:val="(%1)"/>
      <w:numFmt w:val="lowerLetter"/>
      <w:start w:val="12"/>
    </w:lvl>
    <w:lvl w:ilvl="1">
      <w:lvlJc w:val="left"/>
      <w:lvlText w:val="-"/>
      <w:numFmt w:val="bullet"/>
      <w:start w:val="1"/>
    </w:lvl>
  </w:abstractNum>
  <w:abstractNum w:abstractNumId="230">
    <w:nsid w:val="5C03D76D"/>
    <w:multiLevelType w:val="hybridMultilevel"/>
    <w:lvl w:ilvl="0">
      <w:lvlJc w:val="left"/>
      <w:lvlText w:val="-"/>
      <w:numFmt w:val="bullet"/>
      <w:start w:val="1"/>
    </w:lvl>
  </w:abstractNum>
  <w:abstractNum w:abstractNumId="231">
    <w:nsid w:val="66A48D11"/>
    <w:multiLevelType w:val="hybridMultilevel"/>
    <w:lvl w:ilvl="0">
      <w:lvlJc w:val="left"/>
      <w:lvlText w:val="%1."/>
      <w:numFmt w:val="decimal"/>
      <w:start w:val="1"/>
    </w:lvl>
  </w:abstractNum>
  <w:abstractNum w:abstractNumId="232">
    <w:nsid w:val="56C28E34"/>
    <w:multiLevelType w:val="hybridMultilevel"/>
    <w:lvl w:ilvl="0">
      <w:lvlJc w:val="left"/>
      <w:lvlText w:val="%1)"/>
      <w:numFmt w:val="lowerLetter"/>
      <w:start w:val="1"/>
    </w:lvl>
  </w:abstractNum>
  <w:abstractNum w:abstractNumId="233">
    <w:nsid w:val="13916F2D"/>
    <w:multiLevelType w:val="hybridMultilevel"/>
    <w:lvl w:ilvl="0">
      <w:lvlJc w:val="left"/>
      <w:lvlText w:val="%1."/>
      <w:numFmt w:val="decimal"/>
      <w:start w:val="5"/>
    </w:lvl>
  </w:abstractNum>
  <w:abstractNum w:abstractNumId="234">
    <w:nsid w:val="435D38D"/>
    <w:multiLevelType w:val="hybridMultilevel"/>
    <w:lvl w:ilvl="0">
      <w:lvlJc w:val="left"/>
      <w:lvlText w:val="%1)"/>
      <w:numFmt w:val="lowerLetter"/>
      <w:start w:val="1"/>
    </w:lvl>
  </w:abstractNum>
  <w:abstractNum w:abstractNumId="235">
    <w:nsid w:val="822C0EF"/>
    <w:multiLevelType w:val="hybridMultilevel"/>
    <w:lvl w:ilvl="0">
      <w:lvlJc w:val="left"/>
      <w:lvlText w:val="%1."/>
      <w:numFmt w:val="decimal"/>
      <w:start w:val="1"/>
    </w:lvl>
  </w:abstractNum>
  <w:abstractNum w:abstractNumId="236">
    <w:nsid w:val="57C5BB4F"/>
    <w:multiLevelType w:val="hybridMultilevel"/>
    <w:lvl w:ilvl="0">
      <w:lvlJc w:val="left"/>
      <w:lvlText w:val="%1)"/>
      <w:numFmt w:val="lowerLetter"/>
      <w:start w:val="1"/>
    </w:lvl>
  </w:abstractNum>
  <w:abstractNum w:abstractNumId="237">
    <w:nsid w:val="1803D089"/>
    <w:multiLevelType w:val="hybridMultilevel"/>
    <w:lvl w:ilvl="0">
      <w:lvlJc w:val="left"/>
      <w:lvlText w:val="%1."/>
      <w:numFmt w:val="decimal"/>
      <w:start w:val="5"/>
    </w:lvl>
  </w:abstractNum>
  <w:abstractNum w:abstractNumId="238">
    <w:nsid w:val="4F3A06D4"/>
    <w:multiLevelType w:val="hybridMultilevel"/>
    <w:lvl w:ilvl="0">
      <w:lvlJc w:val="left"/>
      <w:lvlText w:val="%1)"/>
      <w:numFmt w:val="lowerLetter"/>
      <w:start w:val="1"/>
    </w:lvl>
  </w:abstractNum>
  <w:abstractNum w:abstractNumId="239">
    <w:nsid w:val="59A377B6"/>
    <w:multiLevelType w:val="hybridMultilevel"/>
    <w:lvl w:ilvl="0">
      <w:lvlJc w:val="left"/>
      <w:lvlText w:val="%1."/>
      <w:numFmt w:val="decimal"/>
      <w:start w:val="1"/>
    </w:lvl>
  </w:abstractNum>
  <w:abstractNum w:abstractNumId="240">
    <w:nsid w:val="48AEB063"/>
    <w:multiLevelType w:val="hybridMultilevel"/>
    <w:lvl w:ilvl="0">
      <w:lvlJc w:val="left"/>
      <w:lvlText w:val="(%1)"/>
      <w:numFmt w:val="upperLetter"/>
      <w:start w:val="1"/>
    </w:lvl>
  </w:abstractNum>
  <w:abstractNum w:abstractNumId="241">
    <w:nsid w:val="24E135"/>
    <w:multiLevelType w:val="hybridMultilevel"/>
    <w:lvl w:ilvl="0">
      <w:lvlJc w:val="left"/>
      <w:lvlText w:val="%1."/>
      <w:numFmt w:val="decimal"/>
      <w:start w:val="1"/>
    </w:lvl>
  </w:abstractNum>
  <w:abstractNum w:abstractNumId="242">
    <w:nsid w:val="BB13C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2019-12-14T06:11:43Z</dcterms:created>
  <dcterms:modified xsi:type="dcterms:W3CDTF">2019-12-14T06:11:43Z</dcterms:modified>
</cp:coreProperties>
</file>