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November,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660"/>
        <w:spacing w:after="0"/>
        <w:tabs>
          <w:tab w:leader="none" w:pos="5100" w:val="left"/>
          <w:tab w:leader="none" w:pos="5940" w:val="left"/>
          <w:tab w:leader="none" w:pos="73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3580"/>
        <w:spacing w:after="0"/>
        <w:tabs>
          <w:tab w:leader="none" w:pos="5000" w:val="left"/>
          <w:tab w:leader="none" w:pos="5840" w:val="left"/>
          <w:tab w:leader="none" w:pos="7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380365</wp:posOffset>
            </wp:positionV>
            <wp:extent cx="1526540" cy="740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26540" cy="7400925"/>
                    </a:xfrm>
                    <a:prstGeom prst="rect">
                      <a:avLst/>
                    </a:prstGeom>
                    <a:noFill/>
                  </pic:spPr>
                </pic:pic>
              </a:graphicData>
            </a:graphic>
          </wp:anchor>
        </w:drawing>
        <w:drawing>
          <wp:anchor simplePos="0" relativeHeight="251657728" behindDoc="1" locked="0" layoutInCell="0" allowOverlap="1">
            <wp:simplePos x="0" y="0"/>
            <wp:positionH relativeFrom="page">
              <wp:posOffset>4453890</wp:posOffset>
            </wp:positionH>
            <wp:positionV relativeFrom="page">
              <wp:posOffset>380365</wp:posOffset>
            </wp:positionV>
            <wp:extent cx="2366645"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66645" cy="737235"/>
                    </a:xfrm>
                    <a:prstGeom prst="rect">
                      <a:avLst/>
                    </a:prstGeom>
                    <a:noFill/>
                  </pic:spPr>
                </pic:pic>
              </a:graphicData>
            </a:graphic>
          </wp:anchor>
        </w:drawing>
      </w:r>
    </w:p>
    <w:p>
      <w:pPr>
        <w:spacing w:after="0" w:line="322"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credi</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CREDICORP Ltd. Reports Third Quarter 2006 Earnings</w:t>
      </w:r>
    </w:p>
    <w:p>
      <w:pPr>
        <w:spacing w:after="0" w:line="225" w:lineRule="exact"/>
        <w:rPr>
          <w:sz w:val="20"/>
          <w:szCs w:val="20"/>
          <w:color w:val="auto"/>
        </w:rPr>
      </w:pPr>
    </w:p>
    <w:p>
      <w:pPr>
        <w:ind w:left="1540" w:right="120"/>
        <w:spacing w:after="0" w:line="262" w:lineRule="auto"/>
        <w:rPr>
          <w:sz w:val="20"/>
          <w:szCs w:val="20"/>
          <w:color w:val="auto"/>
        </w:rPr>
      </w:pPr>
      <w:r>
        <w:rPr>
          <w:rFonts w:ascii="Arial" w:cs="Arial" w:eastAsia="Arial" w:hAnsi="Arial"/>
          <w:sz w:val="18"/>
          <w:szCs w:val="18"/>
          <w:b w:val="1"/>
          <w:bCs w:val="1"/>
          <w:color w:val="auto"/>
        </w:rPr>
        <w:t xml:space="preserve">Lima, Peru, November 16, 2006 - </w:t>
      </w:r>
      <w:r>
        <w:rPr>
          <w:rFonts w:ascii="Arial" w:cs="Arial" w:eastAsia="Arial" w:hAnsi="Arial"/>
          <w:sz w:val="18"/>
          <w:szCs w:val="18"/>
          <w:color w:val="auto"/>
        </w:rPr>
        <w:t>Credicorp (NYSE:BAP)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2006. These results are reported on a consolidated basis in accordance with IFRS in nominal U.S. Dollars.</w:t>
      </w:r>
    </w:p>
    <w:p>
      <w:pPr>
        <w:spacing w:after="0" w:line="186"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HIGHLIGHTS</w:t>
      </w:r>
    </w:p>
    <w:p>
      <w:pPr>
        <w:spacing w:after="0" w:line="231" w:lineRule="exact"/>
        <w:rPr>
          <w:sz w:val="20"/>
          <w:szCs w:val="20"/>
          <w:color w:val="auto"/>
        </w:rPr>
      </w:pPr>
    </w:p>
    <w:p>
      <w:pPr>
        <w:jc w:val="both"/>
        <w:ind w:left="1940" w:right="140" w:hanging="224"/>
        <w:spacing w:after="0" w:line="253"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3Q06 net earnings of US$ 51.3 million, a decline of 20.3% QoQ, though still 7.9% higher YoY, following extraordinary provisions required by the SAR incentive compensation program due to the strong appreciation of Credicorp’s stock.</w:t>
      </w:r>
    </w:p>
    <w:p>
      <w:pPr>
        <w:ind w:left="1940" w:right="140" w:hanging="224"/>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additional drop in NII at BCP also affected results. This drop, however was offset by income from provision reversals and unexpectedly higher-than-projected recoveries as a result of the continued improvement in the portfolio quality.</w:t>
      </w:r>
    </w:p>
    <w:p>
      <w:pPr>
        <w:spacing w:after="0" w:line="1" w:lineRule="exact"/>
        <w:rPr>
          <w:rFonts w:ascii="Arial" w:cs="Arial" w:eastAsia="Arial" w:hAnsi="Arial"/>
          <w:sz w:val="18"/>
          <w:szCs w:val="18"/>
          <w:color w:val="auto"/>
        </w:rPr>
      </w:pPr>
    </w:p>
    <w:p>
      <w:pPr>
        <w:ind w:left="1940" w:right="120" w:hanging="224"/>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at BCP continued its positive trend, reaching 2.4% QoQ, but more importantly, a continuing shift in loan portfolio towards higher yielding retail loans was evident as these grew around 6% QoQ.</w:t>
      </w:r>
    </w:p>
    <w:p>
      <w:pPr>
        <w:spacing w:after="0" w:line="1" w:lineRule="exact"/>
        <w:rPr>
          <w:rFonts w:ascii="Arial" w:cs="Arial" w:eastAsia="Arial" w:hAnsi="Arial"/>
          <w:sz w:val="18"/>
          <w:szCs w:val="18"/>
          <w:color w:val="auto"/>
        </w:rPr>
      </w:pPr>
    </w:p>
    <w:p>
      <w:pPr>
        <w:ind w:left="1940" w:right="20" w:hanging="224"/>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income on loans thus grew a healthy 7% QoQ, but was not enough to offset the increased interest expense due to higher deposit rates and the higher interest expense on borrowed funds, resulting in a drop of NII and the resulting Core Earnings.</w:t>
      </w:r>
    </w:p>
    <w:p>
      <w:pPr>
        <w:spacing w:after="0" w:line="1" w:lineRule="exact"/>
        <w:rPr>
          <w:rFonts w:ascii="Arial" w:cs="Arial" w:eastAsia="Arial" w:hAnsi="Arial"/>
          <w:sz w:val="18"/>
          <w:szCs w:val="18"/>
          <w:color w:val="auto"/>
        </w:rPr>
      </w:pPr>
    </w:p>
    <w:p>
      <w:pPr>
        <w:ind w:left="1940" w:hanging="224"/>
        <w:spacing w:after="0"/>
        <w:tabs>
          <w:tab w:leader="none" w:pos="1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Fee income also reflects this solid business growth with an increase of 7.3% QoQ and 12.1% YoY.</w:t>
      </w:r>
    </w:p>
    <w:p>
      <w:pPr>
        <w:spacing w:after="0" w:line="32" w:lineRule="exact"/>
        <w:rPr>
          <w:rFonts w:ascii="Arial" w:cs="Arial" w:eastAsia="Arial" w:hAnsi="Arial"/>
          <w:sz w:val="16"/>
          <w:szCs w:val="16"/>
          <w:color w:val="auto"/>
        </w:rPr>
      </w:pPr>
    </w:p>
    <w:p>
      <w:pPr>
        <w:ind w:left="1940" w:right="120" w:hanging="224"/>
        <w:spacing w:after="0" w:line="281" w:lineRule="auto"/>
        <w:tabs>
          <w:tab w:leader="none" w:pos="1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Therefore, the positive business developments were not enough to offset the increased costs during the quarter and resulted in the deterioration of Credicorp’s performance ratios.</w:t>
      </w:r>
    </w:p>
    <w:p>
      <w:pPr>
        <w:spacing w:after="0" w:line="1" w:lineRule="exact"/>
        <w:rPr>
          <w:rFonts w:ascii="Arial" w:cs="Arial" w:eastAsia="Arial" w:hAnsi="Arial"/>
          <w:sz w:val="16"/>
          <w:szCs w:val="16"/>
          <w:color w:val="auto"/>
        </w:rPr>
      </w:pPr>
    </w:p>
    <w:p>
      <w:pPr>
        <w:ind w:left="1940" w:right="100" w:hanging="224"/>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NIM dropped to 4.9% from 5.3% QoQ; the efficiency ratio increased to 43.7% from 41.3% and ROAE fell to 16.3% from 21.7%, both also QoQ. This deterioration however, does not reflect a turn-around in the trend, but rather a short-term effect of necessary adjustments to consolidate future growth and the unexpectedly high SAR related provisions.</w:t>
      </w:r>
    </w:p>
    <w:p>
      <w:pPr>
        <w:spacing w:after="0" w:line="1" w:lineRule="exact"/>
        <w:rPr>
          <w:rFonts w:ascii="Arial" w:cs="Arial" w:eastAsia="Arial" w:hAnsi="Arial"/>
          <w:sz w:val="18"/>
          <w:szCs w:val="18"/>
          <w:color w:val="auto"/>
        </w:rPr>
      </w:pPr>
    </w:p>
    <w:p>
      <w:pPr>
        <w:ind w:left="1940" w:right="460" w:hanging="224"/>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BCB, which is consolidated in BCP, continues its consistent growth and reports a contribution 7% higher QoQ and 69% higher on a 9 month comparison.</w:t>
      </w:r>
    </w:p>
    <w:p>
      <w:pPr>
        <w:ind w:left="1940" w:right="260" w:hanging="224"/>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 remains a stable business and despite the normalization of off-shore banking activity after the political scenario stabilized, reports a contribution improvement of 25% QoQ and 17% YoY on a cumulative basis for the first 9 months of the year.</w:t>
      </w:r>
    </w:p>
    <w:p>
      <w:pPr>
        <w:spacing w:after="0" w:line="1" w:lineRule="exact"/>
        <w:rPr>
          <w:rFonts w:ascii="Arial" w:cs="Arial" w:eastAsia="Arial" w:hAnsi="Arial"/>
          <w:sz w:val="18"/>
          <w:szCs w:val="18"/>
          <w:color w:val="auto"/>
        </w:rPr>
      </w:pPr>
    </w:p>
    <w:p>
      <w:pPr>
        <w:ind w:left="1940" w:right="40" w:hanging="224"/>
        <w:spacing w:after="0" w:line="250" w:lineRule="auto"/>
        <w:tabs>
          <w:tab w:leader="none" w:pos="1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 which was our major concern, continues its improved performance with a promising future outlook. Management changes, new cost controls and focus on the individual insurance segments resulted in a reported contribution that was 68% higher QoQ and 112% higher on a 9-month cumulative comparison.</w:t>
      </w:r>
    </w:p>
    <w:p>
      <w:pPr>
        <w:spacing w:after="0" w:line="1" w:lineRule="exact"/>
        <w:rPr>
          <w:rFonts w:ascii="Arial" w:cs="Arial" w:eastAsia="Arial" w:hAnsi="Arial"/>
          <w:sz w:val="18"/>
          <w:szCs w:val="18"/>
          <w:color w:val="auto"/>
        </w:rPr>
      </w:pPr>
    </w:p>
    <w:p>
      <w:pPr>
        <w:ind w:left="1940" w:hanging="224"/>
        <w:spacing w:after="0" w:line="302" w:lineRule="auto"/>
        <w:tabs>
          <w:tab w:leader="none" w:pos="1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Finally, Prima AFP, though still a loss generator, is expected to turn around in 2007 upon the completion of the merger of Prima and Union Vida in December 2006. Prima’s results also include Unión Vida’s results and ongoing merger costs, leading to continued overall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1249680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280"/>
          </w:cols>
          <w:pgMar w:left="1440" w:top="1440" w:right="11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 Credicorp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Net income attributable to Credicorp for 3Q06 reached US$ 51.3 million following net income of US$ 64.4 million in 2Q06. Though this result reflects an important drop of 20.3% QoQ, it is still in line with the overall improved performance for the year, showing a 7.9% improved result vis-à-vis 3Q05.</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Thus, Credicorp’s core business at BCP demonstrated a strong business performance (growth in loan portfolio and interest and fee income), while reflecting increased interest expenses due to the current competitive market environment as well as the strategy implemented by BCP to increase banking penetration. However, the most significant negative effect upon Credicorp’s bottom line results, was due to the strong appreciation of Credicorp’s stocks, which given the structure of BCP’s senior management’s compensation program (Stock Appreciation Rights – SAR – program) is based on the performance of Credicorp shares, and gave rise to provisions of US$ 16.4 million for 3Q06 (vs. US$ 8.8 million for 2Q06 and US$ 7 million for 1Q06) in this manner lowering BCP’s net income by US$ 7.6 million compared to the previous quarter.</w:t>
      </w:r>
    </w:p>
    <w:p>
      <w:pPr>
        <w:spacing w:after="0" w:line="174"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In addition and as indicated above, Credicorp’s NII reflects a drop at BCP which is a result of the increased interest expense. Thus, the improved (7% higher) interest income on loans reported by BCP was not strong enough to offset the increase in interest expense as rates paid on deposits were raised and interest expense on borrowed funds also increased. These developments at BCP led to a drop in net interest income at Credicorp of 7.2% QoQ, down to US$ 120.7 million. Almost completely compensating for this drop in NII, loan provisions at BCP benefited again from improved portfolio quality, which led to provision reversals plus additional, higher-than-expected recoveries during 3Q06. This resulted in income for the quarter of US$ 9.8 million on Credicorp’s books.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 financial income, which includes fee income, also reflects improved business performance with a 17.6% QoQ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2480" w:type="dxa"/>
            <w:vAlign w:val="bottom"/>
          </w:tcPr>
          <w:p>
            <w:pPr>
              <w:spacing w:after="0"/>
              <w:rPr>
                <w:sz w:val="15"/>
                <w:szCs w:val="15"/>
                <w:color w:val="auto"/>
              </w:rPr>
            </w:pPr>
          </w:p>
        </w:tc>
        <w:tc>
          <w:tcPr>
            <w:tcW w:w="1400" w:type="dxa"/>
            <w:vAlign w:val="bottom"/>
          </w:tcPr>
          <w:p>
            <w:pPr>
              <w:jc w:val="right"/>
              <w:ind w:right="652"/>
              <w:spacing w:after="0"/>
              <w:rPr>
                <w:sz w:val="20"/>
                <w:szCs w:val="20"/>
                <w:color w:val="auto"/>
              </w:rPr>
            </w:pPr>
            <w:r>
              <w:rPr>
                <w:rFonts w:ascii="Arial" w:cs="Arial" w:eastAsia="Arial" w:hAnsi="Arial"/>
                <w:sz w:val="14"/>
                <w:szCs w:val="14"/>
                <w:b w:val="1"/>
                <w:bCs w:val="1"/>
                <w:color w:val="auto"/>
              </w:rPr>
              <w:t>Quarter</w:t>
            </w:r>
          </w:p>
        </w:tc>
        <w:tc>
          <w:tcPr>
            <w:tcW w:w="1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40" w:type="dxa"/>
            <w:vAlign w:val="bottom"/>
            <w:tcBorders>
              <w:bottom w:val="single" w:sz="8" w:color="auto"/>
            </w:tcBorders>
            <w:gridSpan w:val="2"/>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US$ thousands</w:t>
            </w:r>
          </w:p>
        </w:tc>
        <w:tc>
          <w:tcPr>
            <w:tcW w:w="2480" w:type="dxa"/>
            <w:vAlign w:val="bottom"/>
          </w:tcPr>
          <w:p>
            <w:pPr>
              <w:jc w:val="right"/>
              <w:ind w:right="692"/>
              <w:spacing w:after="0"/>
              <w:rPr>
                <w:sz w:val="20"/>
                <w:szCs w:val="20"/>
                <w:color w:val="auto"/>
              </w:rPr>
            </w:pPr>
            <w:r>
              <w:rPr>
                <w:rFonts w:ascii="Arial" w:cs="Arial" w:eastAsia="Arial" w:hAnsi="Arial"/>
                <w:sz w:val="14"/>
                <w:szCs w:val="14"/>
                <w:b w:val="1"/>
                <w:bCs w:val="1"/>
                <w:color w:val="auto"/>
              </w:rPr>
              <w:t>3Q06</w:t>
            </w:r>
          </w:p>
        </w:tc>
        <w:tc>
          <w:tcPr>
            <w:tcW w:w="1400" w:type="dxa"/>
            <w:vAlign w:val="bottom"/>
          </w:tcPr>
          <w:p>
            <w:pPr>
              <w:jc w:val="right"/>
              <w:ind w:right="732"/>
              <w:spacing w:after="0"/>
              <w:rPr>
                <w:sz w:val="20"/>
                <w:szCs w:val="20"/>
                <w:color w:val="auto"/>
              </w:rPr>
            </w:pPr>
            <w:r>
              <w:rPr>
                <w:rFonts w:ascii="Arial" w:cs="Arial" w:eastAsia="Arial" w:hAnsi="Arial"/>
                <w:sz w:val="14"/>
                <w:szCs w:val="14"/>
                <w:b w:val="1"/>
                <w:bCs w:val="1"/>
                <w:color w:val="auto"/>
              </w:rPr>
              <w:t>2Q06</w:t>
            </w:r>
          </w:p>
        </w:tc>
        <w:tc>
          <w:tcPr>
            <w:tcW w:w="1240" w:type="dxa"/>
            <w:vAlign w:val="bottom"/>
          </w:tcPr>
          <w:p>
            <w:pPr>
              <w:jc w:val="right"/>
              <w:ind w:right="612"/>
              <w:spacing w:after="0"/>
              <w:rPr>
                <w:sz w:val="20"/>
                <w:szCs w:val="20"/>
                <w:color w:val="auto"/>
              </w:rPr>
            </w:pPr>
            <w:r>
              <w:rPr>
                <w:rFonts w:ascii="Arial" w:cs="Arial" w:eastAsia="Arial" w:hAnsi="Arial"/>
                <w:sz w:val="14"/>
                <w:szCs w:val="14"/>
                <w:b w:val="1"/>
                <w:bCs w:val="1"/>
                <w:color w:val="auto"/>
              </w:rPr>
              <w:t>3Q05</w:t>
            </w:r>
          </w:p>
        </w:tc>
        <w:tc>
          <w:tcPr>
            <w:tcW w:w="1540" w:type="dxa"/>
            <w:vAlign w:val="bottom"/>
          </w:tcPr>
          <w:p>
            <w:pPr>
              <w:jc w:val="right"/>
              <w:ind w:right="592"/>
              <w:spacing w:after="0"/>
              <w:rPr>
                <w:sz w:val="20"/>
                <w:szCs w:val="20"/>
                <w:color w:val="auto"/>
              </w:rPr>
            </w:pPr>
            <w:r>
              <w:rPr>
                <w:rFonts w:ascii="Arial" w:cs="Arial" w:eastAsia="Arial" w:hAnsi="Arial"/>
                <w:sz w:val="14"/>
                <w:szCs w:val="14"/>
                <w:b w:val="1"/>
                <w:bCs w:val="1"/>
                <w:color w:val="auto"/>
              </w:rPr>
              <w:t>3Q06/3Q05</w:t>
            </w:r>
          </w:p>
        </w:tc>
        <w:tc>
          <w:tcPr>
            <w:tcW w:w="112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4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120,667</w:t>
            </w:r>
          </w:p>
        </w:tc>
        <w:tc>
          <w:tcPr>
            <w:tcW w:w="14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130,010</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113,679</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6.1%</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4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9,795</w:t>
            </w:r>
          </w:p>
        </w:tc>
        <w:tc>
          <w:tcPr>
            <w:tcW w:w="14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(251)</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4,886</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100.5%</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-3999.7%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24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85,286</w:t>
            </w:r>
          </w:p>
        </w:tc>
        <w:tc>
          <w:tcPr>
            <w:tcW w:w="14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72,513</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72,614</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17.5%</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24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19,383</w:t>
            </w:r>
          </w:p>
        </w:tc>
        <w:tc>
          <w:tcPr>
            <w:tcW w:w="14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18,220</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13,584</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42.7%</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4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(149,305)</w:t>
            </w:r>
          </w:p>
        </w:tc>
        <w:tc>
          <w:tcPr>
            <w:tcW w:w="14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(130,104)</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(128,195)</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16.5%</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Tranlation results</w:t>
            </w:r>
          </w:p>
        </w:tc>
        <w:tc>
          <w:tcPr>
            <w:tcW w:w="24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832</w:t>
            </w:r>
          </w:p>
        </w:tc>
        <w:tc>
          <w:tcPr>
            <w:tcW w:w="14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3,448</w:t>
            </w:r>
          </w:p>
        </w:tc>
        <w:tc>
          <w:tcPr>
            <w:tcW w:w="12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(5,702)</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-114.6%</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24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(31,340)</w:t>
            </w:r>
          </w:p>
        </w:tc>
        <w:tc>
          <w:tcPr>
            <w:tcW w:w="14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(25,296)</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(20,311)</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54.3%</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55,319</w:t>
            </w:r>
          </w:p>
        </w:tc>
        <w:tc>
          <w:tcPr>
            <w:tcW w:w="14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68,539</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50,556</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9.4%</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4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3,997</w:t>
            </w:r>
          </w:p>
        </w:tc>
        <w:tc>
          <w:tcPr>
            <w:tcW w:w="14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4,105</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2,990</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33.7%</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24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51,321</w:t>
            </w:r>
          </w:p>
        </w:tc>
        <w:tc>
          <w:tcPr>
            <w:tcW w:w="14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64,434</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47,566</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7.9%</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24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0.64</w:t>
            </w:r>
          </w:p>
        </w:tc>
        <w:tc>
          <w:tcPr>
            <w:tcW w:w="14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0.81</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0.60</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7.9%</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24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5,592,231</w:t>
            </w:r>
          </w:p>
        </w:tc>
        <w:tc>
          <w:tcPr>
            <w:tcW w:w="14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5,501,004</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4,651,259</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20.2%</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24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7,974,586</w:t>
            </w:r>
          </w:p>
        </w:tc>
        <w:tc>
          <w:tcPr>
            <w:tcW w:w="14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7,922,208</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6,725,496</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18.6%</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Shareholders’ Equity</w:t>
            </w:r>
          </w:p>
        </w:tc>
        <w:tc>
          <w:tcPr>
            <w:tcW w:w="24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1,296,917</w:t>
            </w:r>
          </w:p>
        </w:tc>
        <w:tc>
          <w:tcPr>
            <w:tcW w:w="14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1,215,984</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1,170,508</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10.8%</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24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w:t>
            </w:r>
          </w:p>
        </w:tc>
        <w:tc>
          <w:tcPr>
            <w:tcW w:w="14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w:t>
            </w:r>
          </w:p>
        </w:tc>
        <w:tc>
          <w:tcPr>
            <w:tcW w:w="12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5.8%</w:t>
            </w:r>
          </w:p>
        </w:tc>
        <w:tc>
          <w:tcPr>
            <w:tcW w:w="1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4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43.7%</w:t>
            </w:r>
          </w:p>
        </w:tc>
        <w:tc>
          <w:tcPr>
            <w:tcW w:w="14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41.3%</w:t>
            </w:r>
          </w:p>
        </w:tc>
        <w:tc>
          <w:tcPr>
            <w:tcW w:w="12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41.7%</w:t>
            </w: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24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16.3%</w:t>
            </w:r>
          </w:p>
        </w:tc>
        <w:tc>
          <w:tcPr>
            <w:tcW w:w="14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21.7%</w:t>
            </w:r>
          </w:p>
        </w:tc>
        <w:tc>
          <w:tcPr>
            <w:tcW w:w="12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16.8%</w:t>
            </w:r>
          </w:p>
        </w:tc>
        <w:tc>
          <w:tcPr>
            <w:tcW w:w="1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24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w:t>
            </w:r>
          </w:p>
        </w:tc>
        <w:tc>
          <w:tcPr>
            <w:tcW w:w="14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1.7%</w:t>
            </w:r>
          </w:p>
        </w:tc>
        <w:tc>
          <w:tcPr>
            <w:tcW w:w="12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w:t>
            </w: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24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215.7%</w:t>
            </w:r>
          </w:p>
        </w:tc>
        <w:tc>
          <w:tcPr>
            <w:tcW w:w="14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214.2%</w:t>
            </w:r>
          </w:p>
        </w:tc>
        <w:tc>
          <w:tcPr>
            <w:tcW w:w="12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172.4%</w:t>
            </w:r>
          </w:p>
        </w:tc>
        <w:tc>
          <w:tcPr>
            <w:tcW w:w="1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Employees</w:t>
            </w:r>
          </w:p>
        </w:tc>
        <w:tc>
          <w:tcPr>
            <w:tcW w:w="2480" w:type="dxa"/>
            <w:vAlign w:val="bottom"/>
          </w:tcPr>
          <w:p>
            <w:pPr>
              <w:jc w:val="right"/>
              <w:ind w:right="272"/>
              <w:spacing w:after="0"/>
              <w:rPr>
                <w:sz w:val="20"/>
                <w:szCs w:val="20"/>
                <w:color w:val="auto"/>
              </w:rPr>
            </w:pPr>
            <w:r>
              <w:rPr>
                <w:rFonts w:ascii="Arial" w:cs="Arial" w:eastAsia="Arial" w:hAnsi="Arial"/>
                <w:sz w:val="14"/>
                <w:szCs w:val="14"/>
                <w:color w:val="auto"/>
              </w:rPr>
              <w:t>15,707</w:t>
            </w:r>
          </w:p>
        </w:tc>
        <w:tc>
          <w:tcPr>
            <w:tcW w:w="1400" w:type="dxa"/>
            <w:vAlign w:val="bottom"/>
          </w:tcPr>
          <w:p>
            <w:pPr>
              <w:jc w:val="right"/>
              <w:ind w:right="312"/>
              <w:spacing w:after="0"/>
              <w:rPr>
                <w:sz w:val="20"/>
                <w:szCs w:val="20"/>
                <w:color w:val="auto"/>
              </w:rPr>
            </w:pPr>
            <w:r>
              <w:rPr>
                <w:rFonts w:ascii="Arial" w:cs="Arial" w:eastAsia="Arial" w:hAnsi="Arial"/>
                <w:sz w:val="14"/>
                <w:szCs w:val="14"/>
                <w:color w:val="auto"/>
              </w:rPr>
              <w:t>12,520</w:t>
            </w:r>
          </w:p>
        </w:tc>
        <w:tc>
          <w:tcPr>
            <w:tcW w:w="1240" w:type="dxa"/>
            <w:vAlign w:val="bottom"/>
          </w:tcPr>
          <w:p>
            <w:pPr>
              <w:jc w:val="right"/>
              <w:ind w:right="172"/>
              <w:spacing w:after="0"/>
              <w:rPr>
                <w:sz w:val="20"/>
                <w:szCs w:val="20"/>
                <w:color w:val="auto"/>
              </w:rPr>
            </w:pPr>
            <w:r>
              <w:rPr>
                <w:rFonts w:ascii="Arial" w:cs="Arial" w:eastAsia="Arial" w:hAnsi="Arial"/>
                <w:sz w:val="14"/>
                <w:szCs w:val="14"/>
                <w:color w:val="auto"/>
              </w:rPr>
              <w:t>10,573</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costs however, mainly reflect the increased provisions for the SAR program at BCP and some increased costs related to the necessary network and personnel expansion to support retail growth. In addition, most operational costs are fixed in Peruvian Soles, which revalued this quarter and resulted in increased costs in US Dollar terms.</w:t>
      </w:r>
    </w:p>
    <w:p>
      <w:pPr>
        <w:spacing w:after="0" w:line="194" w:lineRule="exact"/>
        <w:rPr>
          <w:sz w:val="20"/>
          <w:szCs w:val="20"/>
          <w:color w:val="auto"/>
        </w:rPr>
      </w:pPr>
    </w:p>
    <w:p>
      <w:pPr>
        <w:ind w:left="113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 w:name="page4"/>
    <w:bookmarkEnd w:id="3"/>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Furthermore, in 3Q06 Credicorp reported about US$ 2.6 million less income compared to 2Q06 in the currency translation line which reflects the currency fluctuation effect on the open currency balance sheet positions.</w:t>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These developments resulted in moderate deteriorations of ratios for the quarter, with NIM dropping to 4.9% from 5.3% QoQ, the efficiency ratio increasing to 43.7% from 41.3% and ROAE falling back to 16.3% from 21.7%, both also QoQ. This deterioration however, does not signify a trend turn-around but rather a short term effect of necessary adjustments to consolidate future growth., on a 9-month cumulative basis, ROAE for Credicorp reaches 19.25%, very close to our 20% target for the year.</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Looking at Credicorp as the sum of the different contributors, aside from BCP, we see a continuing positive trend and the recovery of profitability in the results of Credicorp’s subsidiaries. It is also clear that the drop in total net earnings attributable to Credicorp is exclusively a result of BCP’s results and thus, it is not a concern in terms of future earnings trends.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fact, ASHC reports a contribution improvement of 25% QoQ and 17% YoY on a cumulative basis for the first 9 months of the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BCB, which is consolidated within BCP, reported a contribution that was 7% higher QoQ and 69% higher comparing the first 9-month periods.</w:t>
      </w:r>
    </w:p>
    <w:p>
      <w:pPr>
        <w:spacing w:after="0" w:line="22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PPS, which was our greatest concern, reported a 68% higher contribution QoQ and 112% higher on a 9-month cumulative comparison, thus maintaining its improved performance with a promising future outlook. While business has grown, it has not grown enough to recover market share. However, management changes and cost control initiatives have contributed to the recovery of profitability in all insurance business sectors.</w:t>
      </w:r>
    </w:p>
    <w:p>
      <w:pPr>
        <w:spacing w:after="0" w:line="16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Finally, while Prima AFP continues to generate some losses, we expect that it will turn around in 2007 following the completition of the merger of Prima and Union Vida in December 2006. Prima’s results also include Unión Vida’s results and the ongoing merger costs, continuing to lead to overall losses.</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line for Credicorp &amp; Other line, as explained in the past, includes not only the withholding tax on BCP’s dividends paid to Credicorp in 2006, which was already higher in line with increased earnings and dividends, but also due to the provisions for dividends expected in 2007, resulting this year in a double negative effect on Credicorp’s bottom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3Q06</w:t>
            </w: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2Q06</w:t>
            </w: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3Q05</w:t>
            </w: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3Q06/3Q05</w:t>
            </w:r>
          </w:p>
        </w:tc>
        <w:tc>
          <w:tcPr>
            <w:tcW w:w="1240" w:type="dxa"/>
            <w:vAlign w:val="bottom"/>
          </w:tcPr>
          <w:p>
            <w:pPr>
              <w:jc w:val="right"/>
              <w:ind w:right="412"/>
              <w:spacing w:after="0"/>
              <w:rPr>
                <w:sz w:val="20"/>
                <w:szCs w:val="20"/>
                <w:color w:val="auto"/>
              </w:rPr>
            </w:pPr>
            <w:r>
              <w:rPr>
                <w:rFonts w:ascii="Arial" w:cs="Arial" w:eastAsia="Arial" w:hAnsi="Arial"/>
                <w:sz w:val="14"/>
                <w:szCs w:val="14"/>
                <w:b w:val="1"/>
                <w:bCs w:val="1"/>
                <w:color w:val="auto"/>
              </w:rPr>
              <w:t>3Q06/2Q06</w:t>
            </w:r>
          </w:p>
        </w:tc>
        <w:tc>
          <w:tcPr>
            <w:tcW w:w="1100" w:type="dxa"/>
            <w:vAlign w:val="bottom"/>
          </w:tcPr>
          <w:p>
            <w:pPr>
              <w:jc w:val="right"/>
              <w:ind w:right="532"/>
              <w:spacing w:after="0"/>
              <w:rPr>
                <w:sz w:val="20"/>
                <w:szCs w:val="20"/>
                <w:color w:val="auto"/>
              </w:rPr>
            </w:pPr>
            <w:r>
              <w:rPr>
                <w:rFonts w:ascii="Arial" w:cs="Arial" w:eastAsia="Arial" w:hAnsi="Arial"/>
                <w:sz w:val="14"/>
                <w:szCs w:val="14"/>
                <w:b w:val="1"/>
                <w:bCs w:val="1"/>
                <w:color w:val="auto"/>
              </w:rPr>
              <w:t>9m06</w:t>
            </w: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9m05</w:t>
            </w:r>
          </w:p>
        </w:tc>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9m06/9m05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de Crédito BCP(1)</w:t>
            </w:r>
          </w:p>
        </w:tc>
        <w:tc>
          <w:tcPr>
            <w:tcW w:w="11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50,840</w:t>
            </w:r>
          </w:p>
        </w:tc>
        <w:tc>
          <w:tcPr>
            <w:tcW w:w="10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64,799</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44,146</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w:t>
            </w:r>
          </w:p>
        </w:tc>
        <w:tc>
          <w:tcPr>
            <w:tcW w:w="11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173,256</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130,469</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BCB</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3,492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3,261</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2,813</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w:t>
            </w:r>
          </w:p>
        </w:tc>
        <w:tc>
          <w:tcPr>
            <w:tcW w:w="11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9,809</w:t>
            </w: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5,814</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Atlantic</w:t>
            </w:r>
          </w:p>
        </w:tc>
        <w:tc>
          <w:tcPr>
            <w:tcW w:w="11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3,780</w:t>
            </w:r>
          </w:p>
        </w:tc>
        <w:tc>
          <w:tcPr>
            <w:tcW w:w="10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3,014</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3,628</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25%</w:t>
            </w:r>
          </w:p>
        </w:tc>
        <w:tc>
          <w:tcPr>
            <w:tcW w:w="11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11,687</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9,995</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PPS</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4,586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2,730</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2,400</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91%</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68%</w:t>
            </w:r>
          </w:p>
        </w:tc>
        <w:tc>
          <w:tcPr>
            <w:tcW w:w="11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10,004</w:t>
            </w: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4,713</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Grupo Crédito (2)</w:t>
            </w:r>
          </w:p>
        </w:tc>
        <w:tc>
          <w:tcPr>
            <w:tcW w:w="1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(3,846)</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(2,785)</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(1,726)</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123%</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38%</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(7,110)</w:t>
            </w:r>
          </w:p>
        </w:tc>
        <w:tc>
          <w:tcPr>
            <w:tcW w:w="10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(3,106)</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Prima</w:t>
            </w:r>
          </w:p>
        </w:tc>
        <w:tc>
          <w:tcPr>
            <w:tcW w:w="11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(4,934)</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(2,243)</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(3,488)</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120%</w:t>
            </w: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(9,844)</w:t>
            </w: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(3,936)</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11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1,088</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(542)</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1,762</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-301%</w:t>
            </w:r>
          </w:p>
        </w:tc>
        <w:tc>
          <w:tcPr>
            <w:tcW w:w="11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2,734</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830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Credicorp and Others (3)</w:t>
            </w:r>
          </w:p>
        </w:tc>
        <w:tc>
          <w:tcPr>
            <w:tcW w:w="11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(4,041)</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(3,323)</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(884)</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357%</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w:t>
            </w: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(20,898)</w:t>
            </w: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(4,526)</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Credicorp Ltd.</w:t>
            </w:r>
          </w:p>
        </w:tc>
        <w:tc>
          <w:tcPr>
            <w:tcW w:w="1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(4,185)</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(3,376)</w:t>
            </w:r>
          </w:p>
        </w:tc>
        <w:tc>
          <w:tcPr>
            <w:tcW w:w="9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(915)</w:t>
            </w:r>
          </w:p>
        </w:tc>
        <w:tc>
          <w:tcPr>
            <w:tcW w:w="11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357%</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(21,299)</w:t>
            </w:r>
          </w:p>
        </w:tc>
        <w:tc>
          <w:tcPr>
            <w:tcW w:w="10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(4,678)</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20"/>
              <w:spacing w:after="0" w:line="149" w:lineRule="exact"/>
              <w:rPr>
                <w:sz w:val="20"/>
                <w:szCs w:val="20"/>
                <w:color w:val="auto"/>
              </w:rPr>
            </w:pPr>
            <w:r>
              <w:rPr>
                <w:rFonts w:ascii="Arial" w:cs="Arial" w:eastAsia="Arial" w:hAnsi="Arial"/>
                <w:sz w:val="14"/>
                <w:szCs w:val="14"/>
                <w:color w:val="auto"/>
              </w:rPr>
              <w:t>Otras</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w:t>
            </w:r>
          </w:p>
        </w:tc>
        <w:tc>
          <w:tcPr>
            <w:tcW w:w="11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366%</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175%</w:t>
            </w:r>
          </w:p>
        </w:tc>
        <w:tc>
          <w:tcPr>
            <w:tcW w:w="11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401</w:t>
            </w:r>
          </w:p>
        </w:tc>
        <w:tc>
          <w:tcPr>
            <w:tcW w:w="10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152</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Credicorp</w:t>
            </w:r>
          </w:p>
        </w:tc>
        <w:tc>
          <w:tcPr>
            <w:tcW w:w="11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51,319</w:t>
            </w:r>
          </w:p>
        </w:tc>
        <w:tc>
          <w:tcPr>
            <w:tcW w:w="10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64,435</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47,564</w:t>
            </w:r>
          </w:p>
        </w:tc>
        <w:tc>
          <w:tcPr>
            <w:tcW w:w="1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8%</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-20%</w:t>
            </w:r>
          </w:p>
        </w:tc>
        <w:tc>
          <w:tcPr>
            <w:tcW w:w="11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166,939</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137,545</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Grupo Crédito, Servicorp</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9M06 includes -13.0 MM of taxes on BCP’s dividends and -4.2 MM of loss in a FX hedging position over BCP’s dividends. Includes CCREM</w:t>
      </w:r>
    </w:p>
    <w:p>
      <w:pPr>
        <w:spacing w:after="0" w:line="24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II. Banco de Crédito Consolidated</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income at BCP for 3Q06 reached US$ 52.8 million, 21.5% lower than the extraordinarily high income reported the 2Q06 of US$ 67.3 million, though still 13.3% higher than the US$ 46.6 net income reported for 3Q05. Consequently, BCP’s ROAE dropped to 24.6% for the 3Q06, from a record high of 33.8% during the previous quarter, but was still better than the 23.1% ROAE from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Banco de Credito and Subsidiaries</w:t>
            </w:r>
          </w:p>
        </w:tc>
        <w:tc>
          <w:tcPr>
            <w:tcW w:w="2420" w:type="dxa"/>
            <w:vAlign w:val="bottom"/>
          </w:tcPr>
          <w:p>
            <w:pPr>
              <w:spacing w:after="0"/>
              <w:rPr>
                <w:sz w:val="15"/>
                <w:szCs w:val="15"/>
                <w:color w:val="auto"/>
              </w:rPr>
            </w:pPr>
          </w:p>
        </w:tc>
        <w:tc>
          <w:tcPr>
            <w:tcW w:w="1440" w:type="dxa"/>
            <w:vAlign w:val="bottom"/>
          </w:tcPr>
          <w:p>
            <w:pPr>
              <w:jc w:val="right"/>
              <w:ind w:right="672"/>
              <w:spacing w:after="0"/>
              <w:rPr>
                <w:sz w:val="20"/>
                <w:szCs w:val="20"/>
                <w:color w:val="auto"/>
              </w:rPr>
            </w:pPr>
            <w:r>
              <w:rPr>
                <w:rFonts w:ascii="Arial" w:cs="Arial" w:eastAsia="Arial" w:hAnsi="Arial"/>
                <w:sz w:val="14"/>
                <w:szCs w:val="14"/>
                <w:b w:val="1"/>
                <w:bCs w:val="1"/>
                <w:color w:val="auto"/>
              </w:rPr>
              <w:t>Quarter</w:t>
            </w:r>
          </w:p>
        </w:tc>
        <w:tc>
          <w:tcPr>
            <w:tcW w:w="1200" w:type="dxa"/>
            <w:vAlign w:val="bottom"/>
          </w:tcPr>
          <w:p>
            <w:pPr>
              <w:spacing w:after="0"/>
              <w:rPr>
                <w:sz w:val="15"/>
                <w:szCs w:val="15"/>
                <w:color w:val="auto"/>
              </w:rPr>
            </w:pPr>
          </w:p>
        </w:tc>
        <w:tc>
          <w:tcPr>
            <w:tcW w:w="158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80" w:type="dxa"/>
            <w:vAlign w:val="bottom"/>
            <w:tcBorders>
              <w:bottom w:val="single" w:sz="8" w:color="auto"/>
            </w:tcBorders>
            <w:gridSpan w:val="2"/>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420" w:type="dxa"/>
            <w:vAlign w:val="bottom"/>
          </w:tcPr>
          <w:p>
            <w:pPr>
              <w:jc w:val="right"/>
              <w:ind w:right="632"/>
              <w:spacing w:after="0"/>
              <w:rPr>
                <w:sz w:val="20"/>
                <w:szCs w:val="20"/>
                <w:color w:val="auto"/>
              </w:rPr>
            </w:pPr>
            <w:r>
              <w:rPr>
                <w:rFonts w:ascii="Arial" w:cs="Arial" w:eastAsia="Arial" w:hAnsi="Arial"/>
                <w:sz w:val="14"/>
                <w:szCs w:val="14"/>
                <w:b w:val="1"/>
                <w:bCs w:val="1"/>
                <w:color w:val="auto"/>
              </w:rPr>
              <w:t>3Q06</w:t>
            </w: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2Q06</w:t>
            </w: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3Q05</w:t>
            </w:r>
          </w:p>
        </w:tc>
        <w:tc>
          <w:tcPr>
            <w:tcW w:w="1580" w:type="dxa"/>
            <w:vAlign w:val="bottom"/>
          </w:tcPr>
          <w:p>
            <w:pPr>
              <w:jc w:val="right"/>
              <w:ind w:right="572"/>
              <w:spacing w:after="0"/>
              <w:rPr>
                <w:sz w:val="20"/>
                <w:szCs w:val="20"/>
                <w:color w:val="auto"/>
              </w:rPr>
            </w:pPr>
            <w:r>
              <w:rPr>
                <w:rFonts w:ascii="Arial" w:cs="Arial" w:eastAsia="Arial" w:hAnsi="Arial"/>
                <w:sz w:val="14"/>
                <w:szCs w:val="14"/>
                <w:b w:val="1"/>
                <w:bCs w:val="1"/>
                <w:color w:val="auto"/>
              </w:rPr>
              <w:t>3Q06/3Q05</w:t>
            </w: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w w:val="99"/>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107,063</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114,148</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100,541</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4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7,392</w:t>
            </w:r>
          </w:p>
        </w:tc>
        <w:tc>
          <w:tcPr>
            <w:tcW w:w="14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(1,312)</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2,976</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148.3%</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74,176</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70,987</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70,119</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2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(112,666)</w:t>
            </w:r>
          </w:p>
        </w:tc>
        <w:tc>
          <w:tcPr>
            <w:tcW w:w="14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(99,678)</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(99,175)</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13.6%</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Tranlation results</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705</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2,985</w:t>
            </w:r>
          </w:p>
        </w:tc>
        <w:tc>
          <w:tcPr>
            <w:tcW w:w="12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(5,155)</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-113.7%</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2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(23,831)</w:t>
            </w:r>
          </w:p>
        </w:tc>
        <w:tc>
          <w:tcPr>
            <w:tcW w:w="14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(19,786)</w:t>
            </w:r>
          </w:p>
        </w:tc>
        <w:tc>
          <w:tcPr>
            <w:tcW w:w="12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(22,660)</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5.2%</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52,837</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67,344</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46,646</w:t>
            </w:r>
          </w:p>
        </w:tc>
        <w:tc>
          <w:tcPr>
            <w:tcW w:w="15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13.3%</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0.041</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0.052</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0.036</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13.3%</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5,514,218</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5,385,246</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4,514,320</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22.1%</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24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7,455,066</w:t>
            </w:r>
          </w:p>
        </w:tc>
        <w:tc>
          <w:tcPr>
            <w:tcW w:w="14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7,412,227</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6,191,786</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20.4%</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890,422</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830,259</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839,573</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6.1%</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5.0%</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5.3%</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5.9%</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52.0%</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48.6%</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49.5%</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24.6%</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33.8%</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23.1%</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24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221.6%</w:t>
            </w:r>
          </w:p>
        </w:tc>
        <w:tc>
          <w:tcPr>
            <w:tcW w:w="1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219.4%</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175.2%</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24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10.4%</w:t>
            </w:r>
          </w:p>
        </w:tc>
        <w:tc>
          <w:tcPr>
            <w:tcW w:w="1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10.7%</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12.4%</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231</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229</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212</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24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625</w:t>
            </w:r>
          </w:p>
        </w:tc>
        <w:tc>
          <w:tcPr>
            <w:tcW w:w="14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601</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543</w:t>
            </w: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2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10,507</w:t>
            </w:r>
          </w:p>
        </w:tc>
        <w:tc>
          <w:tcPr>
            <w:tcW w:w="14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9,870</w:t>
            </w:r>
          </w:p>
        </w:tc>
        <w:tc>
          <w:tcPr>
            <w:tcW w:w="12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9,176</w:t>
            </w:r>
          </w:p>
        </w:tc>
        <w:tc>
          <w:tcPr>
            <w:tcW w:w="1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important drop in net income is however primarily explained by the large provisions generated by the Stock Appreciation Rights (SAR) program which is part of the incentive compensation plan of senior management. Credicorp’s share price appreciated significantly (around 40%) from US$ 29.96 by the end of June 2006 to US$ 41.98 at the end of September. Thus, the provision charged in the 3Q06 was US$ 16.4 million, vs. US$ 8.8 million in the 2Q06 and US$ 7.0 million in 1Q06, thus accounting for US$ 7.6 million of the US$ 14.5 million QoQ drop in absolute terms of BCP’s net income. Another contributor to the overall drop of income was the US$ 2.2 million lower translation income generated this 3Q06 vs.2Q06 given the stability in the currency.</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Nevertheless, there was also a short-term negative effect of our expansion strategy and focus on increasing banking penetration in our market. In fact, interest income on loans continued growing consistently at 7% QoQ and 21% YoY, showing stronger growth in the more profitable retail segment loan portfolio. However, a net drop in net interest income (depressing margins) for the quarter was reported and reflects the increase in interest expense resulting from a strategy to attract deposits, which grew 6% QoQ (in terms of monthly average balances), by raising our deposit rates, especially in </w:t>
      </w:r>
      <w:r>
        <w:rPr>
          <w:rFonts w:ascii="Arial" w:cs="Arial" w:eastAsia="Arial" w:hAnsi="Arial"/>
          <w:sz w:val="16"/>
          <w:szCs w:val="16"/>
          <w:i w:val="1"/>
          <w:iCs w:val="1"/>
          <w:color w:val="auto"/>
        </w:rPr>
        <w:t>Nuevos Soles</w:t>
      </w:r>
      <w:r>
        <w:rPr>
          <w:rFonts w:ascii="Arial" w:cs="Arial" w:eastAsia="Arial" w:hAnsi="Arial"/>
          <w:sz w:val="16"/>
          <w:szCs w:val="16"/>
          <w:color w:val="auto"/>
        </w:rPr>
        <w:t>, as an incentive to de-dollarize our Balance Sheet and attract new customers. Thus, total interest expenses on deposits grew 16% QoQ and 78% YoY. In addition, interest expenses on external borrowings also grew 49% QoQ and 187% YoY, following our strategic decisions to extend the duration of our funding, based on our asset &amp; liability management, which determines liquidity, term and other hedging decisions.</w:t>
      </w:r>
    </w:p>
    <w:p>
      <w:pPr>
        <w:spacing w:after="0" w:line="172" w:lineRule="exact"/>
        <w:rPr>
          <w:sz w:val="20"/>
          <w:szCs w:val="20"/>
          <w:color w:val="auto"/>
        </w:rPr>
      </w:pPr>
    </w:p>
    <w:p>
      <w:pPr>
        <w:ind w:left="113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Core Revenues</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explained before, despite a healthy growth in interest income following loan growth and a further shift towards more profitable loan portfolios, increased interest expense led to a net drop in net interest income of 6.2% QoQ. Though less significant in absolute terms, an important drop of 12.1% QoQ of gains in FX-transactions resulted from the reduced FX activity given the normalization of the political scenario and the narrowing of the FX-transaction spread. On the other hand, fee income shows healthy growth of 7.3% QoQ. The latter was however not enough to offset the NII drop described above, resulting in a net drop of core revenues of 2.4% QoQ, though still showing a 9.3% growth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Core Revenues</w:t>
            </w:r>
          </w:p>
        </w:tc>
        <w:tc>
          <w:tcPr>
            <w:tcW w:w="2360" w:type="dxa"/>
            <w:vAlign w:val="bottom"/>
          </w:tcPr>
          <w:p>
            <w:pPr>
              <w:spacing w:after="0"/>
              <w:rPr>
                <w:sz w:val="15"/>
                <w:szCs w:val="15"/>
                <w:color w:val="auto"/>
              </w:rPr>
            </w:pPr>
          </w:p>
        </w:tc>
        <w:tc>
          <w:tcPr>
            <w:tcW w:w="1420" w:type="dxa"/>
            <w:vAlign w:val="bottom"/>
          </w:tcPr>
          <w:p>
            <w:pPr>
              <w:jc w:val="right"/>
              <w:ind w:right="612"/>
              <w:spacing w:after="0"/>
              <w:rPr>
                <w:sz w:val="20"/>
                <w:szCs w:val="20"/>
                <w:color w:val="auto"/>
              </w:rPr>
            </w:pPr>
            <w:r>
              <w:rPr>
                <w:rFonts w:ascii="Arial" w:cs="Arial" w:eastAsia="Arial" w:hAnsi="Arial"/>
                <w:sz w:val="14"/>
                <w:szCs w:val="14"/>
                <w:b w:val="1"/>
                <w:bCs w:val="1"/>
                <w:color w:val="auto"/>
              </w:rPr>
              <w:t>Quarter</w:t>
            </w:r>
          </w:p>
        </w:tc>
        <w:tc>
          <w:tcPr>
            <w:tcW w:w="1280" w:type="dxa"/>
            <w:vAlign w:val="bottom"/>
          </w:tcPr>
          <w:p>
            <w:pPr>
              <w:spacing w:after="0"/>
              <w:rPr>
                <w:sz w:val="15"/>
                <w:szCs w:val="15"/>
                <w:color w:val="auto"/>
              </w:rPr>
            </w:pPr>
          </w:p>
        </w:tc>
        <w:tc>
          <w:tcPr>
            <w:tcW w:w="156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00" w:type="dxa"/>
            <w:vAlign w:val="bottom"/>
            <w:tcBorders>
              <w:bottom w:val="single" w:sz="8" w:color="auto"/>
            </w:tcBorders>
            <w:gridSpan w:val="2"/>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360" w:type="dxa"/>
            <w:vAlign w:val="bottom"/>
          </w:tcPr>
          <w:p>
            <w:pPr>
              <w:jc w:val="right"/>
              <w:ind w:right="592"/>
              <w:spacing w:after="0"/>
              <w:rPr>
                <w:sz w:val="20"/>
                <w:szCs w:val="20"/>
                <w:color w:val="auto"/>
              </w:rPr>
            </w:pPr>
            <w:r>
              <w:rPr>
                <w:rFonts w:ascii="Arial" w:cs="Arial" w:eastAsia="Arial" w:hAnsi="Arial"/>
                <w:sz w:val="14"/>
                <w:szCs w:val="14"/>
                <w:b w:val="1"/>
                <w:bCs w:val="1"/>
                <w:color w:val="auto"/>
              </w:rPr>
              <w:t>3Q06</w:t>
            </w:r>
          </w:p>
        </w:tc>
        <w:tc>
          <w:tcPr>
            <w:tcW w:w="142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3Q05</w:t>
            </w:r>
          </w:p>
        </w:tc>
        <w:tc>
          <w:tcPr>
            <w:tcW w:w="1560" w:type="dxa"/>
            <w:vAlign w:val="bottom"/>
          </w:tcPr>
          <w:p>
            <w:pPr>
              <w:jc w:val="right"/>
              <w:ind w:right="572"/>
              <w:spacing w:after="0"/>
              <w:rPr>
                <w:sz w:val="20"/>
                <w:szCs w:val="20"/>
                <w:color w:val="auto"/>
              </w:rPr>
            </w:pPr>
            <w:r>
              <w:rPr>
                <w:rFonts w:ascii="Arial" w:cs="Arial" w:eastAsia="Arial" w:hAnsi="Arial"/>
                <w:sz w:val="14"/>
                <w:szCs w:val="14"/>
                <w:b w:val="1"/>
                <w:bCs w:val="1"/>
                <w:color w:val="auto"/>
              </w:rPr>
              <w:t>3Q06/3Q05</w:t>
            </w: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w w:val="99"/>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700" w:type="dxa"/>
            <w:vAlign w:val="bottom"/>
            <w:tcBorders>
              <w:bottom w:val="single" w:sz="8" w:color="auto"/>
            </w:tcBorders>
            <w:gridSpan w:val="2"/>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and dividend income</w:t>
            </w:r>
          </w:p>
        </w:tc>
        <w:tc>
          <w:tcPr>
            <w:tcW w:w="2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107,063</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114,148</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100,541</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Fee income</w:t>
            </w:r>
          </w:p>
        </w:tc>
        <w:tc>
          <w:tcPr>
            <w:tcW w:w="2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59,441</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55,399</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53,048</w:t>
            </w:r>
          </w:p>
        </w:tc>
        <w:tc>
          <w:tcPr>
            <w:tcW w:w="15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2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9,674</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11,010</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7,636</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26.7%</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2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176,177</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180,557</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161,225</w:t>
            </w:r>
          </w:p>
        </w:tc>
        <w:tc>
          <w:tcPr>
            <w:tcW w:w="15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9.3%</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Partly compensating for the increased interest expenses, loan provisions were only US$ 1.9 million for 3Q06, while recoveries from previously charged-off loans reached US$ 9.3 million, higher than projected. Thus the net effect is a positive net provision line of US$ 7.4 million for 3Q06 vs. US$ -1.3 million of net provisions in 2Q06.</w:t>
      </w:r>
    </w:p>
    <w:p>
      <w:pPr>
        <w:spacing w:after="0" w:line="19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fact, economic expansion and growing consumer confidence resulted in further improvement of portfolio quality, leading to lower provisioning requirements and lower past due loans. Thus, past due loans ratio reached only 1.52% at September 2006, down from 1.65% at June 2006 and 2.53% a year ago. The coverage ratio was at 221.62% as of September 2006, up from 219.38% at June 2006 and 175.25% a year ago. In absolute terms, past due loans reached US$ 83.8 million, 5.6% lower than in June 2006 and 26.6% lower than in September 2005.</w:t>
      </w:r>
    </w:p>
    <w:p>
      <w:pPr>
        <w:spacing w:after="0" w:line="16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Total loan portfolio continued showing a healthy expansion, reaching by September 2006 US$ 5,514 million, which reflects a 2.4% loan growth QoQ and 22.1% YoY. As expected, growth is mainly concentrated in the SME segment (PYMES) with 6.1% QoQ and 31.1% YoY, Personal Banking, which includes mortgages, credit cards and consumer loans, grew 5.4% QoQ and 21.9% YoY, Corporate Banking grew 2.3% QoQ and 20.4% YoY, and Middle Market reported a drop in the portfolio of 1.6% QoQ though still showing 21.2% growth YoY.</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main funding source for BCP’s loan growth is its deposit base. This grew 0.6% QoQ and 20.4% YoY when comparing quarterly balance sheet numbers. However, when measuring monthly average balances; growth reaches an important 6.0% QoQ. Mutual funds managed by BCP grew also 9.0% QoQ and 17.3% YoY.</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While operating income dropped 2.4% QoQ, operating costs (excluding other expenses) grew 4.5% QoQ. This led to a deterioration of the efficiency ratio to 52% for 3Q06, compared to 48.6% in 2Q06 and 49.5% in 3Q05.</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 cumulative basis, net income for the first 9 months of 2006 reached US$ 180.1 million, 32% higher than the net income of US$ 136.4 million reached in the same period of 2005. On the same cumulative comparison, net interest income is 15.1% higher, provisions are 76% lower, and the efficiency ratio remains below the 50% target for the year at 49.7%. Finally, ROAE for the first 9 months of 2006 reached 28.7%, an improvement compared to 23.8% ROAE for the first 9 months of the previous year.</w:t>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6" w:name="page7"/>
    <w:bookmarkEnd w:id="6"/>
    <w:p>
      <w:pPr>
        <w:spacing w:after="0" w:line="3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II.1 Interest Earning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re-allocation of funds from BCRP has occurred during the 3Q06 after a more stable political 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2700" w:type="dxa"/>
            <w:vAlign w:val="bottom"/>
          </w:tcPr>
          <w:p>
            <w:pPr>
              <w:spacing w:after="0"/>
              <w:rPr>
                <w:sz w:val="15"/>
                <w:szCs w:val="15"/>
                <w:color w:val="auto"/>
              </w:rPr>
            </w:pPr>
          </w:p>
        </w:tc>
        <w:tc>
          <w:tcPr>
            <w:tcW w:w="1420" w:type="dxa"/>
            <w:vAlign w:val="bottom"/>
          </w:tcPr>
          <w:p>
            <w:pPr>
              <w:jc w:val="right"/>
              <w:ind w:right="612"/>
              <w:spacing w:after="0"/>
              <w:rPr>
                <w:sz w:val="20"/>
                <w:szCs w:val="20"/>
                <w:color w:val="auto"/>
              </w:rPr>
            </w:pPr>
            <w:r>
              <w:rPr>
                <w:rFonts w:ascii="Arial" w:cs="Arial" w:eastAsia="Arial" w:hAnsi="Arial"/>
                <w:sz w:val="14"/>
                <w:szCs w:val="14"/>
                <w:b w:val="1"/>
                <w:bCs w:val="1"/>
                <w:color w:val="auto"/>
              </w:rPr>
              <w:t>Quarter</w:t>
            </w:r>
          </w:p>
        </w:tc>
        <w:tc>
          <w:tcPr>
            <w:tcW w:w="1280" w:type="dxa"/>
            <w:vAlign w:val="bottom"/>
          </w:tcPr>
          <w:p>
            <w:pPr>
              <w:spacing w:after="0"/>
              <w:rPr>
                <w:sz w:val="15"/>
                <w:szCs w:val="15"/>
                <w:color w:val="auto"/>
              </w:rPr>
            </w:pPr>
          </w:p>
        </w:tc>
        <w:tc>
          <w:tcPr>
            <w:tcW w:w="156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60" w:type="dxa"/>
            <w:vAlign w:val="bottom"/>
            <w:tcBorders>
              <w:bottom w:val="single" w:sz="8" w:color="auto"/>
            </w:tcBorders>
            <w:gridSpan w:val="2"/>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700" w:type="dxa"/>
            <w:vAlign w:val="bottom"/>
          </w:tcPr>
          <w:p>
            <w:pPr>
              <w:jc w:val="right"/>
              <w:ind w:right="592"/>
              <w:spacing w:after="0"/>
              <w:rPr>
                <w:sz w:val="20"/>
                <w:szCs w:val="20"/>
                <w:color w:val="auto"/>
              </w:rPr>
            </w:pPr>
            <w:r>
              <w:rPr>
                <w:rFonts w:ascii="Arial" w:cs="Arial" w:eastAsia="Arial" w:hAnsi="Arial"/>
                <w:sz w:val="14"/>
                <w:szCs w:val="14"/>
                <w:b w:val="1"/>
                <w:bCs w:val="1"/>
                <w:color w:val="auto"/>
              </w:rPr>
              <w:t>3Q06</w:t>
            </w:r>
          </w:p>
        </w:tc>
        <w:tc>
          <w:tcPr>
            <w:tcW w:w="142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3Q05</w:t>
            </w:r>
          </w:p>
        </w:tc>
        <w:tc>
          <w:tcPr>
            <w:tcW w:w="1560" w:type="dxa"/>
            <w:vAlign w:val="bottom"/>
          </w:tcPr>
          <w:p>
            <w:pPr>
              <w:jc w:val="right"/>
              <w:ind w:right="572"/>
              <w:spacing w:after="0"/>
              <w:rPr>
                <w:sz w:val="20"/>
                <w:szCs w:val="20"/>
                <w:color w:val="auto"/>
              </w:rPr>
            </w:pPr>
            <w:r>
              <w:rPr>
                <w:rFonts w:ascii="Arial" w:cs="Arial" w:eastAsia="Arial" w:hAnsi="Arial"/>
                <w:sz w:val="14"/>
                <w:szCs w:val="14"/>
                <w:b w:val="1"/>
                <w:bCs w:val="1"/>
                <w:color w:val="auto"/>
              </w:rPr>
              <w:t>3Q06/3Q05</w:t>
            </w: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w w:val="99"/>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BCRP and Other Banks</w:t>
            </w:r>
          </w:p>
        </w:tc>
        <w:tc>
          <w:tcPr>
            <w:tcW w:w="2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2,008,805</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2,536,908</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1,359,070</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47.8%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Interbank funds</w:t>
            </w:r>
          </w:p>
        </w:tc>
        <w:tc>
          <w:tcPr>
            <w:tcW w:w="27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206</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1,918</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1,495</w:t>
            </w:r>
          </w:p>
        </w:tc>
        <w:tc>
          <w:tcPr>
            <w:tcW w:w="15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-86.2%</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-89.3%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2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67,817</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41,897</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63,796</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6.3%</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Available For Sale Securities</w:t>
            </w:r>
          </w:p>
        </w:tc>
        <w:tc>
          <w:tcPr>
            <w:tcW w:w="27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950,332</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752,476</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1,121,280</w:t>
            </w:r>
          </w:p>
        </w:tc>
        <w:tc>
          <w:tcPr>
            <w:tcW w:w="15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-15.2%</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Loans</w:t>
            </w:r>
          </w:p>
        </w:tc>
        <w:tc>
          <w:tcPr>
            <w:tcW w:w="2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5,430,468</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5,296,554</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4,400,155</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23.4%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 earning assets</w:t>
            </w:r>
          </w:p>
        </w:tc>
        <w:tc>
          <w:tcPr>
            <w:tcW w:w="2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8,457,628</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8,629,753</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6,945,797</w:t>
            </w:r>
          </w:p>
        </w:tc>
        <w:tc>
          <w:tcPr>
            <w:tcW w:w="15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21.8%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After the political instability generated by the uncertainties of the electoral process during the first half of the year, the political scenario has stabilized through the policies implemented by the central government, generating more confidence in the economy and thus favoring further investments in general. As a result, excess liquidity accumulated by BCP in very liquid / low-return securities (such as deposits at the Central Bank-BCRP), have been reallocated to fund our loan expansion. Thus, deposits at BCRP dropped 21% QoQ and 48% YoY, while investments in securities grew significantly as did current loans. Nevertheless, total interest earning assets dropped 2% QoQ by approximately US$ 172 million in spite of loan and portfolio investment growth.</w:t>
      </w:r>
    </w:p>
    <w:p>
      <w:pPr>
        <w:spacing w:after="0" w:line="170"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As of September 2006, deposits at BCRP and other banks represented 24% of total interest earning assets, decreasing from 29% represented in last June and increasing from 20% represented in September 2005. Likewise, total investments (trading securities and investment available for sale) as of September 2006; make up for 12% of total interest earning assets vs. 9% of last June. Total loans, which make up for 64% of total IEA, are higher compared to 62% of last June.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148590</wp:posOffset>
            </wp:positionV>
            <wp:extent cx="6277610" cy="1663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7761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Loan growth is more accurately measured by comparing monthly average balances, which reflect growth in the retail segment in line with trends and expectations reaching 5.6% QoQ and 24.6% YoY. The strongest growth is reported in consumer loans at 9.7% QoQ and 27.4% YoY, followed by SME loans at 6.1% QoQ and 31% YoY, and mortgages growing at 3.8% QoQ and 16.6% YoY.</w:t>
      </w:r>
    </w:p>
    <w:p>
      <w:pPr>
        <w:spacing w:after="0" w:line="19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1435100</wp:posOffset>
            </wp:positionH>
            <wp:positionV relativeFrom="page">
              <wp:posOffset>380365</wp:posOffset>
            </wp:positionV>
            <wp:extent cx="5969000" cy="4313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00" cy="431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3Q06 the Middle Market segment showed a drop of 1.6% QoQ. This is mainly the result of a decrease in loans for international trade business due to the end of the fishing season. However, on a yearly basis, this segment grew 21.2%, which is about 3 times GDP growth YoY. With respect to Corporate Banking, it continued growing, mainly in medium and long-term financing. Thus, Corporate Banking grew 2.3% QoQ and 20.4%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107315</wp:posOffset>
            </wp:positionV>
            <wp:extent cx="5205730" cy="1509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0573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Loan portfolio evolution per segment and product measured by market share is also consistent with loan growth and expectations. BCP’s market share in Credit Cards increased 60 bps QoQ, reaching 17.3%, while consumer credit and personal loans grew 30 bps, to a market share of 12.4%. Similarly, in mortgage loans (Mi Vivienda and traditional mortgages), BCP reached a 37.4% market share, up 50 bps QoQ, as well as in SME loans (PYMES) where it reached a market share of 17.8%, 40 bps up QoQ.</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This quarter, the de-dollarization of loans denoted some improvement QoQ, with 26% in Nuevos Soles vs. 74% in U.S. Dollars as of September 2006, compared to 24% vs. 76% respectively in June 2006. This way, improved confidence in the local currency, coupled with the increase in more attractive financial products offered in local currency are contributing to the de-dollarization process of our portfolio and the economy in general.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deposit growth continues providing low cost funding to support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Deposits and Obligations</w:t>
            </w:r>
          </w:p>
        </w:tc>
        <w:tc>
          <w:tcPr>
            <w:tcW w:w="2520" w:type="dxa"/>
            <w:vAlign w:val="bottom"/>
          </w:tcPr>
          <w:p>
            <w:pPr>
              <w:spacing w:after="0"/>
              <w:rPr>
                <w:sz w:val="15"/>
                <w:szCs w:val="15"/>
                <w:color w:val="auto"/>
              </w:rPr>
            </w:pPr>
          </w:p>
        </w:tc>
        <w:tc>
          <w:tcPr>
            <w:tcW w:w="1420" w:type="dxa"/>
            <w:vAlign w:val="bottom"/>
          </w:tcPr>
          <w:p>
            <w:pPr>
              <w:jc w:val="right"/>
              <w:ind w:right="612"/>
              <w:spacing w:after="0"/>
              <w:rPr>
                <w:sz w:val="20"/>
                <w:szCs w:val="20"/>
                <w:color w:val="auto"/>
              </w:rPr>
            </w:pPr>
            <w:r>
              <w:rPr>
                <w:rFonts w:ascii="Arial" w:cs="Arial" w:eastAsia="Arial" w:hAnsi="Arial"/>
                <w:sz w:val="14"/>
                <w:szCs w:val="14"/>
                <w:b w:val="1"/>
                <w:bCs w:val="1"/>
                <w:color w:val="auto"/>
              </w:rPr>
              <w:t>Quarter</w:t>
            </w:r>
          </w:p>
        </w:tc>
        <w:tc>
          <w:tcPr>
            <w:tcW w:w="1280" w:type="dxa"/>
            <w:vAlign w:val="bottom"/>
          </w:tcPr>
          <w:p>
            <w:pPr>
              <w:spacing w:after="0"/>
              <w:rPr>
                <w:sz w:val="15"/>
                <w:szCs w:val="15"/>
                <w:color w:val="auto"/>
              </w:rPr>
            </w:pPr>
          </w:p>
        </w:tc>
        <w:tc>
          <w:tcPr>
            <w:tcW w:w="156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40" w:type="dxa"/>
            <w:vAlign w:val="bottom"/>
            <w:tcBorders>
              <w:bottom w:val="single" w:sz="8" w:color="auto"/>
            </w:tcBorders>
            <w:gridSpan w:val="2"/>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US$(000)</w:t>
            </w:r>
          </w:p>
        </w:tc>
        <w:tc>
          <w:tcPr>
            <w:tcW w:w="2520" w:type="dxa"/>
            <w:vAlign w:val="bottom"/>
          </w:tcPr>
          <w:p>
            <w:pPr>
              <w:jc w:val="right"/>
              <w:ind w:right="592"/>
              <w:spacing w:after="0"/>
              <w:rPr>
                <w:sz w:val="20"/>
                <w:szCs w:val="20"/>
                <w:color w:val="auto"/>
              </w:rPr>
            </w:pPr>
            <w:r>
              <w:rPr>
                <w:rFonts w:ascii="Arial" w:cs="Arial" w:eastAsia="Arial" w:hAnsi="Arial"/>
                <w:sz w:val="14"/>
                <w:szCs w:val="14"/>
                <w:b w:val="1"/>
                <w:bCs w:val="1"/>
                <w:color w:val="auto"/>
              </w:rPr>
              <w:t>3Q06</w:t>
            </w:r>
          </w:p>
        </w:tc>
        <w:tc>
          <w:tcPr>
            <w:tcW w:w="142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3Q05</w:t>
            </w:r>
          </w:p>
        </w:tc>
        <w:tc>
          <w:tcPr>
            <w:tcW w:w="1560" w:type="dxa"/>
            <w:vAlign w:val="bottom"/>
          </w:tcPr>
          <w:p>
            <w:pPr>
              <w:jc w:val="right"/>
              <w:ind w:right="572"/>
              <w:spacing w:after="0"/>
              <w:rPr>
                <w:sz w:val="20"/>
                <w:szCs w:val="20"/>
                <w:color w:val="auto"/>
              </w:rPr>
            </w:pPr>
            <w:r>
              <w:rPr>
                <w:rFonts w:ascii="Arial" w:cs="Arial" w:eastAsia="Arial" w:hAnsi="Arial"/>
                <w:sz w:val="14"/>
                <w:szCs w:val="14"/>
                <w:b w:val="1"/>
                <w:bCs w:val="1"/>
                <w:color w:val="auto"/>
              </w:rPr>
              <w:t>3Q06/3Q05</w:t>
            </w: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w w:val="99"/>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deposits</w:t>
            </w:r>
          </w:p>
        </w:tc>
        <w:tc>
          <w:tcPr>
            <w:tcW w:w="2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1,721,237</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1,777,777</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1,445,784</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19.1%</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2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640,093</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499,889</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566,061</w:t>
            </w:r>
          </w:p>
        </w:tc>
        <w:tc>
          <w:tcPr>
            <w:tcW w:w="15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13.1%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deposits</w:t>
            </w:r>
          </w:p>
        </w:tc>
        <w:tc>
          <w:tcPr>
            <w:tcW w:w="2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1,768,181</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1,726,641</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1,587,334</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Time deposits</w:t>
            </w:r>
          </w:p>
        </w:tc>
        <w:tc>
          <w:tcPr>
            <w:tcW w:w="2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2,608,251</w:t>
            </w:r>
          </w:p>
        </w:tc>
        <w:tc>
          <w:tcPr>
            <w:tcW w:w="14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2,664,939</w:t>
            </w:r>
          </w:p>
        </w:tc>
        <w:tc>
          <w:tcPr>
            <w:tcW w:w="12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1,990,998</w:t>
            </w:r>
          </w:p>
        </w:tc>
        <w:tc>
          <w:tcPr>
            <w:tcW w:w="15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31.0%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2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684,988</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714,963</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578,442</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Interest payable</w:t>
            </w:r>
          </w:p>
        </w:tc>
        <w:tc>
          <w:tcPr>
            <w:tcW w:w="2520" w:type="dxa"/>
            <w:vAlign w:val="bottom"/>
          </w:tcPr>
          <w:p>
            <w:pPr>
              <w:jc w:val="right"/>
              <w:ind w:right="212"/>
              <w:spacing w:after="0"/>
              <w:rPr>
                <w:sz w:val="20"/>
                <w:szCs w:val="20"/>
                <w:color w:val="auto"/>
              </w:rPr>
            </w:pPr>
            <w:r>
              <w:rPr>
                <w:rFonts w:ascii="Arial" w:cs="Arial" w:eastAsia="Arial" w:hAnsi="Arial"/>
                <w:sz w:val="14"/>
                <w:szCs w:val="14"/>
                <w:color w:val="auto"/>
              </w:rPr>
              <w:t>32,317</w:t>
            </w:r>
          </w:p>
        </w:tc>
        <w:tc>
          <w:tcPr>
            <w:tcW w:w="1420" w:type="dxa"/>
            <w:vAlign w:val="bottom"/>
          </w:tcPr>
          <w:p>
            <w:pPr>
              <w:jc w:val="right"/>
              <w:ind w:right="272"/>
              <w:spacing w:after="0"/>
              <w:rPr>
                <w:sz w:val="20"/>
                <w:szCs w:val="20"/>
                <w:color w:val="auto"/>
              </w:rPr>
            </w:pPr>
            <w:r>
              <w:rPr>
                <w:rFonts w:ascii="Arial" w:cs="Arial" w:eastAsia="Arial" w:hAnsi="Arial"/>
                <w:sz w:val="14"/>
                <w:szCs w:val="14"/>
                <w:color w:val="auto"/>
              </w:rPr>
              <w:t>28,018</w:t>
            </w:r>
          </w:p>
        </w:tc>
        <w:tc>
          <w:tcPr>
            <w:tcW w:w="1280" w:type="dxa"/>
            <w:vAlign w:val="bottom"/>
          </w:tcPr>
          <w:p>
            <w:pPr>
              <w:jc w:val="right"/>
              <w:ind w:right="192"/>
              <w:spacing w:after="0"/>
              <w:rPr>
                <w:sz w:val="20"/>
                <w:szCs w:val="20"/>
                <w:color w:val="auto"/>
              </w:rPr>
            </w:pPr>
            <w:r>
              <w:rPr>
                <w:rFonts w:ascii="Arial" w:cs="Arial" w:eastAsia="Arial" w:hAnsi="Arial"/>
                <w:sz w:val="14"/>
                <w:szCs w:val="14"/>
                <w:color w:val="auto"/>
              </w:rPr>
              <w:t>23,168</w:t>
            </w:r>
          </w:p>
        </w:tc>
        <w:tc>
          <w:tcPr>
            <w:tcW w:w="1560" w:type="dxa"/>
            <w:vAlign w:val="bottom"/>
          </w:tcPr>
          <w:p>
            <w:pPr>
              <w:jc w:val="right"/>
              <w:ind w:right="252"/>
              <w:spacing w:after="0"/>
              <w:rPr>
                <w:sz w:val="20"/>
                <w:szCs w:val="20"/>
                <w:color w:val="auto"/>
              </w:rPr>
            </w:pPr>
            <w:r>
              <w:rPr>
                <w:rFonts w:ascii="Arial" w:cs="Arial" w:eastAsia="Arial" w:hAnsi="Arial"/>
                <w:sz w:val="14"/>
                <w:szCs w:val="14"/>
                <w:color w:val="auto"/>
              </w:rPr>
              <w:t>39.5%</w:t>
            </w: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deposits</w:t>
            </w:r>
          </w:p>
        </w:tc>
        <w:tc>
          <w:tcPr>
            <w:tcW w:w="2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7,455,066</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7,412,227</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6,191,786</w:t>
            </w:r>
          </w:p>
        </w:tc>
        <w:tc>
          <w:tcPr>
            <w:tcW w:w="15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20.4%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 in Perú</w:t>
            </w:r>
          </w:p>
        </w:tc>
        <w:tc>
          <w:tcPr>
            <w:tcW w:w="2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1,161,376</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1,065,034</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990,111</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17.3%</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 in Bolivia</w:t>
            </w:r>
          </w:p>
        </w:tc>
        <w:tc>
          <w:tcPr>
            <w:tcW w:w="2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54,225</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57,811</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55,681</w:t>
            </w:r>
          </w:p>
        </w:tc>
        <w:tc>
          <w:tcPr>
            <w:tcW w:w="15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-2.6%</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funds</w:t>
            </w:r>
          </w:p>
        </w:tc>
        <w:tc>
          <w:tcPr>
            <w:tcW w:w="2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8,670,667</w:t>
            </w:r>
          </w:p>
        </w:tc>
        <w:tc>
          <w:tcPr>
            <w:tcW w:w="1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8,535,072</w:t>
            </w:r>
          </w:p>
        </w:tc>
        <w:tc>
          <w:tcPr>
            <w:tcW w:w="12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7,237,578</w:t>
            </w:r>
          </w:p>
        </w:tc>
        <w:tc>
          <w:tcPr>
            <w:tcW w:w="15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19.8%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terms of quarterly balances, deposits growth reached only 0.6% QoQ and 20.4% YoY. However, measuring monthly average balances, deposits growth is 6% QoQ, confirming its role as a solid source of funds for loan expansion. During 3Q06, deposits grew in volume, but its cost also increased as rates rose. Time deposits, savings and CTS deposits all registered increases in rates as a result of competitive pressure to retain clients. Despite these rate increases, BCP continues having the lowest cost of funds in the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130810</wp:posOffset>
            </wp:positionV>
            <wp:extent cx="2924175" cy="1706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2417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Based on these monthly average balances, market share of deposits as of September 2006 was 36.0% vs. 36.3% in June and 34.2% in September 2005. Market share of demand deposits was 39.6% and 41.6%, in local currency and US Dollars respectively. Time deposits market share was 15.2% and 38.0% in Soles and Dollars, and for Savings deposits these reached 31.3% and 42.9%, respectively. In CTS deposits, BCP maintains its leadership with a 55.5% market share.</w:t>
      </w:r>
    </w:p>
    <w:p>
      <w:pPr>
        <w:spacing w:after="0" w:line="142" w:lineRule="exact"/>
        <w:rPr>
          <w:sz w:val="20"/>
          <w:szCs w:val="20"/>
          <w:color w:val="auto"/>
        </w:rPr>
      </w:pPr>
    </w:p>
    <w:p>
      <w:pPr>
        <w:ind w:left="1134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9" w:name="page10"/>
    <w:bookmarkEnd w:id="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Currency composition of BCP’s deposits as of September 2006, reach 28% in local currency and 72% in US Dollars, compared to 27% and 73% respectively as of June 2006.</w:t>
      </w:r>
    </w:p>
    <w:p>
      <w:pPr>
        <w:spacing w:after="0" w:line="18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BCP, through its subsidiary Credifondo, continues being the mutual fund market leader with a 50.6% market share as of September 2006. Mutual funds of BCP continue showing consistent growth, reaching US$ 1,161 million in terms of administered funds, 9% larger than in June 2006 and 17% larger YoY.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expenses increased at a higher rate compared to interest income due to higher deposit interest rates during the last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2480" w:type="dxa"/>
            <w:vAlign w:val="bottom"/>
          </w:tcPr>
          <w:p>
            <w:pPr>
              <w:spacing w:after="0"/>
              <w:rPr>
                <w:sz w:val="15"/>
                <w:szCs w:val="15"/>
                <w:color w:val="auto"/>
              </w:rPr>
            </w:pPr>
          </w:p>
        </w:tc>
        <w:tc>
          <w:tcPr>
            <w:tcW w:w="1320" w:type="dxa"/>
            <w:vAlign w:val="bottom"/>
          </w:tcPr>
          <w:p>
            <w:pPr>
              <w:jc w:val="right"/>
              <w:ind w:right="592"/>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80" w:type="dxa"/>
            <w:vAlign w:val="bottom"/>
            <w:tcBorders>
              <w:bottom w:val="single" w:sz="8" w:color="auto"/>
            </w:tcBorders>
            <w:gridSpan w:val="2"/>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US$000</w:t>
            </w:r>
          </w:p>
        </w:tc>
        <w:tc>
          <w:tcPr>
            <w:tcW w:w="2480" w:type="dxa"/>
            <w:vAlign w:val="bottom"/>
          </w:tcPr>
          <w:p>
            <w:pPr>
              <w:jc w:val="right"/>
              <w:ind w:right="552"/>
              <w:spacing w:after="0"/>
              <w:rPr>
                <w:sz w:val="20"/>
                <w:szCs w:val="20"/>
                <w:color w:val="auto"/>
              </w:rPr>
            </w:pPr>
            <w:r>
              <w:rPr>
                <w:rFonts w:ascii="Arial" w:cs="Arial" w:eastAsia="Arial" w:hAnsi="Arial"/>
                <w:sz w:val="14"/>
                <w:szCs w:val="14"/>
                <w:b w:val="1"/>
                <w:bCs w:val="1"/>
                <w:color w:val="auto"/>
              </w:rPr>
              <w:t>3Q06</w:t>
            </w: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3Q06/3Q05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24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174,830</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174,360</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139,099</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25.7%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Interest on loans</w:t>
            </w:r>
          </w:p>
        </w:tc>
        <w:tc>
          <w:tcPr>
            <w:tcW w:w="24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137,090</w:t>
            </w:r>
          </w:p>
        </w:tc>
        <w:tc>
          <w:tcPr>
            <w:tcW w:w="13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128,072</w:t>
            </w: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113,494</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and dividends on investments</w:t>
            </w:r>
          </w:p>
        </w:tc>
        <w:tc>
          <w:tcPr>
            <w:tcW w:w="24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657</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2,600</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Interest on deposits with banks</w:t>
            </w:r>
          </w:p>
        </w:tc>
        <w:tc>
          <w:tcPr>
            <w:tcW w:w="24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21,703</w:t>
            </w:r>
          </w:p>
        </w:tc>
        <w:tc>
          <w:tcPr>
            <w:tcW w:w="13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22,686</w:t>
            </w: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7,582</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186.2%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on trading securities and other</w:t>
            </w:r>
          </w:p>
        </w:tc>
        <w:tc>
          <w:tcPr>
            <w:tcW w:w="24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15,380</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21,002</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18,023</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24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(67,767)</w:t>
            </w:r>
          </w:p>
        </w:tc>
        <w:tc>
          <w:tcPr>
            <w:tcW w:w="132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(60,213)</w:t>
            </w:r>
          </w:p>
        </w:tc>
        <w:tc>
          <w:tcPr>
            <w:tcW w:w="11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(38,558)</w:t>
            </w:r>
          </w:p>
        </w:tc>
        <w:tc>
          <w:tcPr>
            <w:tcW w:w="14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75.8%</w:t>
            </w: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on deposits</w:t>
            </w:r>
          </w:p>
        </w:tc>
        <w:tc>
          <w:tcPr>
            <w:tcW w:w="24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(47,509)</w:t>
            </w:r>
          </w:p>
        </w:tc>
        <w:tc>
          <w:tcPr>
            <w:tcW w:w="13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(40,988)</w:t>
            </w:r>
          </w:p>
        </w:tc>
        <w:tc>
          <w:tcPr>
            <w:tcW w:w="11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(26,755)</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77.6%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Interest on borrowed funds</w:t>
            </w:r>
          </w:p>
        </w:tc>
        <w:tc>
          <w:tcPr>
            <w:tcW w:w="24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(12,701)</w:t>
            </w:r>
          </w:p>
        </w:tc>
        <w:tc>
          <w:tcPr>
            <w:tcW w:w="13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(8,544)</w:t>
            </w:r>
          </w:p>
        </w:tc>
        <w:tc>
          <w:tcPr>
            <w:tcW w:w="11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(4,421)</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187.3%</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interest expense</w:t>
            </w:r>
          </w:p>
        </w:tc>
        <w:tc>
          <w:tcPr>
            <w:tcW w:w="24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(7,557)</w:t>
            </w:r>
          </w:p>
        </w:tc>
        <w:tc>
          <w:tcPr>
            <w:tcW w:w="13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(10,681)</w:t>
            </w:r>
          </w:p>
        </w:tc>
        <w:tc>
          <w:tcPr>
            <w:tcW w:w="11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(7,382)</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24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107,063</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114,148</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100,541</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24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8,543,953</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8,557,659</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6,872,234</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24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5.01%</w:t>
            </w:r>
          </w:p>
        </w:tc>
        <w:tc>
          <w:tcPr>
            <w:tcW w:w="13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5.34%</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5.85%</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Interest on loans, the main element of net interest income, reflects healthy growth of 7% QoQ, proportionately higher than the 2.6% total loan growth, reflecting the good loan growth reported in the retail segment which contributes to a continuation of the portfolio shift towards higher yielding loans. Despite this excellent performance, a drop in interest on trading securities (lower yields on indexed CD’s), offsets the achieved growth in interest on loans leaving total interest income fairly flat QoQ.</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during the 3Q06 we faced increased interest expense due to the rise in interest rates on deposits following some competitive pressure to retain and attract clients and maintain market share. Average rates on total deposits have been rising in the last months, reaching 2.60% in September 2006 vs. 2.43% in June (up 17bps).</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the other hand, throughout the year BCP has incurred additional debt in order to extend the duration of its funding and to lock in very attractive fixed long term funding, through different internationally-placed transactions. This is nevertheless more expensive funding than BCP’s traditional deposit base, but responds on the other hand to a conservative asset &amp; liability management to cover mismatches in funding. Furthermore, BCP entered into interest rate SWAP transactions which led to losses in 3Q06 that increased our cost of borrowed funds, after having reported gains in 2Q06. This explains a QoQ differential in the cost of borrowed funds of around US$ 2 million. Though interest on borrowed funds grows 48.7% QoQ, altogether interest expense grew 12.5% QoQ and 75.8% YoY. All these developments led to the drop in net interest income of 6.2% QoQ. On a yearly basis, NII is still 6.5% higher.</w:t>
      </w:r>
    </w:p>
    <w:p>
      <w:pPr>
        <w:spacing w:after="0" w:line="174" w:lineRule="exact"/>
        <w:rPr>
          <w:sz w:val="20"/>
          <w:szCs w:val="20"/>
          <w:color w:val="auto"/>
        </w:rPr>
      </w:pPr>
    </w:p>
    <w:p>
      <w:pPr>
        <w:ind w:left="113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10" w:name="page11"/>
    <w:bookmarkEnd w:id="10"/>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As a result of this evolution in interest income and expenses and despite the slight drop in interest earning assets, NIM dropped to 5.01%, from 5.34% in 2Q06 and 5.85% in 3Q05.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123190</wp:posOffset>
            </wp:positionV>
            <wp:extent cx="2821305" cy="1517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130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II.4 Provisions for loan losses, net of recoveries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3Q06 shows continued improvement in portfolio quality with past due loans ratio reaching 1.52% and coverage ratio reaching 221.62%.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Provisión for loan losses</w:t>
            </w:r>
          </w:p>
        </w:tc>
        <w:tc>
          <w:tcPr>
            <w:tcW w:w="2780" w:type="dxa"/>
            <w:vAlign w:val="bottom"/>
          </w:tcPr>
          <w:p>
            <w:pPr>
              <w:spacing w:after="0"/>
              <w:rPr>
                <w:sz w:val="15"/>
                <w:szCs w:val="15"/>
                <w:color w:val="auto"/>
              </w:rPr>
            </w:pPr>
          </w:p>
        </w:tc>
        <w:tc>
          <w:tcPr>
            <w:tcW w:w="1300" w:type="dxa"/>
            <w:vAlign w:val="bottom"/>
          </w:tcPr>
          <w:p>
            <w:pPr>
              <w:jc w:val="right"/>
              <w:ind w:right="572"/>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80" w:type="dxa"/>
            <w:vAlign w:val="bottom"/>
            <w:tcBorders>
              <w:bottom w:val="single" w:sz="8" w:color="auto"/>
            </w:tcBorders>
            <w:gridSpan w:val="2"/>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780" w:type="dxa"/>
            <w:vAlign w:val="bottom"/>
          </w:tcPr>
          <w:p>
            <w:pPr>
              <w:jc w:val="right"/>
              <w:ind w:right="552"/>
              <w:spacing w:after="0"/>
              <w:rPr>
                <w:sz w:val="20"/>
                <w:szCs w:val="20"/>
                <w:color w:val="auto"/>
              </w:rPr>
            </w:pPr>
            <w:r>
              <w:rPr>
                <w:rFonts w:ascii="Arial" w:cs="Arial" w:eastAsia="Arial" w:hAnsi="Arial"/>
                <w:sz w:val="14"/>
                <w:szCs w:val="14"/>
                <w:b w:val="1"/>
                <w:bCs w:val="1"/>
                <w:color w:val="auto"/>
              </w:rPr>
              <w:t>3Q06</w:t>
            </w: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2Q06</w:t>
            </w: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3Q06/3Q05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Provisions</w:t>
            </w:r>
          </w:p>
        </w:tc>
        <w:tc>
          <w:tcPr>
            <w:tcW w:w="27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(1,881)</w:t>
            </w:r>
          </w:p>
        </w:tc>
        <w:tc>
          <w:tcPr>
            <w:tcW w:w="13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(10,525)</w:t>
            </w:r>
          </w:p>
        </w:tc>
        <w:tc>
          <w:tcPr>
            <w:tcW w:w="11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(3,638)</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-48.3%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Loan loss recoveries</w:t>
            </w:r>
          </w:p>
        </w:tc>
        <w:tc>
          <w:tcPr>
            <w:tcW w:w="2780" w:type="dxa"/>
            <w:vAlign w:val="bottom"/>
          </w:tcPr>
          <w:p>
            <w:pPr>
              <w:jc w:val="right"/>
              <w:ind w:right="252"/>
              <w:spacing w:after="0"/>
              <w:rPr>
                <w:sz w:val="20"/>
                <w:szCs w:val="20"/>
                <w:color w:val="auto"/>
              </w:rPr>
            </w:pPr>
            <w:r>
              <w:rPr>
                <w:rFonts w:ascii="Arial" w:cs="Arial" w:eastAsia="Arial" w:hAnsi="Arial"/>
                <w:sz w:val="14"/>
                <w:szCs w:val="14"/>
                <w:color w:val="auto"/>
              </w:rPr>
              <w:t>9,273</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9,213</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6,615</w:t>
            </w:r>
          </w:p>
        </w:tc>
        <w:tc>
          <w:tcPr>
            <w:tcW w:w="1420" w:type="dxa"/>
            <w:vAlign w:val="bottom"/>
          </w:tcPr>
          <w:p>
            <w:pPr>
              <w:jc w:val="right"/>
              <w:ind w:right="212"/>
              <w:spacing w:after="0"/>
              <w:rPr>
                <w:sz w:val="20"/>
                <w:szCs w:val="20"/>
                <w:color w:val="auto"/>
              </w:rPr>
            </w:pPr>
            <w:r>
              <w:rPr>
                <w:rFonts w:ascii="Arial" w:cs="Arial" w:eastAsia="Arial" w:hAnsi="Arial"/>
                <w:sz w:val="14"/>
                <w:szCs w:val="14"/>
                <w:color w:val="auto"/>
              </w:rPr>
              <w:t>40.2%</w:t>
            </w: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provisions, net of recoveries</w:t>
            </w:r>
          </w:p>
        </w:tc>
        <w:tc>
          <w:tcPr>
            <w:tcW w:w="27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7,392</w:t>
            </w:r>
          </w:p>
        </w:tc>
        <w:tc>
          <w:tcPr>
            <w:tcW w:w="13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(1,312)</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2,976</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148.3%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27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5,514,218</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5,385,246</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4,514,320</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for loan losses (RLL)</w:t>
            </w:r>
          </w:p>
        </w:tc>
        <w:tc>
          <w:tcPr>
            <w:tcW w:w="27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185,608</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194,570</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200,068</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-7.2%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Bcp’s Charge-Off amount</w:t>
            </w:r>
          </w:p>
        </w:tc>
        <w:tc>
          <w:tcPr>
            <w:tcW w:w="27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11,366</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12,024</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14,666</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Past due loans (PDL)</w:t>
            </w:r>
          </w:p>
        </w:tc>
        <w:tc>
          <w:tcPr>
            <w:tcW w:w="27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83,750</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88,692</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114,165</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-26.6%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2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1.52%</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1.65%</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2.53%</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Coverage</w:t>
            </w:r>
          </w:p>
        </w:tc>
        <w:tc>
          <w:tcPr>
            <w:tcW w:w="2780" w:type="dxa"/>
            <w:vAlign w:val="bottom"/>
          </w:tcPr>
          <w:p>
            <w:pPr>
              <w:jc w:val="right"/>
              <w:ind w:right="132"/>
              <w:spacing w:after="0"/>
              <w:rPr>
                <w:sz w:val="20"/>
                <w:szCs w:val="20"/>
                <w:color w:val="auto"/>
              </w:rPr>
            </w:pPr>
            <w:r>
              <w:rPr>
                <w:rFonts w:ascii="Arial" w:cs="Arial" w:eastAsia="Arial" w:hAnsi="Arial"/>
                <w:sz w:val="14"/>
                <w:szCs w:val="14"/>
                <w:color w:val="auto"/>
              </w:rPr>
              <w:t>221.62%</w:t>
            </w:r>
          </w:p>
        </w:tc>
        <w:tc>
          <w:tcPr>
            <w:tcW w:w="1300" w:type="dxa"/>
            <w:vAlign w:val="bottom"/>
          </w:tcPr>
          <w:p>
            <w:pPr>
              <w:jc w:val="right"/>
              <w:ind w:right="192"/>
              <w:spacing w:after="0"/>
              <w:rPr>
                <w:sz w:val="20"/>
                <w:szCs w:val="20"/>
                <w:color w:val="auto"/>
              </w:rPr>
            </w:pPr>
            <w:r>
              <w:rPr>
                <w:rFonts w:ascii="Arial" w:cs="Arial" w:eastAsia="Arial" w:hAnsi="Arial"/>
                <w:sz w:val="14"/>
                <w:szCs w:val="14"/>
                <w:color w:val="auto"/>
              </w:rPr>
              <w:t>219.38%</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175.25%</w:t>
            </w: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more stable political situation following the electoral process together with an increase in consumer confidence, generated a positive impact on provisions, recoveries of written-off loans and loan quality ratios.</w:t>
      </w:r>
    </w:p>
    <w:p>
      <w:pPr>
        <w:spacing w:after="0" w:line="18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ratio of past due loans continued dropping despite loan growth and the significantly riskier retail and SME business expansion, reaching 1.52% at the end of 3Q06, from 1.65% in 2Q06 and 2.53% in 3Q05. This indicator is a true reflection of the high quality of BCP’s portfolio, as evident also by the 5.6% QoQ drop in absolute terms of past due loans down to US$ 83.8 million in 3Q06.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Reserves for loan losses also increased improving the coverage ratio to 221.6% in 3Q06 vs. 219.38% in 2Q06 and 175.25% in 3Q05.</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This portfolio improvement led to lower provisioning requirements. In fact, the improved loan portfolio quality justified some provisioning reversals, leading to total provisions for the quarter of only 1.76% of NII compared to 9.22% in 2Q06 and 3.62% in 3Q05. Total provisions in 3Q06 decreased 82% QoQ, mainly due to a drop in provisions for commercial loans. This is the result of some reversals of provisions, which is a consequence of the improved quality of loan portfolio and a reduction in volume of PDL.</w:t>
      </w:r>
    </w:p>
    <w:p>
      <w:pPr>
        <w:spacing w:after="0" w:line="1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2164080</wp:posOffset>
            </wp:positionH>
            <wp:positionV relativeFrom="page">
              <wp:posOffset>380365</wp:posOffset>
            </wp:positionV>
            <wp:extent cx="5240020" cy="2092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4002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Thus, total provisions (new provisions plus provision reversals) during 3Q06 reached only US$ 1.9 million and were 82% lower than in 2Q06. Furthermore, recoveries from previously charged off loans were expected to drop from the high levels of recoveries from previous periods. However, these were still high in 3Q06 at US$ 9.2 million, maintaining a similar level as in 2Q06. Therefore, net provisions for the quarter turned positive, resulting in a US$ 7.4 million income for 3Q06.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Transactional business shows a steady growth according to BCP’s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w:t>
            </w:r>
          </w:p>
        </w:tc>
        <w:tc>
          <w:tcPr>
            <w:tcW w:w="2540" w:type="dxa"/>
            <w:vAlign w:val="bottom"/>
          </w:tcPr>
          <w:p>
            <w:pPr>
              <w:spacing w:after="0"/>
              <w:rPr>
                <w:sz w:val="15"/>
                <w:szCs w:val="15"/>
                <w:color w:val="auto"/>
              </w:rPr>
            </w:pPr>
          </w:p>
        </w:tc>
        <w:tc>
          <w:tcPr>
            <w:tcW w:w="1300" w:type="dxa"/>
            <w:vAlign w:val="bottom"/>
          </w:tcPr>
          <w:p>
            <w:pPr>
              <w:jc w:val="right"/>
              <w:ind w:right="512"/>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60" w:type="dxa"/>
            <w:vAlign w:val="bottom"/>
            <w:tcBorders>
              <w:bottom w:val="single" w:sz="8" w:color="auto"/>
            </w:tcBorders>
            <w:gridSpan w:val="2"/>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540" w:type="dxa"/>
            <w:vAlign w:val="bottom"/>
          </w:tcPr>
          <w:p>
            <w:pPr>
              <w:jc w:val="right"/>
              <w:ind w:right="492"/>
              <w:spacing w:after="0"/>
              <w:rPr>
                <w:sz w:val="20"/>
                <w:szCs w:val="20"/>
                <w:color w:val="auto"/>
              </w:rPr>
            </w:pPr>
            <w:r>
              <w:rPr>
                <w:rFonts w:ascii="Arial" w:cs="Arial" w:eastAsia="Arial" w:hAnsi="Arial"/>
                <w:sz w:val="14"/>
                <w:szCs w:val="14"/>
                <w:b w:val="1"/>
                <w:bCs w:val="1"/>
                <w:color w:val="auto"/>
              </w:rPr>
              <w:t>3Q06</w:t>
            </w: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2Q06</w:t>
            </w: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3Q06/3Q05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 income</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59,441</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55,399</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53,048</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25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9,674</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11,010</w:t>
            </w:r>
          </w:p>
        </w:tc>
        <w:tc>
          <w:tcPr>
            <w:tcW w:w="1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7,636</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26.7%</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3,112</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1,056</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4,796</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-35.1%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Other income</w:t>
            </w:r>
          </w:p>
        </w:tc>
        <w:tc>
          <w:tcPr>
            <w:tcW w:w="2540" w:type="dxa"/>
            <w:vAlign w:val="bottom"/>
          </w:tcPr>
          <w:p>
            <w:pPr>
              <w:jc w:val="right"/>
              <w:ind w:right="192"/>
              <w:spacing w:after="0"/>
              <w:rPr>
                <w:sz w:val="20"/>
                <w:szCs w:val="20"/>
                <w:color w:val="auto"/>
              </w:rPr>
            </w:pPr>
            <w:r>
              <w:rPr>
                <w:rFonts w:ascii="Arial" w:cs="Arial" w:eastAsia="Arial" w:hAnsi="Arial"/>
                <w:sz w:val="14"/>
                <w:szCs w:val="14"/>
                <w:color w:val="auto"/>
              </w:rPr>
              <w:t>1,950</w:t>
            </w:r>
          </w:p>
        </w:tc>
        <w:tc>
          <w:tcPr>
            <w:tcW w:w="1300" w:type="dxa"/>
            <w:vAlign w:val="bottom"/>
          </w:tcPr>
          <w:p>
            <w:pPr>
              <w:jc w:val="right"/>
              <w:ind w:right="232"/>
              <w:spacing w:after="0"/>
              <w:rPr>
                <w:sz w:val="20"/>
                <w:szCs w:val="20"/>
                <w:color w:val="auto"/>
              </w:rPr>
            </w:pPr>
            <w:r>
              <w:rPr>
                <w:rFonts w:ascii="Arial" w:cs="Arial" w:eastAsia="Arial" w:hAnsi="Arial"/>
                <w:sz w:val="14"/>
                <w:szCs w:val="14"/>
                <w:color w:val="auto"/>
              </w:rPr>
              <w:t>3,522</w:t>
            </w:r>
          </w:p>
        </w:tc>
        <w:tc>
          <w:tcPr>
            <w:tcW w:w="1180" w:type="dxa"/>
            <w:vAlign w:val="bottom"/>
          </w:tcPr>
          <w:p>
            <w:pPr>
              <w:jc w:val="right"/>
              <w:ind w:right="172"/>
              <w:spacing w:after="0"/>
              <w:rPr>
                <w:sz w:val="20"/>
                <w:szCs w:val="20"/>
                <w:color w:val="auto"/>
              </w:rPr>
            </w:pPr>
            <w:r>
              <w:rPr>
                <w:rFonts w:ascii="Arial" w:cs="Arial" w:eastAsia="Arial" w:hAnsi="Arial"/>
                <w:sz w:val="14"/>
                <w:szCs w:val="14"/>
                <w:color w:val="auto"/>
              </w:rPr>
              <w:t>4,639</w:t>
            </w:r>
          </w:p>
        </w:tc>
        <w:tc>
          <w:tcPr>
            <w:tcW w:w="1420" w:type="dxa"/>
            <w:vAlign w:val="bottom"/>
          </w:tcPr>
          <w:p>
            <w:pPr>
              <w:jc w:val="right"/>
              <w:ind w:right="212"/>
              <w:spacing w:after="0"/>
              <w:rPr>
                <w:sz w:val="20"/>
                <w:szCs w:val="20"/>
                <w:color w:val="auto"/>
              </w:rPr>
            </w:pPr>
            <w:r>
              <w:rPr>
                <w:rFonts w:ascii="Arial" w:cs="Arial" w:eastAsia="Arial" w:hAnsi="Arial"/>
                <w:sz w:val="14"/>
                <w:szCs w:val="14"/>
                <w:color w:val="auto"/>
              </w:rPr>
              <w:t>-58.0%</w:t>
            </w:r>
          </w:p>
        </w:tc>
        <w:tc>
          <w:tcPr>
            <w:tcW w:w="1020" w:type="dxa"/>
            <w:vAlign w:val="bottom"/>
          </w:tcPr>
          <w:p>
            <w:pPr>
              <w:jc w:val="right"/>
              <w:spacing w:after="0"/>
              <w:rPr>
                <w:sz w:val="20"/>
                <w:szCs w:val="20"/>
                <w:color w:val="auto"/>
              </w:rPr>
            </w:pPr>
            <w:r>
              <w:rPr>
                <w:rFonts w:ascii="Arial" w:cs="Arial" w:eastAsia="Arial" w:hAnsi="Arial"/>
                <w:sz w:val="14"/>
                <w:szCs w:val="14"/>
                <w:color w:val="auto"/>
              </w:rPr>
              <w:t>-44.6%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74,176</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70,987</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70,119</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5.8%</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Fee Income </w:t>
      </w:r>
      <w:r>
        <w:rPr>
          <w:rFonts w:ascii="Arial" w:cs="Arial" w:eastAsia="Arial" w:hAnsi="Arial"/>
          <w:sz w:val="16"/>
          <w:szCs w:val="16"/>
          <w:color w:val="auto"/>
        </w:rPr>
        <w:t>grew a solid 7.3% QoQ and 12.1% YoY as a result of the increased number of transactions. Monthly average volume growth of transactions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around 20% YoY to 24 million, confirms our strategy of reducing certain transaction fees in order to achieve a volume expansion, thus contributing to increase banking penetration. It is interesting to observe monthly average volume growth of transactions in the different distribution channels. Teller transactions, which make up 33% of total transactions, grew 1% QoQ and 10.1% YoY, whereas transactions through electronic channels (through ViaBCP-Internet-, ATMs, Telephone Banking, Agente Via BCP) which represent 48.1% of total transactions, grew 4.5% QoQ and 28.4% YoY, and other channels such as automatic debits, POS, ATMs of other bank networks and Telecrédito, grew 3% QoQ and 20.3% YoY. This increased number of transactions reflects the fee income growth despite the reduction in transaction fees for some products which were geared to increase banking penetration.</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volume growth was only possible due to an also important expansion in distribution channels. Emphasis was placed on the expansion of not only traditional channels (16 more branches throughout 2006), as well as new, cost-effective and more accessible channels, such as the innovative “Agente ViaBcp”, which is expected to grow to over 440 agents expanding this way our points of attention by over 30% in one year.</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Furthermore, fee income from commercial placements also reflected important growth of 31% due to among others, a better fee structure of BCP’s leasing transactions, becoming more competitive in the market. Fees from Credibolsa, our capital markets agent also benefited from increased capital markets activity growing over 63% QoQ.</w:t>
      </w:r>
    </w:p>
    <w:p>
      <w:pPr>
        <w:spacing w:after="0" w:line="19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972185</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2540" w:type="dxa"/>
            <w:vAlign w:val="bottom"/>
          </w:tcPr>
          <w:p>
            <w:pPr>
              <w:spacing w:after="0"/>
              <w:rPr>
                <w:sz w:val="15"/>
                <w:szCs w:val="15"/>
                <w:color w:val="auto"/>
              </w:rPr>
            </w:pPr>
          </w:p>
        </w:tc>
        <w:tc>
          <w:tcPr>
            <w:tcW w:w="1300" w:type="dxa"/>
            <w:vAlign w:val="bottom"/>
          </w:tcPr>
          <w:p>
            <w:pPr>
              <w:jc w:val="right"/>
              <w:ind w:right="512"/>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60" w:type="dxa"/>
            <w:vAlign w:val="bottom"/>
            <w:tcBorders>
              <w:bottom w:val="single" w:sz="8" w:color="auto"/>
            </w:tcBorders>
            <w:gridSpan w:val="2"/>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540" w:type="dxa"/>
            <w:vAlign w:val="bottom"/>
          </w:tcPr>
          <w:p>
            <w:pPr>
              <w:jc w:val="right"/>
              <w:ind w:right="492"/>
              <w:spacing w:after="0"/>
              <w:rPr>
                <w:sz w:val="20"/>
                <w:szCs w:val="20"/>
                <w:color w:val="auto"/>
              </w:rPr>
            </w:pPr>
            <w:r>
              <w:rPr>
                <w:rFonts w:ascii="Arial" w:cs="Arial" w:eastAsia="Arial" w:hAnsi="Arial"/>
                <w:sz w:val="14"/>
                <w:szCs w:val="14"/>
                <w:b w:val="1"/>
                <w:bCs w:val="1"/>
                <w:color w:val="auto"/>
              </w:rPr>
              <w:t>3Q06</w:t>
            </w: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2Q06</w:t>
            </w: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3Q06/3Q05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Account</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6,910</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6,474</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6,172</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25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7,146</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6,841</w:t>
            </w:r>
          </w:p>
        </w:tc>
        <w:tc>
          <w:tcPr>
            <w:tcW w:w="1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6,683</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6.9%</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cards</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6,989</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6,533</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6,391</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Fund transfer services</w:t>
            </w:r>
          </w:p>
        </w:tc>
        <w:tc>
          <w:tcPr>
            <w:tcW w:w="25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6,169</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5,986</w:t>
            </w:r>
          </w:p>
        </w:tc>
        <w:tc>
          <w:tcPr>
            <w:tcW w:w="1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5,175</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Collection fees</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4,199</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4,113</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3,988</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Billings &amp; payments</w:t>
            </w:r>
          </w:p>
        </w:tc>
        <w:tc>
          <w:tcPr>
            <w:tcW w:w="25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5,128</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4,576</w:t>
            </w:r>
          </w:p>
        </w:tc>
        <w:tc>
          <w:tcPr>
            <w:tcW w:w="1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4,265</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and foreign trade</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5,925</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5,483</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4,893</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21.1%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Debit card</w:t>
            </w:r>
          </w:p>
        </w:tc>
        <w:tc>
          <w:tcPr>
            <w:tcW w:w="25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2,686</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2,506</w:t>
            </w:r>
          </w:p>
        </w:tc>
        <w:tc>
          <w:tcPr>
            <w:tcW w:w="1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2,569</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4.6%</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Brokerage and fees</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1,645</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1,569</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1,484</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10.8%</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Commercial loans</w:t>
            </w:r>
          </w:p>
        </w:tc>
        <w:tc>
          <w:tcPr>
            <w:tcW w:w="25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2,580</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1,968</w:t>
            </w:r>
          </w:p>
        </w:tc>
        <w:tc>
          <w:tcPr>
            <w:tcW w:w="1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1,971</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30.9%</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1,370</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1,424</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1,342</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Distribution channels and Others</w:t>
            </w:r>
          </w:p>
        </w:tc>
        <w:tc>
          <w:tcPr>
            <w:tcW w:w="25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3,033</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2,841</w:t>
            </w:r>
          </w:p>
        </w:tc>
        <w:tc>
          <w:tcPr>
            <w:tcW w:w="1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3,504</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-13.4%</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loans, Mortgages and SME loans</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1,710</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1,795</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1,704</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Credibolsa</w:t>
            </w:r>
          </w:p>
        </w:tc>
        <w:tc>
          <w:tcPr>
            <w:tcW w:w="25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1,463</w:t>
            </w:r>
          </w:p>
        </w:tc>
        <w:tc>
          <w:tcPr>
            <w:tcW w:w="13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897</w:t>
            </w:r>
          </w:p>
        </w:tc>
        <w:tc>
          <w:tcPr>
            <w:tcW w:w="1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619</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136.3%</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Credifondo</w:t>
            </w:r>
          </w:p>
        </w:tc>
        <w:tc>
          <w:tcPr>
            <w:tcW w:w="25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2,489</w:t>
            </w:r>
          </w:p>
        </w:tc>
        <w:tc>
          <w:tcPr>
            <w:tcW w:w="13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2,393</w:t>
            </w:r>
          </w:p>
        </w:tc>
        <w:tc>
          <w:tcPr>
            <w:tcW w:w="1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2,289</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8.7%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ind w:left="420"/>
              <w:spacing w:after="0"/>
              <w:rPr>
                <w:sz w:val="20"/>
                <w:szCs w:val="20"/>
                <w:color w:val="auto"/>
              </w:rPr>
            </w:pPr>
            <w:r>
              <w:rPr>
                <w:rFonts w:ascii="Arial" w:cs="Arial" w:eastAsia="Arial" w:hAnsi="Arial"/>
                <w:sz w:val="14"/>
                <w:szCs w:val="14"/>
                <w:b w:val="1"/>
                <w:bCs w:val="1"/>
                <w:color w:val="auto"/>
              </w:rPr>
              <w:t>Total fee income</w:t>
            </w:r>
          </w:p>
        </w:tc>
        <w:tc>
          <w:tcPr>
            <w:tcW w:w="2540" w:type="dxa"/>
            <w:vAlign w:val="bottom"/>
          </w:tcPr>
          <w:p>
            <w:pPr>
              <w:jc w:val="right"/>
              <w:ind w:right="192"/>
              <w:spacing w:after="0"/>
              <w:rPr>
                <w:sz w:val="20"/>
                <w:szCs w:val="20"/>
                <w:color w:val="auto"/>
              </w:rPr>
            </w:pPr>
            <w:r>
              <w:rPr>
                <w:rFonts w:ascii="Arial" w:cs="Arial" w:eastAsia="Arial" w:hAnsi="Arial"/>
                <w:sz w:val="14"/>
                <w:szCs w:val="14"/>
                <w:b w:val="1"/>
                <w:bCs w:val="1"/>
                <w:color w:val="auto"/>
              </w:rPr>
              <w:t>59,441</w:t>
            </w: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55,398</w:t>
            </w: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rPr>
              <w:t>53,048</w:t>
            </w:r>
          </w:p>
        </w:tc>
        <w:tc>
          <w:tcPr>
            <w:tcW w:w="1420" w:type="dxa"/>
            <w:vAlign w:val="bottom"/>
          </w:tcPr>
          <w:p>
            <w:pPr>
              <w:jc w:val="right"/>
              <w:ind w:right="192"/>
              <w:spacing w:after="0"/>
              <w:rPr>
                <w:sz w:val="20"/>
                <w:szCs w:val="20"/>
                <w:color w:val="auto"/>
              </w:rPr>
            </w:pPr>
            <w:r>
              <w:rPr>
                <w:rFonts w:ascii="Arial" w:cs="Arial" w:eastAsia="Arial" w:hAnsi="Arial"/>
                <w:sz w:val="14"/>
                <w:szCs w:val="14"/>
                <w:b w:val="1"/>
                <w:bCs w:val="1"/>
                <w:color w:val="auto"/>
              </w:rPr>
              <w:t>12.1%</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 xml:space="preserve">On the other hand, </w:t>
      </w:r>
      <w:r>
        <w:rPr>
          <w:rFonts w:ascii="Arial" w:cs="Arial" w:eastAsia="Arial" w:hAnsi="Arial"/>
          <w:sz w:val="16"/>
          <w:szCs w:val="16"/>
          <w:i w:val="1"/>
          <w:iCs w:val="1"/>
          <w:color w:val="auto"/>
        </w:rPr>
        <w:t>net gains on FX transactions</w:t>
      </w:r>
      <w:r>
        <w:rPr>
          <w:rFonts w:ascii="Arial" w:cs="Arial" w:eastAsia="Arial" w:hAnsi="Arial"/>
          <w:sz w:val="16"/>
          <w:szCs w:val="16"/>
          <w:color w:val="auto"/>
        </w:rPr>
        <w:t xml:space="preserve"> dropped 12.1% QoQ. This was the result of tighter FX margins that were geared to attract customers from street transactions, and also the reduction in FX activity following a normalization of markets after the political uncertainties of the first half of the year.</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gains on sale of securities </w:t>
      </w:r>
      <w:r>
        <w:rPr>
          <w:rFonts w:ascii="Arial" w:cs="Arial" w:eastAsia="Arial" w:hAnsi="Arial"/>
          <w:sz w:val="16"/>
          <w:szCs w:val="16"/>
          <w:color w:val="auto"/>
        </w:rPr>
        <w:t>reached a US$ 2.1 million profit contribution, in line with the recovery of the Lima Stock Exchange, which grew by 30.5% QoQ.</w:t>
      </w: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44.6% QoQ drop in other non-financial income is explained by a difference in income since the previous quarter included a reimbursement from the Peruvian IRS (SUNAT) related to taxes from the year 2001. This line is certainly less predictable.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efficiency ratio has deteriorated to 52.03% during the 3Q06 due to an increase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2620" w:type="dxa"/>
            <w:vAlign w:val="bottom"/>
          </w:tcPr>
          <w:p>
            <w:pPr>
              <w:spacing w:after="0"/>
              <w:rPr>
                <w:sz w:val="15"/>
                <w:szCs w:val="15"/>
                <w:color w:val="auto"/>
              </w:rPr>
            </w:pPr>
          </w:p>
        </w:tc>
        <w:tc>
          <w:tcPr>
            <w:tcW w:w="1320" w:type="dxa"/>
            <w:vAlign w:val="bottom"/>
          </w:tcPr>
          <w:p>
            <w:pPr>
              <w:jc w:val="right"/>
              <w:ind w:right="592"/>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40" w:type="dxa"/>
            <w:vAlign w:val="bottom"/>
            <w:tcBorders>
              <w:bottom w:val="single" w:sz="8" w:color="auto"/>
            </w:tcBorders>
            <w:gridSpan w:val="2"/>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620" w:type="dxa"/>
            <w:vAlign w:val="bottom"/>
          </w:tcPr>
          <w:p>
            <w:pPr>
              <w:jc w:val="right"/>
              <w:ind w:right="552"/>
              <w:spacing w:after="0"/>
              <w:rPr>
                <w:sz w:val="20"/>
                <w:szCs w:val="20"/>
                <w:color w:val="auto"/>
              </w:rPr>
            </w:pPr>
            <w:r>
              <w:rPr>
                <w:rFonts w:ascii="Arial" w:cs="Arial" w:eastAsia="Arial" w:hAnsi="Arial"/>
                <w:sz w:val="14"/>
                <w:szCs w:val="14"/>
                <w:b w:val="1"/>
                <w:bCs w:val="1"/>
                <w:color w:val="auto"/>
              </w:rPr>
              <w:t>3Q06</w:t>
            </w: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3Q06/3Q05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26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46,370</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44,284</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37,907</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26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36,756</w:t>
            </w:r>
          </w:p>
        </w:tc>
        <w:tc>
          <w:tcPr>
            <w:tcW w:w="13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34,575</w:t>
            </w: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33,073</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26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8,533</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8,877</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8,778</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-2.8%</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Arial" w:cs="Arial" w:eastAsia="Arial" w:hAnsi="Arial"/>
                <w:sz w:val="14"/>
                <w:szCs w:val="14"/>
                <w:color w:val="auto"/>
              </w:rPr>
              <w:t>Other expenses</w:t>
            </w:r>
          </w:p>
        </w:tc>
        <w:tc>
          <w:tcPr>
            <w:tcW w:w="2620" w:type="dxa"/>
            <w:vAlign w:val="bottom"/>
          </w:tcPr>
          <w:p>
            <w:pPr>
              <w:jc w:val="right"/>
              <w:ind w:right="252"/>
              <w:spacing w:after="0"/>
              <w:rPr>
                <w:sz w:val="20"/>
                <w:szCs w:val="20"/>
                <w:color w:val="auto"/>
              </w:rPr>
            </w:pPr>
            <w:r>
              <w:rPr>
                <w:rFonts w:ascii="Arial" w:cs="Arial" w:eastAsia="Arial" w:hAnsi="Arial"/>
                <w:sz w:val="14"/>
                <w:szCs w:val="14"/>
                <w:color w:val="auto"/>
              </w:rPr>
              <w:t>21,007</w:t>
            </w:r>
          </w:p>
        </w:tc>
        <w:tc>
          <w:tcPr>
            <w:tcW w:w="1320" w:type="dxa"/>
            <w:vAlign w:val="bottom"/>
          </w:tcPr>
          <w:p>
            <w:pPr>
              <w:jc w:val="right"/>
              <w:ind w:right="312"/>
              <w:spacing w:after="0"/>
              <w:rPr>
                <w:sz w:val="20"/>
                <w:szCs w:val="20"/>
                <w:color w:val="auto"/>
              </w:rPr>
            </w:pPr>
            <w:r>
              <w:rPr>
                <w:rFonts w:ascii="Arial" w:cs="Arial" w:eastAsia="Arial" w:hAnsi="Arial"/>
                <w:sz w:val="14"/>
                <w:szCs w:val="14"/>
                <w:color w:val="auto"/>
              </w:rPr>
              <w:t>11,942</w:t>
            </w:r>
          </w:p>
        </w:tc>
        <w:tc>
          <w:tcPr>
            <w:tcW w:w="1100" w:type="dxa"/>
            <w:vAlign w:val="bottom"/>
          </w:tcPr>
          <w:p>
            <w:pPr>
              <w:jc w:val="right"/>
              <w:ind w:right="172"/>
              <w:spacing w:after="0"/>
              <w:rPr>
                <w:sz w:val="20"/>
                <w:szCs w:val="20"/>
                <w:color w:val="auto"/>
              </w:rPr>
            </w:pPr>
            <w:r>
              <w:rPr>
                <w:rFonts w:ascii="Arial" w:cs="Arial" w:eastAsia="Arial" w:hAnsi="Arial"/>
                <w:sz w:val="14"/>
                <w:szCs w:val="14"/>
                <w:color w:val="auto"/>
              </w:rPr>
              <w:t>19,418</w:t>
            </w:r>
          </w:p>
        </w:tc>
        <w:tc>
          <w:tcPr>
            <w:tcW w:w="1420" w:type="dxa"/>
            <w:vAlign w:val="bottom"/>
          </w:tcPr>
          <w:p>
            <w:pPr>
              <w:jc w:val="right"/>
              <w:ind w:right="212"/>
              <w:spacing w:after="0"/>
              <w:rPr>
                <w:sz w:val="20"/>
                <w:szCs w:val="20"/>
                <w:color w:val="auto"/>
              </w:rPr>
            </w:pPr>
            <w:r>
              <w:rPr>
                <w:rFonts w:ascii="Arial" w:cs="Arial" w:eastAsia="Arial" w:hAnsi="Arial"/>
                <w:sz w:val="14"/>
                <w:szCs w:val="14"/>
                <w:color w:val="auto"/>
              </w:rPr>
              <w:t>8.2%</w:t>
            </w:r>
          </w:p>
        </w:tc>
        <w:tc>
          <w:tcPr>
            <w:tcW w:w="1020" w:type="dxa"/>
            <w:vAlign w:val="bottom"/>
          </w:tcPr>
          <w:p>
            <w:pPr>
              <w:jc w:val="right"/>
              <w:spacing w:after="0"/>
              <w:rPr>
                <w:sz w:val="20"/>
                <w:szCs w:val="20"/>
                <w:color w:val="auto"/>
              </w:rPr>
            </w:pPr>
            <w:r>
              <w:rPr>
                <w:rFonts w:ascii="Arial" w:cs="Arial" w:eastAsia="Arial" w:hAnsi="Arial"/>
                <w:sz w:val="14"/>
                <w:szCs w:val="14"/>
                <w:color w:val="auto"/>
              </w:rPr>
              <w:t>75.9%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26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112,666</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99,678</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99,175</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13.6%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Efficiency Ratio</w:t>
            </w:r>
          </w:p>
        </w:tc>
        <w:tc>
          <w:tcPr>
            <w:tcW w:w="26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52.03%</w:t>
            </w:r>
          </w:p>
        </w:tc>
        <w:tc>
          <w:tcPr>
            <w:tcW w:w="13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48.59%</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49.47%</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3" w:name="page14"/>
    <w:bookmarkEnd w:id="13"/>
    <w:p>
      <w:pPr>
        <w:ind w:right="2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 xml:space="preserve">Though cost controls have been very effective in the previous periods, the excellent performance of Credicorp’s stock and its very strong appreciation led to a significant increase of provisions required by the Stock Appreciation Rights Program which is part of senior management’s compensation plan. Thus,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Expenses </w:t>
      </w:r>
      <w:r>
        <w:rPr>
          <w:rFonts w:ascii="Arial" w:cs="Arial" w:eastAsia="Arial" w:hAnsi="Arial"/>
          <w:sz w:val="16"/>
          <w:szCs w:val="16"/>
          <w:color w:val="auto"/>
        </w:rPr>
        <w:t>grew 75.9% QoQ and 8.2% YoY, this being the main reason behind the 13.0% increase of total operating expenses. The increase in salaries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employees benefits responds to some real increase, fueled by the expansion in the retail business. Besides the real increases, there is also a currency translation effect, since most operating costs are fixed in </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and given its appreciation, resulted in a higher U.S. Dollar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2317115</wp:posOffset>
            </wp:positionV>
            <wp:extent cx="58146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113030</wp:posOffset>
            </wp:positionV>
            <wp:extent cx="4939665" cy="19983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966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900" w:type="dxa"/>
            <w:vAlign w:val="bottom"/>
          </w:tcPr>
          <w:p>
            <w:pPr>
              <w:jc w:val="right"/>
              <w:ind w:right="372"/>
              <w:spacing w:after="0"/>
              <w:rPr>
                <w:sz w:val="20"/>
                <w:szCs w:val="20"/>
                <w:color w:val="auto"/>
              </w:rPr>
            </w:pPr>
            <w:r>
              <w:rPr>
                <w:rFonts w:ascii="Arial" w:cs="Arial" w:eastAsia="Arial" w:hAnsi="Arial"/>
                <w:sz w:val="14"/>
                <w:szCs w:val="14"/>
                <w:b w:val="1"/>
                <w:bCs w:val="1"/>
                <w:color w:val="auto"/>
              </w:rPr>
              <w:t>3Q06</w:t>
            </w: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2Q06</w:t>
            </w: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Provisions *</w:t>
            </w:r>
          </w:p>
        </w:tc>
        <w:tc>
          <w:tcPr>
            <w:tcW w:w="2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-2,117</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-1,871</w:t>
            </w:r>
          </w:p>
        </w:tc>
        <w:tc>
          <w:tcPr>
            <w:tcW w:w="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0"/>
              </w:rPr>
              <w:t>13.1%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Provision for Stock Appreciation Rights</w:t>
            </w:r>
          </w:p>
        </w:tc>
        <w:tc>
          <w:tcPr>
            <w:tcW w:w="29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-16,392</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-8,807</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auto"/>
                <w:w w:val="90"/>
              </w:rPr>
              <w:t>86.1%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-2,498</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-1,263</w:t>
            </w:r>
          </w:p>
        </w:tc>
        <w:tc>
          <w:tcPr>
            <w:tcW w:w="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0"/>
              </w:rPr>
              <w:t>97.7%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29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-21,007</w:t>
            </w:r>
          </w:p>
        </w:tc>
        <w:tc>
          <w:tcPr>
            <w:tcW w:w="9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-11,942</w:t>
            </w:r>
          </w:p>
        </w:tc>
        <w:tc>
          <w:tcPr>
            <w:tcW w:w="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w w:val="90"/>
              </w:rPr>
              <w:t>75.9%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291465</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600" w:hanging="451"/>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provisions for account receivables, realized assets, assets seized, contingencies and country risk.</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It should be mentioned however, that we have entered a hedging program to avoid future income volatility generated by these provisions. However, the strong appreciation of Credicorp’s stock occurred during a short time span, when the hedge was being implemented and thus we were only able to partially benefit from it. It is therefore noteworthy, that the hedge has avoided an additional US$ 5.1 million in provisions that would have been otherwise necessary. The full hedge should be in place by the end of the year.</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While operating income dropped 2.4% QoQ, operating costs grew 13% QoQ. This led to a deterioration of the efficiency ratio to 52% for 3Q06, compared to 48.6% in 2Q06 and 49.5% in 3Q05.</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II.7 Shareholders’ Equity and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Shareholders’ equity</w:t>
            </w:r>
          </w:p>
        </w:tc>
        <w:tc>
          <w:tcPr>
            <w:tcW w:w="2740" w:type="dxa"/>
            <w:vAlign w:val="bottom"/>
          </w:tcPr>
          <w:p>
            <w:pPr>
              <w:spacing w:after="0"/>
              <w:rPr>
                <w:sz w:val="15"/>
                <w:szCs w:val="15"/>
                <w:color w:val="auto"/>
              </w:rPr>
            </w:pPr>
          </w:p>
        </w:tc>
        <w:tc>
          <w:tcPr>
            <w:tcW w:w="1320" w:type="dxa"/>
            <w:vAlign w:val="bottom"/>
          </w:tcPr>
          <w:p>
            <w:pPr>
              <w:jc w:val="right"/>
              <w:ind w:right="592"/>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20" w:type="dxa"/>
            <w:vAlign w:val="bottom"/>
            <w:tcBorders>
              <w:bottom w:val="single" w:sz="8" w:color="auto"/>
            </w:tcBorders>
            <w:gridSpan w:val="2"/>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740" w:type="dxa"/>
            <w:vAlign w:val="bottom"/>
          </w:tcPr>
          <w:p>
            <w:pPr>
              <w:jc w:val="right"/>
              <w:ind w:right="552"/>
              <w:spacing w:after="0"/>
              <w:rPr>
                <w:sz w:val="20"/>
                <w:szCs w:val="20"/>
                <w:color w:val="auto"/>
              </w:rPr>
            </w:pPr>
            <w:r>
              <w:rPr>
                <w:rFonts w:ascii="Arial" w:cs="Arial" w:eastAsia="Arial" w:hAnsi="Arial"/>
                <w:sz w:val="14"/>
                <w:szCs w:val="14"/>
                <w:b w:val="1"/>
                <w:bCs w:val="1"/>
                <w:color w:val="auto"/>
              </w:rPr>
              <w:t>3Q06</w:t>
            </w: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3Q06/3Q05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stock</w:t>
            </w:r>
          </w:p>
        </w:tc>
        <w:tc>
          <w:tcPr>
            <w:tcW w:w="27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364,706</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364,706</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364,706</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Reserves</w:t>
            </w:r>
          </w:p>
        </w:tc>
        <w:tc>
          <w:tcPr>
            <w:tcW w:w="27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242,889</w:t>
            </w:r>
          </w:p>
        </w:tc>
        <w:tc>
          <w:tcPr>
            <w:tcW w:w="13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242,889</w:t>
            </w: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210,928</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Gains and Losses</w:t>
            </w:r>
          </w:p>
        </w:tc>
        <w:tc>
          <w:tcPr>
            <w:tcW w:w="27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46,428</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39,102</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47,149</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27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56,337</w:t>
            </w:r>
          </w:p>
        </w:tc>
        <w:tc>
          <w:tcPr>
            <w:tcW w:w="13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56,337</w:t>
            </w:r>
          </w:p>
        </w:tc>
        <w:tc>
          <w:tcPr>
            <w:tcW w:w="11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80,427</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-30.0%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for the year</w:t>
            </w:r>
          </w:p>
        </w:tc>
        <w:tc>
          <w:tcPr>
            <w:tcW w:w="27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180,062</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127,225</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136,363</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shareholders’ equity</w:t>
            </w:r>
          </w:p>
        </w:tc>
        <w:tc>
          <w:tcPr>
            <w:tcW w:w="27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890,422</w:t>
            </w:r>
          </w:p>
        </w:tc>
        <w:tc>
          <w:tcPr>
            <w:tcW w:w="13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b w:val="1"/>
                <w:bCs w:val="1"/>
                <w:color w:val="auto"/>
              </w:rPr>
              <w:t>830,259</w:t>
            </w:r>
          </w:p>
        </w:tc>
        <w:tc>
          <w:tcPr>
            <w:tcW w:w="11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839,573</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Return on average equity (ROAE)</w:t>
            </w:r>
          </w:p>
        </w:tc>
        <w:tc>
          <w:tcPr>
            <w:tcW w:w="2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24.57%</w:t>
            </w:r>
          </w:p>
        </w:tc>
        <w:tc>
          <w:tcPr>
            <w:tcW w:w="13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33.77%</w:t>
            </w:r>
          </w:p>
        </w:tc>
        <w:tc>
          <w:tcPr>
            <w:tcW w:w="11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23.08</w:t>
            </w:r>
            <w:r>
              <w:rPr>
                <w:rFonts w:ascii="Arial" w:cs="Arial" w:eastAsia="Arial" w:hAnsi="Arial"/>
                <w:sz w:val="14"/>
                <w:szCs w:val="14"/>
                <w:color w:val="auto"/>
              </w:rPr>
              <w:t>%</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BCP’s shareholders’ equity reached US$890 million as of September 2006. Due to this increase in shareholders’ equity and the decrease in this quarter’s net income, ROAE was 24.57%, compared to 33.77% in 2Q06 and 23.08% in 3Q05. Despite that, ROAE for the first nine months of 2006 was 28.56% higher than the 23.75% for the same period of 2005.</w:t>
      </w:r>
    </w:p>
    <w:p>
      <w:pPr>
        <w:spacing w:after="0" w:line="1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ratio of regulatory capital to risk weighted assets for BCP unconsolidated as of September 30, 2006 reached 10.44% with a Tier I ratio of 12.5%. Risk weighted assets include US$ 326 million of market risk, which require US$29.6 million of regulatory capital. Regulatory capital includes a reduced US$ 23.4 million subordinated debt. During the last months of the year, the capital adequacy ratio of BCP has grown due to higher growth of direct and contingent loans, exceeding the internal limit of 10.5%. For this reason, BCP decided to issue in October 2006, subordinated bonds of about US$ 120 million in the international capital markets.</w:t>
      </w:r>
    </w:p>
    <w:p>
      <w:pPr>
        <w:spacing w:after="0" w:line="1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15" w:name="page16"/>
    <w:bookmarkEnd w:id="15"/>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Nevertheless, the BIS ratio at BCP is still above the minimum requirements by Basel I and Peruvian authority regulations (10.4%). Local regulations establish a minimum of 9.1% capital, while Basel I suggests a minimum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2180" w:type="dxa"/>
            <w:vAlign w:val="bottom"/>
          </w:tcPr>
          <w:p>
            <w:pPr>
              <w:spacing w:after="0"/>
              <w:rPr>
                <w:sz w:val="15"/>
                <w:szCs w:val="15"/>
                <w:color w:val="auto"/>
              </w:rPr>
            </w:pPr>
          </w:p>
        </w:tc>
        <w:tc>
          <w:tcPr>
            <w:tcW w:w="1300" w:type="dxa"/>
            <w:vAlign w:val="bottom"/>
          </w:tcPr>
          <w:p>
            <w:pPr>
              <w:jc w:val="right"/>
              <w:ind w:right="572"/>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Borders>
              <w:bottom w:val="single" w:sz="8" w:color="auto"/>
            </w:tcBorders>
            <w:gridSpan w:val="2"/>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2180" w:type="dxa"/>
            <w:vAlign w:val="bottom"/>
          </w:tcPr>
          <w:p>
            <w:pPr>
              <w:jc w:val="right"/>
              <w:ind w:right="552"/>
              <w:spacing w:after="0"/>
              <w:rPr>
                <w:sz w:val="20"/>
                <w:szCs w:val="20"/>
                <w:color w:val="auto"/>
              </w:rPr>
            </w:pPr>
            <w:r>
              <w:rPr>
                <w:rFonts w:ascii="Arial" w:cs="Arial" w:eastAsia="Arial" w:hAnsi="Arial"/>
                <w:sz w:val="14"/>
                <w:szCs w:val="14"/>
                <w:b w:val="1"/>
                <w:bCs w:val="1"/>
                <w:color w:val="auto"/>
              </w:rPr>
              <w:t>3Q06</w:t>
            </w: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2Q06</w:t>
            </w: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3Q06/3Q05</w:t>
            </w: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Stock, net</w:t>
            </w:r>
          </w:p>
        </w:tc>
        <w:tc>
          <w:tcPr>
            <w:tcW w:w="21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395,977</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394,762</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384,727</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2.9%</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21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280,941</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280,079</w:t>
            </w:r>
          </w:p>
        </w:tc>
        <w:tc>
          <w:tcPr>
            <w:tcW w:w="11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240,874</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16.6%</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Generic Contingency loss reserves</w:t>
            </w:r>
          </w:p>
        </w:tc>
        <w:tc>
          <w:tcPr>
            <w:tcW w:w="21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52,786</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39,073</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41,398</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gridSpan w:val="2"/>
          </w:tcPr>
          <w:p>
            <w:pPr>
              <w:spacing w:after="0"/>
              <w:rPr>
                <w:sz w:val="20"/>
                <w:szCs w:val="20"/>
                <w:color w:val="auto"/>
              </w:rPr>
            </w:pPr>
            <w:r>
              <w:rPr>
                <w:rFonts w:ascii="Arial" w:cs="Arial" w:eastAsia="Arial" w:hAnsi="Arial"/>
                <w:sz w:val="14"/>
                <w:szCs w:val="14"/>
                <w:color w:val="auto"/>
              </w:rPr>
              <w:t>Subordinated Debt</w:t>
            </w:r>
          </w:p>
        </w:tc>
        <w:tc>
          <w:tcPr>
            <w:tcW w:w="2180" w:type="dxa"/>
            <w:vAlign w:val="bottom"/>
          </w:tcPr>
          <w:p>
            <w:pPr>
              <w:jc w:val="right"/>
              <w:ind w:right="252"/>
              <w:spacing w:after="0"/>
              <w:rPr>
                <w:sz w:val="20"/>
                <w:szCs w:val="20"/>
                <w:color w:val="auto"/>
              </w:rPr>
            </w:pPr>
            <w:r>
              <w:rPr>
                <w:rFonts w:ascii="Arial" w:cs="Arial" w:eastAsia="Arial" w:hAnsi="Arial"/>
                <w:sz w:val="14"/>
                <w:szCs w:val="14"/>
                <w:color w:val="auto"/>
              </w:rPr>
              <w:t>23,389</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25,882</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41,073</w:t>
            </w:r>
          </w:p>
        </w:tc>
        <w:tc>
          <w:tcPr>
            <w:tcW w:w="1420" w:type="dxa"/>
            <w:vAlign w:val="bottom"/>
          </w:tcPr>
          <w:p>
            <w:pPr>
              <w:jc w:val="right"/>
              <w:ind w:right="212"/>
              <w:spacing w:after="0"/>
              <w:rPr>
                <w:sz w:val="20"/>
                <w:szCs w:val="20"/>
                <w:color w:val="auto"/>
              </w:rPr>
            </w:pPr>
            <w:r>
              <w:rPr>
                <w:rFonts w:ascii="Arial" w:cs="Arial" w:eastAsia="Arial" w:hAnsi="Arial"/>
                <w:sz w:val="14"/>
                <w:szCs w:val="14"/>
                <w:color w:val="auto"/>
              </w:rPr>
              <w:t>-43.1%</w:t>
            </w:r>
          </w:p>
        </w:tc>
        <w:tc>
          <w:tcPr>
            <w:tcW w:w="1020" w:type="dxa"/>
            <w:vAlign w:val="bottom"/>
          </w:tcPr>
          <w:p>
            <w:pPr>
              <w:jc w:val="right"/>
              <w:spacing w:after="0"/>
              <w:rPr>
                <w:sz w:val="20"/>
                <w:szCs w:val="20"/>
                <w:color w:val="auto"/>
              </w:rPr>
            </w:pPr>
            <w:r>
              <w:rPr>
                <w:rFonts w:ascii="Arial" w:cs="Arial" w:eastAsia="Arial" w:hAnsi="Arial"/>
                <w:sz w:val="14"/>
                <w:szCs w:val="14"/>
                <w:color w:val="auto"/>
              </w:rPr>
              <w:t>-9.6%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21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753,093</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739,795</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708,072</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Less: Investment in multilateral organization and banks</w:t>
            </w:r>
          </w:p>
        </w:tc>
        <w:tc>
          <w:tcPr>
            <w:tcW w:w="21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(144,816)</w:t>
            </w:r>
          </w:p>
        </w:tc>
        <w:tc>
          <w:tcPr>
            <w:tcW w:w="13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(139,069)</w:t>
            </w:r>
          </w:p>
        </w:tc>
        <w:tc>
          <w:tcPr>
            <w:tcW w:w="11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(150,652)</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21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608,277</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600,726</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557,420</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9.1%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Risk-weighted assets</w:t>
            </w:r>
          </w:p>
        </w:tc>
        <w:tc>
          <w:tcPr>
            <w:tcW w:w="21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5,501,521</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5,263,409</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4,290,591</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28.2%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 Risk</w:t>
            </w:r>
          </w:p>
        </w:tc>
        <w:tc>
          <w:tcPr>
            <w:tcW w:w="21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29,643</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33,002</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17,617</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68.3%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Capital Ratios:</w:t>
            </w:r>
          </w:p>
        </w:tc>
        <w:tc>
          <w:tcPr>
            <w:tcW w:w="2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top w:val="single" w:sz="8" w:color="auto"/>
              <w:bottom w:val="single" w:sz="8" w:color="auto"/>
            </w:tcBorders>
          </w:tcPr>
          <w:p>
            <w:pPr>
              <w:spacing w:after="0"/>
              <w:rPr>
                <w:sz w:val="8"/>
                <w:szCs w:val="8"/>
                <w:color w:val="auto"/>
              </w:rPr>
            </w:pPr>
          </w:p>
        </w:tc>
        <w:tc>
          <w:tcPr>
            <w:tcW w:w="3500" w:type="dxa"/>
            <w:vAlign w:val="bottom"/>
            <w:tcBorders>
              <w:top w:val="single" w:sz="8" w:color="CCEEFF"/>
              <w:bottom w:val="single" w:sz="8" w:color="auto"/>
            </w:tcBorders>
          </w:tcPr>
          <w:p>
            <w:pPr>
              <w:spacing w:after="0"/>
              <w:rPr>
                <w:sz w:val="8"/>
                <w:szCs w:val="8"/>
                <w:color w:val="auto"/>
              </w:rPr>
            </w:pPr>
          </w:p>
        </w:tc>
        <w:tc>
          <w:tcPr>
            <w:tcW w:w="2180" w:type="dxa"/>
            <w:vAlign w:val="bottom"/>
            <w:tcBorders>
              <w:top w:val="single" w:sz="8" w:color="CCEEFF"/>
              <w:bottom w:val="single" w:sz="8" w:color="auto"/>
            </w:tcBorders>
          </w:tcPr>
          <w:p>
            <w:pPr>
              <w:spacing w:after="0"/>
              <w:rPr>
                <w:sz w:val="8"/>
                <w:szCs w:val="8"/>
                <w:color w:val="auto"/>
              </w:rPr>
            </w:pPr>
          </w:p>
        </w:tc>
        <w:tc>
          <w:tcPr>
            <w:tcW w:w="1300" w:type="dxa"/>
            <w:vAlign w:val="bottom"/>
            <w:tcBorders>
              <w:top w:val="single" w:sz="8" w:color="CCEEFF"/>
              <w:bottom w:val="single" w:sz="8" w:color="auto"/>
            </w:tcBorders>
          </w:tcPr>
          <w:p>
            <w:pPr>
              <w:spacing w:after="0"/>
              <w:rPr>
                <w:sz w:val="8"/>
                <w:szCs w:val="8"/>
                <w:color w:val="auto"/>
              </w:rPr>
            </w:pPr>
          </w:p>
        </w:tc>
        <w:tc>
          <w:tcPr>
            <w:tcW w:w="1120" w:type="dxa"/>
            <w:vAlign w:val="bottom"/>
            <w:tcBorders>
              <w:top w:val="single" w:sz="8" w:color="CCEEFF"/>
              <w:bottom w:val="single" w:sz="8" w:color="auto"/>
            </w:tcBorders>
          </w:tcPr>
          <w:p>
            <w:pPr>
              <w:spacing w:after="0"/>
              <w:rPr>
                <w:sz w:val="8"/>
                <w:szCs w:val="8"/>
                <w:color w:val="auto"/>
              </w:rPr>
            </w:pPr>
          </w:p>
        </w:tc>
        <w:tc>
          <w:tcPr>
            <w:tcW w:w="1420" w:type="dxa"/>
            <w:vAlign w:val="bottom"/>
            <w:tcBorders>
              <w:top w:val="single" w:sz="8" w:color="CCEEFF"/>
            </w:tcBorders>
          </w:tcPr>
          <w:p>
            <w:pPr>
              <w:spacing w:after="0"/>
              <w:rPr>
                <w:sz w:val="8"/>
                <w:szCs w:val="8"/>
                <w:color w:val="auto"/>
              </w:rPr>
            </w:pPr>
          </w:p>
        </w:tc>
        <w:tc>
          <w:tcPr>
            <w:tcW w:w="1020" w:type="dxa"/>
            <w:vAlign w:val="bottom"/>
            <w:tcBorders>
              <w:top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Regulatory capital as a percentage of risk-weighted assets</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10.44%</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10.68%</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12.43%</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Ratio of risk-weighted assets to regularoy capital</w:t>
            </w:r>
          </w:p>
        </w:tc>
        <w:tc>
          <w:tcPr>
            <w:tcW w:w="21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9.58</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9.37</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8.04</w:t>
            </w: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Awards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Banco de Crédito del Perú</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the annual Banks of the Year awards organized by Latin Finance Magazine, BCP was named Best Bank in Peru - Banco del Año - Perú 2006, recognizing the bank’s excellence and leadership among the highest ranking financial institutions of the region.</w:t>
      </w:r>
    </w:p>
    <w:p>
      <w:pPr>
        <w:spacing w:after="0" w:line="18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In addition, on October 13, 2006, the rating agency FITCH Ratings assigned an </w:t>
      </w:r>
      <w:r>
        <w:rPr>
          <w:rFonts w:ascii="Arial" w:cs="Arial" w:eastAsia="Arial" w:hAnsi="Arial"/>
          <w:sz w:val="16"/>
          <w:szCs w:val="16"/>
          <w:b w:val="1"/>
          <w:bCs w:val="1"/>
          <w:color w:val="auto"/>
        </w:rPr>
        <w:t>Investment Grade - BBB- rating</w:t>
      </w:r>
      <w:r>
        <w:rPr>
          <w:rFonts w:ascii="Arial" w:cs="Arial" w:eastAsia="Arial" w:hAnsi="Arial"/>
          <w:sz w:val="16"/>
          <w:szCs w:val="16"/>
          <w:color w:val="auto"/>
        </w:rPr>
        <w:t xml:space="preserve"> to Banco de Crédito del Perú (“BCP”) as long-term issuer of debt in U.S. dollars and </w:t>
      </w:r>
      <w:r>
        <w:rPr>
          <w:rFonts w:ascii="Arial" w:cs="Arial" w:eastAsia="Arial" w:hAnsi="Arial"/>
          <w:sz w:val="16"/>
          <w:szCs w:val="16"/>
          <w:i w:val="1"/>
          <w:iCs w:val="1"/>
          <w:color w:val="auto"/>
        </w:rPr>
        <w:t>Soles</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foreign and local currency Issuer Default Ratings – IDRs</w:t>
      </w:r>
      <w:r>
        <w:rPr>
          <w:rFonts w:ascii="Arial" w:cs="Arial" w:eastAsia="Arial" w:hAnsi="Arial"/>
          <w:sz w:val="16"/>
          <w:szCs w:val="16"/>
          <w:color w:val="auto"/>
        </w:rPr>
        <w:t>). This rating placed BCP’s foreign currency issues one notch above the Peruvian government’s Global Bond rating of BB+ assigned by FITCH Ratings. Under the methodology used by FITCH Ratings, the highest possible rating that can be obtained by a local private corporation in Peru is BBB-; being Banco de Crédito del Perú the first Peruvian company to obtain such rating, which is another step towards obtaining an Investment Grade Rating for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60755" cy="11061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075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III. Banco de Crédito de Bolivia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III.1 Bolivian Financial System</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Bank deposits slightly increased QoQ, reaching US$ 3,008 million as of September 2006, from US$ 2,840 million as of June 2006, an increase of 6.0% vis-á-vis the US$2,839 million as of September 2005. The system’s total loans reached US$ 2,728 million, 2.9% more than the US$ 2,650 million achieved in June 2006. It is also noteworthy that the quality of loan portfolio improved with past due loan ratios decreasing QoQ from10.5% to 10.1%. The coverage of past due loans with provisions was 83.8%, greater that the 83.0% level reached in the previous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III.2 Net Income</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Net income of BCB reached US$ 3.5 million, 6.1% higher than the net income of US$ 3.3 million registered in 2Q06, and similar to the US$ 3.5 million in 3Q05. This way, BCB continues with the upward trend experienced during the last year, showing an ROE as of September 2006 of 21.0%, significantly higher than the 10.9% ROE of the system, and with a past due loan ratio of 4.3%, a much better level than the 10.1% of the system. Altogether, BCB shows a consistent and solid recovery, with profitability and loan quality ratios superior to those of the Bolivian banking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III.3 Assets and Liabilities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Total loans as of June 2006 were US$ 379.8 million, reflecting a 5.4% QoQ growth. This is the result of a well diversified loan growth in the different business segments.</w:t>
      </w:r>
    </w:p>
    <w:p>
      <w:pPr>
        <w:spacing w:after="0" w:line="18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As mentioned above, BCB’s loan portfolio quality is superior to the system. Past due loans over total loans reached 4.3% as of September 2006. This represents a further improvement from 4.9% past due ratio for 2Q06, and an even more significant progress compared to the 10.1% of the system.</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the other hand, BCB’s total deposits also increased 9.0% QoQ and 21.2% YoY, mainly due to a new savings campaign, since June 2006, with a very appealing interest rate (4.8%), which led to a migration of clients from mutual funds (Credifondo) to BCB’s savings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figures and indicators of BCB: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2940" w:type="dxa"/>
            <w:vAlign w:val="bottom"/>
          </w:tcPr>
          <w:p>
            <w:pPr>
              <w:spacing w:after="0"/>
              <w:rPr>
                <w:sz w:val="15"/>
                <w:szCs w:val="15"/>
                <w:color w:val="auto"/>
              </w:rPr>
            </w:pPr>
          </w:p>
        </w:tc>
        <w:tc>
          <w:tcPr>
            <w:tcW w:w="1300" w:type="dxa"/>
            <w:vAlign w:val="bottom"/>
          </w:tcPr>
          <w:p>
            <w:pPr>
              <w:jc w:val="right"/>
              <w:ind w:right="572"/>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spacing w:after="0"/>
              <w:rPr>
                <w:sz w:val="15"/>
                <w:szCs w:val="15"/>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20" w:type="dxa"/>
            <w:vAlign w:val="bottom"/>
            <w:tcBorders>
              <w:bottom w:val="single" w:sz="8" w:color="auto"/>
            </w:tcBorders>
            <w:gridSpan w:val="2"/>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940" w:type="dxa"/>
            <w:vAlign w:val="bottom"/>
          </w:tcPr>
          <w:p>
            <w:pPr>
              <w:jc w:val="right"/>
              <w:ind w:right="552"/>
              <w:spacing w:after="0"/>
              <w:rPr>
                <w:sz w:val="20"/>
                <w:szCs w:val="20"/>
                <w:color w:val="auto"/>
              </w:rPr>
            </w:pPr>
            <w:r>
              <w:rPr>
                <w:rFonts w:ascii="Arial" w:cs="Arial" w:eastAsia="Arial" w:hAnsi="Arial"/>
                <w:sz w:val="14"/>
                <w:szCs w:val="14"/>
                <w:b w:val="1"/>
                <w:bCs w:val="1"/>
                <w:color w:val="auto"/>
              </w:rPr>
              <w:t>3Q06</w:t>
            </w: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2Q06</w:t>
            </w: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440" w:type="dxa"/>
            <w:vAlign w:val="bottom"/>
          </w:tcPr>
          <w:p>
            <w:pPr>
              <w:jc w:val="right"/>
              <w:ind w:right="492"/>
              <w:spacing w:after="0"/>
              <w:rPr>
                <w:sz w:val="20"/>
                <w:szCs w:val="20"/>
                <w:color w:val="auto"/>
              </w:rPr>
            </w:pPr>
            <w:r>
              <w:rPr>
                <w:rFonts w:ascii="Arial" w:cs="Arial" w:eastAsia="Arial" w:hAnsi="Arial"/>
                <w:sz w:val="14"/>
                <w:szCs w:val="14"/>
                <w:b w:val="1"/>
                <w:bCs w:val="1"/>
                <w:color w:val="auto"/>
              </w:rPr>
              <w:t>3Q06/3Q05</w:t>
            </w:r>
          </w:p>
        </w:tc>
        <w:tc>
          <w:tcPr>
            <w:tcW w:w="100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9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379.8</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360.3</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334.5</w:t>
            </w:r>
          </w:p>
        </w:tc>
        <w:tc>
          <w:tcPr>
            <w:tcW w:w="14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Past due loans</w:t>
            </w:r>
          </w:p>
        </w:tc>
        <w:tc>
          <w:tcPr>
            <w:tcW w:w="29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16.4</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17.7</w:t>
            </w:r>
          </w:p>
        </w:tc>
        <w:tc>
          <w:tcPr>
            <w:tcW w:w="11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23.1</w:t>
            </w:r>
          </w:p>
        </w:tc>
        <w:tc>
          <w:tcPr>
            <w:tcW w:w="14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-29.0%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loss reserves</w:t>
            </w:r>
          </w:p>
        </w:tc>
        <w:tc>
          <w:tcPr>
            <w:tcW w:w="29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-24.6</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-25</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-26.9</w:t>
            </w:r>
          </w:p>
        </w:tc>
        <w:tc>
          <w:tcPr>
            <w:tcW w:w="14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-8.6%</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9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576.8</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531.9</w:t>
            </w:r>
          </w:p>
        </w:tc>
        <w:tc>
          <w:tcPr>
            <w:tcW w:w="11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505.9</w:t>
            </w:r>
          </w:p>
        </w:tc>
        <w:tc>
          <w:tcPr>
            <w:tcW w:w="14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w:t>
            </w:r>
          </w:p>
        </w:tc>
        <w:tc>
          <w:tcPr>
            <w:tcW w:w="29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451.3</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414</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372.5</w:t>
            </w:r>
          </w:p>
        </w:tc>
        <w:tc>
          <w:tcPr>
            <w:tcW w:w="14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21.2%</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Shareholders net equity</w:t>
            </w:r>
          </w:p>
        </w:tc>
        <w:tc>
          <w:tcPr>
            <w:tcW w:w="2940" w:type="dxa"/>
            <w:vAlign w:val="bottom"/>
          </w:tcPr>
          <w:p>
            <w:pPr>
              <w:jc w:val="right"/>
              <w:ind w:right="252"/>
              <w:spacing w:after="0"/>
              <w:rPr>
                <w:sz w:val="20"/>
                <w:szCs w:val="20"/>
                <w:color w:val="auto"/>
              </w:rPr>
            </w:pPr>
            <w:r>
              <w:rPr>
                <w:rFonts w:ascii="Arial" w:cs="Arial" w:eastAsia="Arial" w:hAnsi="Arial"/>
                <w:sz w:val="14"/>
                <w:szCs w:val="14"/>
                <w:color w:val="auto"/>
              </w:rPr>
              <w:t>66.3</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62.8</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61.9</w:t>
            </w:r>
          </w:p>
        </w:tc>
        <w:tc>
          <w:tcPr>
            <w:tcW w:w="1440" w:type="dxa"/>
            <w:vAlign w:val="bottom"/>
          </w:tcPr>
          <w:p>
            <w:pPr>
              <w:jc w:val="right"/>
              <w:ind w:right="232"/>
              <w:spacing w:after="0"/>
              <w:rPr>
                <w:sz w:val="20"/>
                <w:szCs w:val="20"/>
                <w:color w:val="auto"/>
              </w:rPr>
            </w:pPr>
            <w:r>
              <w:rPr>
                <w:rFonts w:ascii="Arial" w:cs="Arial" w:eastAsia="Arial" w:hAnsi="Arial"/>
                <w:sz w:val="14"/>
                <w:szCs w:val="14"/>
                <w:color w:val="auto"/>
              </w:rPr>
              <w:t>7.1%</w:t>
            </w:r>
          </w:p>
        </w:tc>
        <w:tc>
          <w:tcPr>
            <w:tcW w:w="100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9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3.5</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3.3</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3.5</w:t>
            </w:r>
          </w:p>
        </w:tc>
        <w:tc>
          <w:tcPr>
            <w:tcW w:w="14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2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4.3%</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4.9%</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6.9%</w:t>
            </w:r>
          </w:p>
        </w:tc>
        <w:tc>
          <w:tcPr>
            <w:tcW w:w="1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29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149.9%</w:t>
            </w:r>
          </w:p>
        </w:tc>
        <w:tc>
          <w:tcPr>
            <w:tcW w:w="13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141.4%</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116.4%</w:t>
            </w: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29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21.0%</w:t>
            </w:r>
          </w:p>
        </w:tc>
        <w:tc>
          <w:tcPr>
            <w:tcW w:w="13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20.7%</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14.2%</w:t>
            </w:r>
          </w:p>
        </w:tc>
        <w:tc>
          <w:tcPr>
            <w:tcW w:w="1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29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54</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51</w:t>
            </w:r>
          </w:p>
        </w:tc>
        <w:tc>
          <w:tcPr>
            <w:tcW w:w="11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w:t>
            </w: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29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138</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134</w:t>
            </w:r>
          </w:p>
        </w:tc>
        <w:tc>
          <w:tcPr>
            <w:tcW w:w="11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121</w:t>
            </w:r>
          </w:p>
        </w:tc>
        <w:tc>
          <w:tcPr>
            <w:tcW w:w="1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Employees</w:t>
            </w:r>
          </w:p>
        </w:tc>
        <w:tc>
          <w:tcPr>
            <w:tcW w:w="2940" w:type="dxa"/>
            <w:vAlign w:val="bottom"/>
          </w:tcPr>
          <w:p>
            <w:pPr>
              <w:jc w:val="right"/>
              <w:ind w:right="252"/>
              <w:spacing w:after="0"/>
              <w:rPr>
                <w:sz w:val="20"/>
                <w:szCs w:val="20"/>
                <w:color w:val="auto"/>
              </w:rPr>
            </w:pPr>
            <w:r>
              <w:rPr>
                <w:rFonts w:ascii="Arial" w:cs="Arial" w:eastAsia="Arial" w:hAnsi="Arial"/>
                <w:sz w:val="14"/>
                <w:szCs w:val="14"/>
                <w:color w:val="auto"/>
              </w:rPr>
              <w:t>1084</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1062</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901</w:t>
            </w: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IV. Atlantic Security Holding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Atlantic Security Holding Corporation (ASHC) of US$ 3.8 million for 3Q06 reflected growth of 4.2% YoY and 25.4% QoQ.</w:t>
      </w:r>
    </w:p>
    <w:p>
      <w:pPr>
        <w:spacing w:after="0" w:line="225"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Core revenues however, fell 17.1% QoQ as a result of lower yields in asset composition, but remained still 1.3% higher YoY. Margins tightened and asset growth slowed with respect to the first half of 2006. Additionally, reduced fees and commissions’ income and negative net foreign exchange transactions placed a further drag on 3Q06 core revenues. Despite this drop in core revenues, stable operating expenses, provision reversals, net gains from sale of securities and other income contributed to reverse the effect and resulted in the reported increase in net income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ASHC</w:t>
            </w:r>
          </w:p>
        </w:tc>
        <w:tc>
          <w:tcPr>
            <w:tcW w:w="2600" w:type="dxa"/>
            <w:vAlign w:val="bottom"/>
          </w:tcPr>
          <w:p>
            <w:pPr>
              <w:spacing w:after="0"/>
              <w:rPr>
                <w:sz w:val="15"/>
                <w:szCs w:val="15"/>
                <w:color w:val="auto"/>
              </w:rPr>
            </w:pP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5"/>
                <w:szCs w:val="15"/>
                <w:color w:val="auto"/>
              </w:rPr>
            </w:pPr>
          </w:p>
        </w:tc>
        <w:tc>
          <w:tcPr>
            <w:tcW w:w="2420" w:type="dxa"/>
            <w:vAlign w:val="bottom"/>
            <w:gridSpan w:val="2"/>
          </w:tcPr>
          <w:p>
            <w:pPr>
              <w:jc w:val="right"/>
              <w:ind w:right="91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60" w:type="dxa"/>
            <w:vAlign w:val="bottom"/>
            <w:tcBorders>
              <w:bottom w:val="single" w:sz="8" w:color="auto"/>
            </w:tcBorders>
            <w:gridSpan w:val="2"/>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600" w:type="dxa"/>
            <w:vAlign w:val="bottom"/>
          </w:tcPr>
          <w:p>
            <w:pPr>
              <w:jc w:val="right"/>
              <w:ind w:right="592"/>
              <w:spacing w:after="0"/>
              <w:rPr>
                <w:sz w:val="20"/>
                <w:szCs w:val="20"/>
                <w:color w:val="auto"/>
              </w:rPr>
            </w:pPr>
            <w:r>
              <w:rPr>
                <w:rFonts w:ascii="Arial" w:cs="Arial" w:eastAsia="Arial" w:hAnsi="Arial"/>
                <w:sz w:val="14"/>
                <w:szCs w:val="14"/>
                <w:b w:val="1"/>
                <w:bCs w:val="1"/>
                <w:color w:val="auto"/>
              </w:rPr>
              <w:t>3Q06</w:t>
            </w:r>
          </w:p>
        </w:tc>
        <w:tc>
          <w:tcPr>
            <w:tcW w:w="1300" w:type="dxa"/>
            <w:vAlign w:val="bottom"/>
          </w:tcPr>
          <w:p>
            <w:pPr>
              <w:jc w:val="right"/>
              <w:ind w:right="652"/>
              <w:spacing w:after="0"/>
              <w:rPr>
                <w:sz w:val="20"/>
                <w:szCs w:val="20"/>
                <w:color w:val="auto"/>
              </w:rPr>
            </w:pPr>
            <w:r>
              <w:rPr>
                <w:rFonts w:ascii="Arial" w:cs="Arial" w:eastAsia="Arial" w:hAnsi="Arial"/>
                <w:sz w:val="14"/>
                <w:szCs w:val="14"/>
                <w:b w:val="1"/>
                <w:bCs w:val="1"/>
                <w:color w:val="auto"/>
              </w:rPr>
              <w:t>2Q06</w:t>
            </w: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3Q05</w:t>
            </w: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3Q06 / 3Q05</w:t>
            </w:r>
          </w:p>
        </w:tc>
        <w:tc>
          <w:tcPr>
            <w:tcW w:w="1200" w:type="dxa"/>
            <w:vAlign w:val="bottom"/>
          </w:tcPr>
          <w:p>
            <w:pPr>
              <w:jc w:val="right"/>
              <w:ind w:right="232"/>
              <w:spacing w:after="0"/>
              <w:rPr>
                <w:sz w:val="20"/>
                <w:szCs w:val="20"/>
                <w:color w:val="auto"/>
              </w:rPr>
            </w:pPr>
            <w:r>
              <w:rPr>
                <w:rFonts w:ascii="Arial" w:cs="Arial" w:eastAsia="Arial" w:hAnsi="Arial"/>
                <w:sz w:val="14"/>
                <w:szCs w:val="14"/>
                <w:b w:val="1"/>
                <w:bCs w:val="1"/>
                <w:color w:val="auto"/>
              </w:rPr>
              <w:t>3Q06 / 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3.3</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2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0.1</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0.2</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0.1</w:t>
            </w: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137.8</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1.7</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13.7</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2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-0.2</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0.0</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0.1</w:t>
            </w: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-429.9</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4.3</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5.2</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4.3</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1.3</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0.4</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-0.2</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-0.2</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300.0</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2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0.4</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-0.2</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w:t>
            </w: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-67.2</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0.6</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0.0</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0.2</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277.4</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25,282.8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Operating expenses</w:t>
            </w:r>
          </w:p>
        </w:tc>
        <w:tc>
          <w:tcPr>
            <w:tcW w:w="2600" w:type="dxa"/>
            <w:vAlign w:val="bottom"/>
          </w:tcPr>
          <w:p>
            <w:pPr>
              <w:jc w:val="right"/>
              <w:ind w:right="232"/>
              <w:spacing w:after="0"/>
              <w:rPr>
                <w:sz w:val="20"/>
                <w:szCs w:val="20"/>
                <w:color w:val="auto"/>
              </w:rPr>
            </w:pPr>
            <w:r>
              <w:rPr>
                <w:rFonts w:ascii="Arial" w:cs="Arial" w:eastAsia="Arial" w:hAnsi="Arial"/>
                <w:sz w:val="14"/>
                <w:szCs w:val="14"/>
                <w:color w:val="auto"/>
              </w:rPr>
              <w:t>-2.0</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-1.9</w:t>
            </w:r>
          </w:p>
        </w:tc>
        <w:tc>
          <w:tcPr>
            <w:tcW w:w="1140" w:type="dxa"/>
            <w:vAlign w:val="bottom"/>
          </w:tcPr>
          <w:p>
            <w:pPr>
              <w:jc w:val="right"/>
              <w:ind w:right="172"/>
              <w:spacing w:after="0"/>
              <w:rPr>
                <w:sz w:val="20"/>
                <w:szCs w:val="20"/>
                <w:color w:val="auto"/>
              </w:rPr>
            </w:pPr>
            <w:r>
              <w:rPr>
                <w:rFonts w:ascii="Arial" w:cs="Arial" w:eastAsia="Arial" w:hAnsi="Arial"/>
                <w:sz w:val="14"/>
                <w:szCs w:val="14"/>
                <w:color w:val="auto"/>
              </w:rPr>
              <w:t>-2.0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-2.5</w:t>
            </w: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3.8</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3.0</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3.6</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4.2</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0.1</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0.1</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0.1</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4.2</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132.7</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118.6</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130.6</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2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691.4</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634.4</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556.9</w:t>
            </w: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24.1</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1,367.8</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1,337.6</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1,003.4</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36.3</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2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1,164.1</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1,143.1</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821.3</w:t>
            </w: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41.7</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6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171.4</w:t>
            </w:r>
          </w:p>
        </w:tc>
        <w:tc>
          <w:tcPr>
            <w:tcW w:w="13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162.7</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161.8</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6.0</w:t>
            </w:r>
          </w:p>
        </w:tc>
        <w:tc>
          <w:tcPr>
            <w:tcW w:w="1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1.02%</w:t>
            </w:r>
          </w:p>
        </w:tc>
        <w:tc>
          <w:tcPr>
            <w:tcW w:w="13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1.15%</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1.53%</w:t>
            </w:r>
          </w:p>
        </w:tc>
        <w:tc>
          <w:tcPr>
            <w:tcW w:w="1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37.5%</w:t>
            </w:r>
          </w:p>
        </w:tc>
        <w:tc>
          <w:tcPr>
            <w:tcW w:w="13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37.7%</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34.1%</w:t>
            </w: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9.1%</w:t>
            </w:r>
          </w:p>
        </w:tc>
        <w:tc>
          <w:tcPr>
            <w:tcW w:w="13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7.4%</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9.1%</w:t>
            </w:r>
          </w:p>
        </w:tc>
        <w:tc>
          <w:tcPr>
            <w:tcW w:w="1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PDL / Total loans</w:t>
            </w:r>
          </w:p>
        </w:tc>
        <w:tc>
          <w:tcPr>
            <w:tcW w:w="2600" w:type="dxa"/>
            <w:vAlign w:val="bottom"/>
          </w:tcPr>
          <w:p>
            <w:pPr>
              <w:jc w:val="right"/>
              <w:ind w:right="232"/>
              <w:spacing w:after="0"/>
              <w:rPr>
                <w:sz w:val="20"/>
                <w:szCs w:val="20"/>
                <w:color w:val="auto"/>
              </w:rPr>
            </w:pPr>
            <w:r>
              <w:rPr>
                <w:rFonts w:ascii="Arial" w:cs="Arial" w:eastAsia="Arial" w:hAnsi="Arial"/>
                <w:sz w:val="14"/>
                <w:szCs w:val="14"/>
                <w:color w:val="auto"/>
              </w:rPr>
              <w:t>0.00</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0.00</w:t>
            </w:r>
          </w:p>
        </w:tc>
        <w:tc>
          <w:tcPr>
            <w:tcW w:w="1140" w:type="dxa"/>
            <w:vAlign w:val="bottom"/>
          </w:tcPr>
          <w:p>
            <w:pPr>
              <w:jc w:val="right"/>
              <w:ind w:right="172"/>
              <w:spacing w:after="0"/>
              <w:rPr>
                <w:sz w:val="20"/>
                <w:szCs w:val="20"/>
                <w:color w:val="auto"/>
              </w:rPr>
            </w:pPr>
            <w:r>
              <w:rPr>
                <w:rFonts w:ascii="Arial" w:cs="Arial" w:eastAsia="Arial" w:hAnsi="Arial"/>
                <w:sz w:val="14"/>
                <w:szCs w:val="14"/>
                <w:color w:val="auto"/>
              </w:rPr>
              <w:t>0.00</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 ratio</w:t>
            </w:r>
          </w:p>
        </w:tc>
        <w:tc>
          <w:tcPr>
            <w:tcW w:w="2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w:t>
            </w:r>
          </w:p>
        </w:tc>
        <w:tc>
          <w:tcPr>
            <w:tcW w:w="13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w:t>
            </w:r>
          </w:p>
        </w:tc>
        <w:tc>
          <w:tcPr>
            <w:tcW w:w="1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BIS ratio</w:t>
            </w:r>
          </w:p>
        </w:tc>
        <w:tc>
          <w:tcPr>
            <w:tcW w:w="2600" w:type="dxa"/>
            <w:vAlign w:val="bottom"/>
          </w:tcPr>
          <w:p>
            <w:pPr>
              <w:jc w:val="right"/>
              <w:ind w:right="112"/>
              <w:spacing w:after="0"/>
              <w:rPr>
                <w:sz w:val="20"/>
                <w:szCs w:val="20"/>
                <w:color w:val="auto"/>
              </w:rPr>
            </w:pPr>
            <w:r>
              <w:rPr>
                <w:rFonts w:ascii="Arial" w:cs="Arial" w:eastAsia="Arial" w:hAnsi="Arial"/>
                <w:sz w:val="14"/>
                <w:szCs w:val="14"/>
                <w:color w:val="auto"/>
              </w:rPr>
              <w:t>16.94%</w:t>
            </w:r>
          </w:p>
        </w:tc>
        <w:tc>
          <w:tcPr>
            <w:tcW w:w="1300" w:type="dxa"/>
            <w:vAlign w:val="bottom"/>
          </w:tcPr>
          <w:p>
            <w:pPr>
              <w:jc w:val="right"/>
              <w:ind w:right="292"/>
              <w:spacing w:after="0"/>
              <w:rPr>
                <w:sz w:val="20"/>
                <w:szCs w:val="20"/>
                <w:color w:val="auto"/>
              </w:rPr>
            </w:pPr>
            <w:r>
              <w:rPr>
                <w:rFonts w:ascii="Arial" w:cs="Arial" w:eastAsia="Arial" w:hAnsi="Arial"/>
                <w:sz w:val="14"/>
                <w:szCs w:val="14"/>
                <w:color w:val="auto"/>
              </w:rPr>
              <w:t>17.05</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16.88%</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Although net interest income rose 2.1% YoY, on a QoQ comparison net interest income fell by 6.8%. As previously mentioned, asset growth has slowed, posting 2.3% QoQ and 36.3% YoY. This reduced growth is best explained by the political uncertainty related to the Peruvian electoral process during the first semester of 2006, which largely dissipated during this quarter.</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far as asset composition is concerned, the trend toward lower yielding – less risky assets has continued through 3Q06. The yield curve, on the other hand, has remained steady for the most part of the quarter, although it has shifted from flat to slightly negative, further tightening margins. This was evidenced by the drop in net interest margin from 1.15% in 2Q06 to 1.02% in 3Q06. Once rates begin to ease and the yield curve once again turns positive, ASHC should generate higher margins.</w:t>
      </w:r>
    </w:p>
    <w:p>
      <w:pPr>
        <w:spacing w:after="0" w:line="19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Fees and commissions grew 13.7% YoY, but fell 22.9% QoQ. The reduction is best explained mostly by lower commission fees vis-a-vis the 2Q06 during which extraordinary growth in the asset management business leading to higher fee income for that quarter. Therefore, the fees and commission income posted for 3Q06 is in-line with expected values.</w:t>
      </w:r>
    </w:p>
    <w:p>
      <w:pPr>
        <w:spacing w:after="0" w:line="194"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Net income received increased US$ 400,000 due to net gains from the sale of securities. Provision reversals, reflecting improvements in the quality of investments, contributed an additional US$ 400,000. Other income of US$ 600,000 refers to the reversal of provisions from previous accounting periods. Finally, operating expenses remained stable, reflected by an unchanged efficiency rating.</w:t>
      </w:r>
    </w:p>
    <w:p>
      <w:pPr>
        <w:spacing w:after="0" w:line="19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Interest Earning Assets</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Interest earning assets reached US$ 1.2 million, as shown in the table below. Although growth is evident, the variation of 41.3% YoY vs. 2.3% QoQ illustrates that the rate of growth is now lower than that recorded during the first half of 2006. The rebalancing of the investment portfolio towards less risky and more liquid securities is clearly demonstrated by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2720" w:type="dxa"/>
            <w:vAlign w:val="bottom"/>
          </w:tcPr>
          <w:p>
            <w:pPr>
              <w:spacing w:after="0"/>
              <w:rPr>
                <w:sz w:val="15"/>
                <w:szCs w:val="15"/>
                <w:color w:val="auto"/>
              </w:rPr>
            </w:pPr>
          </w:p>
        </w:tc>
        <w:tc>
          <w:tcPr>
            <w:tcW w:w="1280" w:type="dxa"/>
            <w:vAlign w:val="bottom"/>
          </w:tcPr>
          <w:p>
            <w:pPr>
              <w:jc w:val="right"/>
              <w:ind w:right="492"/>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80" w:type="dxa"/>
            <w:vAlign w:val="bottom"/>
            <w:tcBorders>
              <w:bottom w:val="single" w:sz="8" w:color="auto"/>
            </w:tcBorders>
            <w:gridSpan w:val="2"/>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720" w:type="dxa"/>
            <w:vAlign w:val="bottom"/>
          </w:tcPr>
          <w:p>
            <w:pPr>
              <w:jc w:val="right"/>
              <w:ind w:right="552"/>
              <w:spacing w:after="0"/>
              <w:rPr>
                <w:sz w:val="20"/>
                <w:szCs w:val="20"/>
                <w:color w:val="auto"/>
              </w:rPr>
            </w:pPr>
            <w:r>
              <w:rPr>
                <w:rFonts w:ascii="Arial" w:cs="Arial" w:eastAsia="Arial" w:hAnsi="Arial"/>
                <w:sz w:val="14"/>
                <w:szCs w:val="14"/>
                <w:b w:val="1"/>
                <w:bCs w:val="1"/>
                <w:color w:val="auto"/>
              </w:rPr>
              <w:t>3Q06</w:t>
            </w: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2Q06</w:t>
            </w:r>
          </w:p>
        </w:tc>
        <w:tc>
          <w:tcPr>
            <w:tcW w:w="1180" w:type="dxa"/>
            <w:vAlign w:val="bottom"/>
          </w:tcPr>
          <w:p>
            <w:pPr>
              <w:jc w:val="right"/>
              <w:ind w:right="512"/>
              <w:spacing w:after="0"/>
              <w:rPr>
                <w:sz w:val="20"/>
                <w:szCs w:val="20"/>
                <w:color w:val="auto"/>
              </w:rPr>
            </w:pPr>
            <w:r>
              <w:rPr>
                <w:rFonts w:ascii="Arial" w:cs="Arial" w:eastAsia="Arial" w:hAnsi="Arial"/>
                <w:sz w:val="14"/>
                <w:szCs w:val="14"/>
                <w:b w:val="1"/>
                <w:bCs w:val="1"/>
                <w:color w:val="auto"/>
              </w:rPr>
              <w:t>3Q05</w:t>
            </w:r>
          </w:p>
        </w:tc>
        <w:tc>
          <w:tcPr>
            <w:tcW w:w="1420" w:type="dxa"/>
            <w:vAlign w:val="bottom"/>
          </w:tcPr>
          <w:p>
            <w:pPr>
              <w:jc w:val="right"/>
              <w:ind w:right="512"/>
              <w:spacing w:after="0"/>
              <w:rPr>
                <w:sz w:val="20"/>
                <w:szCs w:val="20"/>
                <w:color w:val="auto"/>
              </w:rPr>
            </w:pPr>
            <w:r>
              <w:rPr>
                <w:rFonts w:ascii="Arial" w:cs="Arial" w:eastAsia="Arial" w:hAnsi="Arial"/>
                <w:sz w:val="14"/>
                <w:szCs w:val="14"/>
                <w:b w:val="1"/>
                <w:bCs w:val="1"/>
                <w:color w:val="auto"/>
              </w:rPr>
              <w:t>3Q06/3Q05</w:t>
            </w: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w w:val="93"/>
              </w:rPr>
              <w:t>3Q06/2Q06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banks</w:t>
            </w:r>
          </w:p>
        </w:tc>
        <w:tc>
          <w:tcPr>
            <w:tcW w:w="2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463</w:t>
            </w:r>
          </w:p>
        </w:tc>
        <w:tc>
          <w:tcPr>
            <w:tcW w:w="12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506</w:t>
            </w:r>
          </w:p>
        </w:tc>
        <w:tc>
          <w:tcPr>
            <w:tcW w:w="11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239</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93.5%</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27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133</w:t>
            </w:r>
          </w:p>
        </w:tc>
        <w:tc>
          <w:tcPr>
            <w:tcW w:w="12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119</w:t>
            </w:r>
          </w:p>
        </w:tc>
        <w:tc>
          <w:tcPr>
            <w:tcW w:w="11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131</w:t>
            </w:r>
          </w:p>
        </w:tc>
        <w:tc>
          <w:tcPr>
            <w:tcW w:w="14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1.6%</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2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631</w:t>
            </w:r>
          </w:p>
        </w:tc>
        <w:tc>
          <w:tcPr>
            <w:tcW w:w="12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575</w:t>
            </w:r>
          </w:p>
        </w:tc>
        <w:tc>
          <w:tcPr>
            <w:tcW w:w="11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498</w:t>
            </w:r>
          </w:p>
        </w:tc>
        <w:tc>
          <w:tcPr>
            <w:tcW w:w="14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26.6%</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2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1,226</w:t>
            </w:r>
          </w:p>
        </w:tc>
        <w:tc>
          <w:tcPr>
            <w:tcW w:w="12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1,199</w:t>
            </w:r>
          </w:p>
        </w:tc>
        <w:tc>
          <w:tcPr>
            <w:tcW w:w="11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868</w:t>
            </w:r>
          </w:p>
        </w:tc>
        <w:tc>
          <w:tcPr>
            <w:tcW w:w="14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41.3%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investments in equities and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165735</wp:posOffset>
            </wp:positionV>
            <wp:extent cx="6474460" cy="1406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7446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Business</w:t>
      </w:r>
    </w:p>
    <w:p>
      <w:pPr>
        <w:spacing w:after="0" w:line="231"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Third party managed funds include customer deposits, mutual funds and securities custody. These funds grew 9.9% QoQ and 46.1% YoY, reaching US$ 2.5 billion in 3Q06. Some migration from time deposits to mutual and investment funds is expected, but both continue to grow independently. Time deposits currently grow at a slower rate than mutual and investment funds (deposits 1.8% QoQ and mutual and investment funds 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107315</wp:posOffset>
            </wp:positionV>
            <wp:extent cx="3644900" cy="17754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4490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V. Prima AFP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 Market</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3Q06, growth from affiliated pensioners was slightly lower (+2.2% reaching 3.78 million affiliates) due to a higher migration rate, which continued increasing to approximately 60,000 per month. The solid return on administered funds once again generated strong growth in the total administered funds (+12.9%) reaching US$ 12.9 billion. Competition within the system continued to increase, affecting the operating expenses of the business, as well as the number of sales people which grew to 5,443.</w:t>
      </w:r>
    </w:p>
    <w:p>
      <w:pPr>
        <w:spacing w:after="0" w:line="19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There was a recovery in operating income to US$ 5.0 million during the quarter, mainly due to double collections in August. As a result of high returns on investments, as well as the good returns of the system’s legal reserves, the system’s net profit reached US$ 13.4 million for 3Q06.</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Private Pension Fund System: Main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220980</wp:posOffset>
            </wp:positionV>
            <wp:extent cx="39535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0" w:type="dxa"/>
            <w:vAlign w:val="bottom"/>
          </w:tcPr>
          <w:p>
            <w:pPr>
              <w:jc w:val="right"/>
              <w:ind w:right="652"/>
              <w:spacing w:after="0"/>
              <w:rPr>
                <w:sz w:val="20"/>
                <w:szCs w:val="20"/>
                <w:color w:val="auto"/>
              </w:rPr>
            </w:pPr>
            <w:r>
              <w:rPr>
                <w:rFonts w:ascii="Arial" w:cs="Arial" w:eastAsia="Arial" w:hAnsi="Arial"/>
                <w:sz w:val="14"/>
                <w:szCs w:val="14"/>
                <w:b w:val="1"/>
                <w:bCs w:val="1"/>
                <w:color w:val="auto"/>
              </w:rPr>
              <w:t>3Q06</w:t>
            </w:r>
          </w:p>
        </w:tc>
        <w:tc>
          <w:tcPr>
            <w:tcW w:w="124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260" w:type="dxa"/>
            <w:vAlign w:val="bottom"/>
          </w:tcPr>
          <w:p>
            <w:pPr>
              <w:jc w:val="right"/>
              <w:ind w:right="652"/>
              <w:spacing w:after="0"/>
              <w:rPr>
                <w:sz w:val="20"/>
                <w:szCs w:val="20"/>
                <w:color w:val="auto"/>
              </w:rPr>
            </w:pPr>
            <w:r>
              <w:rPr>
                <w:rFonts w:ascii="Arial" w:cs="Arial" w:eastAsia="Arial" w:hAnsi="Arial"/>
                <w:sz w:val="14"/>
                <w:szCs w:val="14"/>
                <w:b w:val="1"/>
                <w:bCs w:val="1"/>
                <w:color w:val="auto"/>
              </w:rPr>
              <w:t>1Q06</w:t>
            </w:r>
          </w:p>
        </w:tc>
        <w:tc>
          <w:tcPr>
            <w:tcW w:w="1260" w:type="dxa"/>
            <w:vAlign w:val="bottom"/>
          </w:tcPr>
          <w:p>
            <w:pPr>
              <w:jc w:val="right"/>
              <w:ind w:right="672"/>
              <w:spacing w:after="0"/>
              <w:rPr>
                <w:sz w:val="20"/>
                <w:szCs w:val="20"/>
                <w:color w:val="auto"/>
              </w:rPr>
            </w:pPr>
            <w:r>
              <w:rPr>
                <w:rFonts w:ascii="Arial" w:cs="Arial" w:eastAsia="Arial" w:hAnsi="Arial"/>
                <w:sz w:val="14"/>
                <w:szCs w:val="14"/>
                <w:b w:val="1"/>
                <w:bCs w:val="1"/>
                <w:color w:val="auto"/>
              </w:rPr>
              <w:t>2005</w:t>
            </w: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Affiliates mm</w:t>
            </w:r>
          </w:p>
        </w:tc>
        <w:tc>
          <w:tcPr>
            <w:tcW w:w="28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3.831</w:t>
            </w:r>
          </w:p>
        </w:tc>
        <w:tc>
          <w:tcPr>
            <w:tcW w:w="12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3.775</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3.693</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3.637</w:t>
            </w: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 Change</w:t>
            </w:r>
          </w:p>
        </w:tc>
        <w:tc>
          <w:tcPr>
            <w:tcW w:w="28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1.50%</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2.2%</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7.1%</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Contributors mm (1)</w:t>
            </w:r>
          </w:p>
        </w:tc>
        <w:tc>
          <w:tcPr>
            <w:tcW w:w="28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n.d.</w:t>
            </w:r>
          </w:p>
        </w:tc>
        <w:tc>
          <w:tcPr>
            <w:tcW w:w="12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1.387</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1.377</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1.367</w:t>
            </w: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 Change</w:t>
            </w:r>
          </w:p>
        </w:tc>
        <w:tc>
          <w:tcPr>
            <w:tcW w:w="28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n.d.</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0.80%</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0.7%</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4.9%</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Contributor-to-Affiliate ratio (2)</w:t>
            </w:r>
          </w:p>
        </w:tc>
        <w:tc>
          <w:tcPr>
            <w:tcW w:w="28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n.d.</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37%</w:t>
            </w:r>
          </w:p>
        </w:tc>
        <w:tc>
          <w:tcPr>
            <w:tcW w:w="12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37%</w:t>
            </w:r>
          </w:p>
        </w:tc>
        <w:tc>
          <w:tcPr>
            <w:tcW w:w="12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39%</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force</w:t>
            </w:r>
          </w:p>
        </w:tc>
        <w:tc>
          <w:tcPr>
            <w:tcW w:w="28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5,443</w:t>
            </w:r>
          </w:p>
        </w:tc>
        <w:tc>
          <w:tcPr>
            <w:tcW w:w="12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4,798</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4,355</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3,989</w:t>
            </w: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Assets under management (US$ mm)</w:t>
            </w:r>
          </w:p>
        </w:tc>
        <w:tc>
          <w:tcPr>
            <w:tcW w:w="28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12,855</w:t>
            </w:r>
          </w:p>
        </w:tc>
        <w:tc>
          <w:tcPr>
            <w:tcW w:w="12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11,385</w:t>
            </w:r>
          </w:p>
        </w:tc>
        <w:tc>
          <w:tcPr>
            <w:tcW w:w="12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10,290</w:t>
            </w:r>
          </w:p>
        </w:tc>
        <w:tc>
          <w:tcPr>
            <w:tcW w:w="12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9,494</w:t>
            </w: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Change (3)</w:t>
            </w:r>
          </w:p>
        </w:tc>
        <w:tc>
          <w:tcPr>
            <w:tcW w:w="28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12.9%</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10.6%</w:t>
            </w:r>
          </w:p>
        </w:tc>
        <w:tc>
          <w:tcPr>
            <w:tcW w:w="12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8.4%</w:t>
            </w:r>
          </w:p>
        </w:tc>
        <w:tc>
          <w:tcPr>
            <w:tcW w:w="12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20.3%</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(US$ mm)</w:t>
            </w:r>
          </w:p>
        </w:tc>
        <w:tc>
          <w:tcPr>
            <w:tcW w:w="28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51.3</w:t>
            </w:r>
          </w:p>
        </w:tc>
        <w:tc>
          <w:tcPr>
            <w:tcW w:w="12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40.3</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49.0</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182.8</w:t>
            </w: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182.5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Operating expenses (US$ mm)</w:t>
            </w:r>
          </w:p>
        </w:tc>
        <w:tc>
          <w:tcPr>
            <w:tcW w:w="28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46.3</w:t>
            </w:r>
          </w:p>
        </w:tc>
        <w:tc>
          <w:tcPr>
            <w:tcW w:w="12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41.0</w:t>
            </w:r>
          </w:p>
        </w:tc>
        <w:tc>
          <w:tcPr>
            <w:tcW w:w="12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35.5</w:t>
            </w:r>
          </w:p>
        </w:tc>
        <w:tc>
          <w:tcPr>
            <w:tcW w:w="12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105.6</w:t>
            </w: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(US$ mm)</w:t>
            </w:r>
          </w:p>
        </w:tc>
        <w:tc>
          <w:tcPr>
            <w:tcW w:w="280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5</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(0.7)</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13.5</w:t>
            </w:r>
          </w:p>
        </w:tc>
        <w:tc>
          <w:tcPr>
            <w:tcW w:w="12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77.2</w:t>
            </w: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Net Income (US$ mm)</w:t>
            </w:r>
          </w:p>
        </w:tc>
        <w:tc>
          <w:tcPr>
            <w:tcW w:w="2800" w:type="dxa"/>
            <w:vAlign w:val="bottom"/>
          </w:tcPr>
          <w:p>
            <w:pPr>
              <w:jc w:val="right"/>
              <w:ind w:right="292"/>
              <w:spacing w:after="0"/>
              <w:rPr>
                <w:sz w:val="20"/>
                <w:szCs w:val="20"/>
                <w:color w:val="auto"/>
              </w:rPr>
            </w:pPr>
            <w:r>
              <w:rPr>
                <w:rFonts w:ascii="Arial" w:cs="Arial" w:eastAsia="Arial" w:hAnsi="Arial"/>
                <w:sz w:val="14"/>
                <w:szCs w:val="14"/>
                <w:color w:val="auto"/>
              </w:rPr>
              <w:t>13.4</w:t>
            </w:r>
          </w:p>
        </w:tc>
        <w:tc>
          <w:tcPr>
            <w:tcW w:w="1240" w:type="dxa"/>
            <w:vAlign w:val="bottom"/>
          </w:tcPr>
          <w:p>
            <w:pPr>
              <w:jc w:val="right"/>
              <w:ind w:right="272"/>
              <w:spacing w:after="0"/>
              <w:rPr>
                <w:sz w:val="20"/>
                <w:szCs w:val="20"/>
                <w:color w:val="auto"/>
              </w:rPr>
            </w:pPr>
            <w:r>
              <w:rPr>
                <w:rFonts w:ascii="Arial" w:cs="Arial" w:eastAsia="Arial" w:hAnsi="Arial"/>
                <w:sz w:val="14"/>
                <w:szCs w:val="14"/>
                <w:color w:val="auto"/>
              </w:rPr>
              <w:t>3.5</w:t>
            </w:r>
          </w:p>
        </w:tc>
        <w:tc>
          <w:tcPr>
            <w:tcW w:w="1260" w:type="dxa"/>
            <w:vAlign w:val="bottom"/>
          </w:tcPr>
          <w:p>
            <w:pPr>
              <w:jc w:val="right"/>
              <w:ind w:right="292"/>
              <w:spacing w:after="0"/>
              <w:rPr>
                <w:sz w:val="20"/>
                <w:szCs w:val="20"/>
                <w:color w:val="auto"/>
              </w:rPr>
            </w:pPr>
            <w:r>
              <w:rPr>
                <w:rFonts w:ascii="Arial" w:cs="Arial" w:eastAsia="Arial" w:hAnsi="Arial"/>
                <w:sz w:val="14"/>
                <w:szCs w:val="14"/>
                <w:color w:val="auto"/>
              </w:rPr>
              <w:t>13.8</w:t>
            </w:r>
          </w:p>
        </w:tc>
        <w:tc>
          <w:tcPr>
            <w:tcW w:w="1260" w:type="dxa"/>
            <w:vAlign w:val="bottom"/>
          </w:tcPr>
          <w:p>
            <w:pPr>
              <w:jc w:val="right"/>
              <w:ind w:right="292"/>
              <w:spacing w:after="0"/>
              <w:rPr>
                <w:sz w:val="20"/>
                <w:szCs w:val="20"/>
                <w:color w:val="auto"/>
              </w:rPr>
            </w:pPr>
            <w:r>
              <w:rPr>
                <w:rFonts w:ascii="Arial" w:cs="Arial" w:eastAsia="Arial" w:hAnsi="Arial"/>
                <w:sz w:val="14"/>
                <w:szCs w:val="14"/>
                <w:color w:val="auto"/>
              </w:rPr>
              <w:t>63.7</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71.0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affiliates 12 months.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average affiliates.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 Variation for 1Q2006.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Quarter includes a double collecting month.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 AFP</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 3Q06, Prima AFP continued to grow while maintaining its high portfolio quality. The number of affiliates surpassed 125,000. The contributors’ ratio remained high at 89%.</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PRIMA AFP: Main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220980</wp:posOffset>
            </wp:positionV>
            <wp:extent cx="40906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0" w:type="dxa"/>
            <w:vAlign w:val="bottom"/>
          </w:tcPr>
          <w:p>
            <w:pPr>
              <w:jc w:val="right"/>
              <w:ind w:right="312"/>
              <w:spacing w:after="0"/>
              <w:rPr>
                <w:sz w:val="20"/>
                <w:szCs w:val="20"/>
                <w:color w:val="auto"/>
              </w:rPr>
            </w:pPr>
            <w:r>
              <w:rPr>
                <w:rFonts w:ascii="Arial" w:cs="Arial" w:eastAsia="Arial" w:hAnsi="Arial"/>
                <w:sz w:val="14"/>
                <w:szCs w:val="14"/>
                <w:b w:val="1"/>
                <w:bCs w:val="1"/>
                <w:color w:val="auto"/>
              </w:rPr>
              <w:t>3Q06</w:t>
            </w:r>
          </w:p>
        </w:tc>
        <w:tc>
          <w:tcPr>
            <w:tcW w:w="1240" w:type="dxa"/>
            <w:vAlign w:val="bottom"/>
          </w:tcPr>
          <w:p>
            <w:pPr>
              <w:jc w:val="right"/>
              <w:ind w:right="612"/>
              <w:spacing w:after="0"/>
              <w:rPr>
                <w:sz w:val="20"/>
                <w:szCs w:val="20"/>
                <w:color w:val="auto"/>
              </w:rPr>
            </w:pPr>
            <w:r>
              <w:rPr>
                <w:rFonts w:ascii="Arial" w:cs="Arial" w:eastAsia="Arial" w:hAnsi="Arial"/>
                <w:sz w:val="14"/>
                <w:szCs w:val="14"/>
                <w:b w:val="1"/>
                <w:bCs w:val="1"/>
                <w:color w:val="auto"/>
              </w:rPr>
              <w:t>2Q06</w:t>
            </w:r>
          </w:p>
        </w:tc>
        <w:tc>
          <w:tcPr>
            <w:tcW w:w="1260" w:type="dxa"/>
            <w:vAlign w:val="bottom"/>
          </w:tcPr>
          <w:p>
            <w:pPr>
              <w:jc w:val="right"/>
              <w:ind w:right="612"/>
              <w:spacing w:after="0"/>
              <w:rPr>
                <w:sz w:val="20"/>
                <w:szCs w:val="20"/>
                <w:color w:val="auto"/>
              </w:rPr>
            </w:pPr>
            <w:r>
              <w:rPr>
                <w:rFonts w:ascii="Arial" w:cs="Arial" w:eastAsia="Arial" w:hAnsi="Arial"/>
                <w:sz w:val="14"/>
                <w:szCs w:val="14"/>
                <w:b w:val="1"/>
                <w:bCs w:val="1"/>
                <w:color w:val="auto"/>
              </w:rPr>
              <w:t>1Q06</w:t>
            </w: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4Q05</w:t>
            </w:r>
          </w:p>
        </w:tc>
        <w:tc>
          <w:tcPr>
            <w:tcW w:w="1120" w:type="dxa"/>
            <w:vAlign w:val="bottom"/>
          </w:tcPr>
          <w:p>
            <w:pPr>
              <w:jc w:val="right"/>
              <w:ind w:right="212"/>
              <w:spacing w:after="0"/>
              <w:rPr>
                <w:sz w:val="20"/>
                <w:szCs w:val="20"/>
                <w:color w:val="auto"/>
              </w:rPr>
            </w:pPr>
            <w:r>
              <w:rPr>
                <w:rFonts w:ascii="Arial" w:cs="Arial" w:eastAsia="Arial" w:hAnsi="Arial"/>
                <w:sz w:val="14"/>
                <w:szCs w:val="14"/>
                <w:b w:val="1"/>
                <w:bCs w:val="1"/>
                <w:color w:val="auto"/>
              </w:rPr>
              <w:t>3Q06/2Q06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Funds under management US$mm</w:t>
            </w:r>
          </w:p>
        </w:tc>
        <w:tc>
          <w:tcPr>
            <w:tcW w:w="26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929</w:t>
            </w:r>
          </w:p>
        </w:tc>
        <w:tc>
          <w:tcPr>
            <w:tcW w:w="12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713</w:t>
            </w:r>
          </w:p>
        </w:tc>
        <w:tc>
          <w:tcPr>
            <w:tcW w:w="12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533</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255</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Affiliates (1)</w:t>
            </w:r>
          </w:p>
        </w:tc>
        <w:tc>
          <w:tcPr>
            <w:tcW w:w="26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125,840</w:t>
            </w:r>
          </w:p>
        </w:tc>
        <w:tc>
          <w:tcPr>
            <w:tcW w:w="12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97,068</w:t>
            </w:r>
          </w:p>
        </w:tc>
        <w:tc>
          <w:tcPr>
            <w:tcW w:w="12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73,794</w:t>
            </w:r>
          </w:p>
        </w:tc>
        <w:tc>
          <w:tcPr>
            <w:tcW w:w="11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51,838</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Contributors (2)</w:t>
            </w:r>
          </w:p>
        </w:tc>
        <w:tc>
          <w:tcPr>
            <w:tcW w:w="26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93,352</w:t>
            </w:r>
          </w:p>
        </w:tc>
        <w:tc>
          <w:tcPr>
            <w:tcW w:w="12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72,152</w:t>
            </w:r>
          </w:p>
        </w:tc>
        <w:tc>
          <w:tcPr>
            <w:tcW w:w="12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49,506</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19,401</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Adjusted contributor-to-affiliate ratio (3)</w:t>
            </w:r>
          </w:p>
        </w:tc>
        <w:tc>
          <w:tcPr>
            <w:tcW w:w="2600" w:type="dxa"/>
            <w:vAlign w:val="bottom"/>
          </w:tcPr>
          <w:p>
            <w:pPr>
              <w:jc w:val="right"/>
              <w:ind w:right="192"/>
              <w:spacing w:after="0"/>
              <w:rPr>
                <w:sz w:val="20"/>
                <w:szCs w:val="20"/>
                <w:color w:val="auto"/>
              </w:rPr>
            </w:pPr>
            <w:r>
              <w:rPr>
                <w:rFonts w:ascii="Arial" w:cs="Arial" w:eastAsia="Arial" w:hAnsi="Arial"/>
                <w:sz w:val="14"/>
                <w:szCs w:val="14"/>
                <w:color w:val="auto"/>
              </w:rPr>
              <w:t>89%</w:t>
            </w:r>
          </w:p>
        </w:tc>
        <w:tc>
          <w:tcPr>
            <w:tcW w:w="1240" w:type="dxa"/>
            <w:vAlign w:val="bottom"/>
          </w:tcPr>
          <w:p>
            <w:pPr>
              <w:jc w:val="right"/>
              <w:ind w:right="192"/>
              <w:spacing w:after="0"/>
              <w:rPr>
                <w:sz w:val="20"/>
                <w:szCs w:val="20"/>
                <w:color w:val="auto"/>
              </w:rPr>
            </w:pPr>
            <w:r>
              <w:rPr>
                <w:rFonts w:ascii="Arial" w:cs="Arial" w:eastAsia="Arial" w:hAnsi="Arial"/>
                <w:sz w:val="14"/>
                <w:szCs w:val="14"/>
                <w:color w:val="auto"/>
              </w:rPr>
              <w:t>89%</w:t>
            </w:r>
          </w:p>
        </w:tc>
        <w:tc>
          <w:tcPr>
            <w:tcW w:w="1260" w:type="dxa"/>
            <w:vAlign w:val="bottom"/>
          </w:tcPr>
          <w:p>
            <w:pPr>
              <w:jc w:val="right"/>
              <w:ind w:right="192"/>
              <w:spacing w:after="0"/>
              <w:rPr>
                <w:sz w:val="20"/>
                <w:szCs w:val="20"/>
                <w:color w:val="auto"/>
              </w:rPr>
            </w:pPr>
            <w:r>
              <w:rPr>
                <w:rFonts w:ascii="Arial" w:cs="Arial" w:eastAsia="Arial" w:hAnsi="Arial"/>
                <w:sz w:val="14"/>
                <w:szCs w:val="14"/>
                <w:color w:val="auto"/>
              </w:rPr>
              <w:t>90%</w:t>
            </w: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84%</w:t>
            </w:r>
          </w:p>
        </w:tc>
        <w:tc>
          <w:tcPr>
            <w:tcW w:w="11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According to Superintendencia de Banca y Seguros, does not include June’s sales.</w:t>
      </w:r>
    </w:p>
    <w:p>
      <w:pPr>
        <w:spacing w:after="0" w:line="15" w:lineRule="exact"/>
        <w:rPr>
          <w:rFonts w:ascii="Arial" w:cs="Arial" w:eastAsia="Arial" w:hAnsi="Arial"/>
          <w:sz w:val="18"/>
          <w:szCs w:val="18"/>
          <w:color w:val="auto"/>
        </w:rPr>
      </w:pPr>
    </w:p>
    <w:p>
      <w:pPr>
        <w:ind w:left="580" w:right="44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estimates of affiliates whose commissions were paid in the month. Does not include contributors that are still in the transfer process from another Pension Fund Manager.</w:t>
      </w: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Takes into account the transfer process.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PRIMA reached these results via the expansion of its sales force to over 1,000, following the trend within the industry.</w:t>
      </w:r>
    </w:p>
    <w:p>
      <w:pPr>
        <w:sectPr>
          <w:pgSz w:w="11900" w:h="16838" w:orient="portrait"/>
          <w:cols w:equalWidth="0" w:num="1">
            <w:col w:w="11440"/>
          </w:cols>
          <w:pgMar w:left="240" w:top="1408" w:right="219" w:bottom="1440" w:gutter="0" w:footer="0" w:header="0"/>
        </w:sectPr>
      </w:pP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PRIMA AFP: Evolution of sales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152400</wp:posOffset>
            </wp:positionV>
            <wp:extent cx="3001645" cy="1689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0164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Source: SBS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Prima’s market share in terms of administered funds and income continued to grow.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Administered Fund (US$ mm) and Monthly Revenues (US$ thousands)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869430" cy="17583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6943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Source: SBS</w:t>
      </w:r>
    </w:p>
    <w:p>
      <w:pPr>
        <w:spacing w:after="0" w:line="15"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was a non traditional credit in payment on March.</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3Q06, Prima again reported losses, despite its continued growth in income, better returns on invested reserves and the consolidation of Union Vida’s results into Prima’s results. Prima’s increased commercial expenses related to intense competitive pressure resulting from the acquisition of AFP Union Vida and extensive related pre-merger expenses which included a loss of US$ 2.3 million of Prima’s deferred taxes, made it difficult to break-even. On its Balance Sheet a US$ 112 million increase in capital was recorded, which added to the US$ 29 million in funding from BCP provided to acquire 99.97% of AFP Union Vida shares. This operation mainly explains the increase in equity, assets and liabilities, though it should be noted that the Company purchased its Headquarters’ building for US$ 7.2 million via a BCP loan.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Main indicators of Prima’s results are in the following chart:</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PRIMA AFP: Main Financial indicators (US$ 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220980</wp:posOffset>
            </wp:positionV>
            <wp:extent cx="40906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280" w:type="dxa"/>
            <w:vAlign w:val="bottom"/>
          </w:tcPr>
          <w:p>
            <w:pPr>
              <w:jc w:val="right"/>
              <w:ind w:right="572"/>
              <w:spacing w:after="0"/>
              <w:rPr>
                <w:sz w:val="20"/>
                <w:szCs w:val="20"/>
                <w:color w:val="auto"/>
              </w:rPr>
            </w:pPr>
            <w:r>
              <w:rPr>
                <w:rFonts w:ascii="Arial" w:cs="Arial" w:eastAsia="Arial" w:hAnsi="Arial"/>
                <w:sz w:val="14"/>
                <w:szCs w:val="14"/>
                <w:b w:val="1"/>
                <w:bCs w:val="1"/>
                <w:color w:val="auto"/>
              </w:rPr>
              <w:t>3Q06</w:t>
            </w: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2Q06</w:t>
            </w: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1Q06</w:t>
            </w:r>
          </w:p>
        </w:tc>
        <w:tc>
          <w:tcPr>
            <w:tcW w:w="1180" w:type="dxa"/>
            <w:vAlign w:val="bottom"/>
          </w:tcPr>
          <w:p>
            <w:pPr>
              <w:jc w:val="right"/>
              <w:ind w:right="512"/>
              <w:spacing w:after="0"/>
              <w:rPr>
                <w:sz w:val="20"/>
                <w:szCs w:val="20"/>
                <w:color w:val="auto"/>
              </w:rPr>
            </w:pPr>
            <w:r>
              <w:rPr>
                <w:rFonts w:ascii="Arial" w:cs="Arial" w:eastAsia="Arial" w:hAnsi="Arial"/>
                <w:sz w:val="14"/>
                <w:szCs w:val="14"/>
                <w:b w:val="1"/>
                <w:bCs w:val="1"/>
                <w:color w:val="auto"/>
              </w:rPr>
              <w:t>4Q05</w:t>
            </w:r>
          </w:p>
        </w:tc>
        <w:tc>
          <w:tcPr>
            <w:tcW w:w="1160" w:type="dxa"/>
            <w:vAlign w:val="bottom"/>
          </w:tcPr>
          <w:p>
            <w:pPr>
              <w:jc w:val="right"/>
              <w:ind w:right="212"/>
              <w:spacing w:after="0"/>
              <w:rPr>
                <w:sz w:val="20"/>
                <w:szCs w:val="20"/>
                <w:color w:val="auto"/>
              </w:rPr>
            </w:pPr>
            <w:r>
              <w:rPr>
                <w:rFonts w:ascii="Arial" w:cs="Arial" w:eastAsia="Arial" w:hAnsi="Arial"/>
                <w:sz w:val="14"/>
                <w:szCs w:val="14"/>
                <w:b w:val="1"/>
                <w:bCs w:val="1"/>
                <w:color w:val="auto"/>
              </w:rPr>
              <w:t>3Q06/2Q06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w:t>
            </w:r>
          </w:p>
        </w:tc>
        <w:tc>
          <w:tcPr>
            <w:tcW w:w="3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8,587</w:t>
            </w:r>
          </w:p>
        </w:tc>
        <w:tc>
          <w:tcPr>
            <w:tcW w:w="12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4,823</w:t>
            </w:r>
          </w:p>
        </w:tc>
        <w:tc>
          <w:tcPr>
            <w:tcW w:w="12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2,298</w:t>
            </w:r>
          </w:p>
        </w:tc>
        <w:tc>
          <w:tcPr>
            <w:tcW w:w="11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428</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Operating Losses</w:t>
            </w:r>
          </w:p>
        </w:tc>
        <w:tc>
          <w:tcPr>
            <w:tcW w:w="32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(12,310)</w:t>
            </w:r>
          </w:p>
        </w:tc>
        <w:tc>
          <w:tcPr>
            <w:tcW w:w="12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(8,314)</w:t>
            </w:r>
          </w:p>
        </w:tc>
        <w:tc>
          <w:tcPr>
            <w:tcW w:w="12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(4,314)</w:t>
            </w:r>
          </w:p>
        </w:tc>
        <w:tc>
          <w:tcPr>
            <w:tcW w:w="11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(11,086)</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Losses</w:t>
            </w:r>
          </w:p>
        </w:tc>
        <w:tc>
          <w:tcPr>
            <w:tcW w:w="32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(7,097)</w:t>
            </w:r>
          </w:p>
        </w:tc>
        <w:tc>
          <w:tcPr>
            <w:tcW w:w="12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(4,909)</w:t>
            </w:r>
          </w:p>
        </w:tc>
        <w:tc>
          <w:tcPr>
            <w:tcW w:w="12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(2,668)</w:t>
            </w:r>
          </w:p>
        </w:tc>
        <w:tc>
          <w:tcPr>
            <w:tcW w:w="11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(7,646)</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3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1,580</w:t>
            </w:r>
          </w:p>
        </w:tc>
        <w:tc>
          <w:tcPr>
            <w:tcW w:w="12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1,294</w:t>
            </w:r>
          </w:p>
        </w:tc>
        <w:tc>
          <w:tcPr>
            <w:tcW w:w="12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5,324</w:t>
            </w:r>
          </w:p>
        </w:tc>
        <w:tc>
          <w:tcPr>
            <w:tcW w:w="11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6,995</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173,323</w:t>
            </w:r>
          </w:p>
        </w:tc>
        <w:tc>
          <w:tcPr>
            <w:tcW w:w="126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21,430</w:t>
            </w:r>
          </w:p>
        </w:tc>
        <w:tc>
          <w:tcPr>
            <w:tcW w:w="12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21,807</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18,229</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708.8%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3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45,262</w:t>
            </w:r>
          </w:p>
        </w:tc>
        <w:tc>
          <w:tcPr>
            <w:tcW w:w="12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3,181</w:t>
            </w:r>
          </w:p>
        </w:tc>
        <w:tc>
          <w:tcPr>
            <w:tcW w:w="12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3,244</w:t>
            </w:r>
          </w:p>
        </w:tc>
        <w:tc>
          <w:tcPr>
            <w:tcW w:w="11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2,810</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Net Worth</w:t>
            </w:r>
          </w:p>
        </w:tc>
        <w:tc>
          <w:tcPr>
            <w:tcW w:w="3280" w:type="dxa"/>
            <w:vAlign w:val="bottom"/>
          </w:tcPr>
          <w:p>
            <w:pPr>
              <w:jc w:val="right"/>
              <w:ind w:right="272"/>
              <w:spacing w:after="0"/>
              <w:rPr>
                <w:sz w:val="20"/>
                <w:szCs w:val="20"/>
                <w:color w:val="auto"/>
              </w:rPr>
            </w:pPr>
            <w:r>
              <w:rPr>
                <w:rFonts w:ascii="Arial" w:cs="Arial" w:eastAsia="Arial" w:hAnsi="Arial"/>
                <w:sz w:val="14"/>
                <w:szCs w:val="14"/>
                <w:color w:val="auto"/>
              </w:rPr>
              <w:t>128,061</w:t>
            </w:r>
          </w:p>
        </w:tc>
        <w:tc>
          <w:tcPr>
            <w:tcW w:w="1260" w:type="dxa"/>
            <w:vAlign w:val="bottom"/>
          </w:tcPr>
          <w:p>
            <w:pPr>
              <w:jc w:val="right"/>
              <w:ind w:right="272"/>
              <w:spacing w:after="0"/>
              <w:rPr>
                <w:sz w:val="20"/>
                <w:szCs w:val="20"/>
                <w:color w:val="auto"/>
              </w:rPr>
            </w:pPr>
            <w:r>
              <w:rPr>
                <w:rFonts w:ascii="Arial" w:cs="Arial" w:eastAsia="Arial" w:hAnsi="Arial"/>
                <w:sz w:val="14"/>
                <w:szCs w:val="14"/>
                <w:color w:val="auto"/>
              </w:rPr>
              <w:t>18,248</w:t>
            </w:r>
          </w:p>
        </w:tc>
        <w:tc>
          <w:tcPr>
            <w:tcW w:w="1240" w:type="dxa"/>
            <w:vAlign w:val="bottom"/>
          </w:tcPr>
          <w:p>
            <w:pPr>
              <w:jc w:val="right"/>
              <w:ind w:right="272"/>
              <w:spacing w:after="0"/>
              <w:rPr>
                <w:sz w:val="20"/>
                <w:szCs w:val="20"/>
                <w:color w:val="auto"/>
              </w:rPr>
            </w:pPr>
            <w:r>
              <w:rPr>
                <w:rFonts w:ascii="Arial" w:cs="Arial" w:eastAsia="Arial" w:hAnsi="Arial"/>
                <w:sz w:val="14"/>
                <w:szCs w:val="14"/>
                <w:color w:val="auto"/>
              </w:rPr>
              <w:t>18,563</w:t>
            </w:r>
          </w:p>
        </w:tc>
        <w:tc>
          <w:tcPr>
            <w:tcW w:w="1180" w:type="dxa"/>
            <w:vAlign w:val="bottom"/>
          </w:tcPr>
          <w:p>
            <w:pPr>
              <w:jc w:val="right"/>
              <w:ind w:right="192"/>
              <w:spacing w:after="0"/>
              <w:rPr>
                <w:sz w:val="20"/>
                <w:szCs w:val="20"/>
                <w:color w:val="auto"/>
              </w:rPr>
            </w:pPr>
            <w:r>
              <w:rPr>
                <w:rFonts w:ascii="Arial" w:cs="Arial" w:eastAsia="Arial" w:hAnsi="Arial"/>
                <w:sz w:val="14"/>
                <w:szCs w:val="14"/>
                <w:color w:val="auto"/>
              </w:rPr>
              <w:t>15,419</w:t>
            </w:r>
          </w:p>
        </w:tc>
        <w:tc>
          <w:tcPr>
            <w:tcW w:w="1160" w:type="dxa"/>
            <w:vAlign w:val="bottom"/>
          </w:tcPr>
          <w:p>
            <w:pPr>
              <w:jc w:val="right"/>
              <w:spacing w:after="0"/>
              <w:rPr>
                <w:sz w:val="20"/>
                <w:szCs w:val="20"/>
                <w:color w:val="auto"/>
              </w:rPr>
            </w:pPr>
            <w:r>
              <w:rPr>
                <w:rFonts w:ascii="Arial" w:cs="Arial" w:eastAsia="Arial" w:hAnsi="Arial"/>
                <w:sz w:val="14"/>
                <w:szCs w:val="14"/>
                <w:color w:val="auto"/>
              </w:rPr>
              <w:t>601.8%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 of period numbers.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Merger Developments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August 24, 2006 the payment of 99.97% of the shares of AFP Union Vida was concluded. The merger is tentatively scheduled to be completed on December 1, 2006. Among the main advances made during the quarter were the investment policy alignment, communications to affiliates, the reduction of commissions to 1.5%, sales force adjustments, the definition of systems that will be enforced after the merger, as well as the establishment of a smooth communication process and inter-action with UV’s personnel.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Once the merger is completed, the company will achieve a market share between 25% and 29% as observed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217170</wp:posOffset>
            </wp:positionV>
            <wp:extent cx="22466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PRIMA</w:t>
            </w: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Union Vida</w:t>
            </w: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Affiliates</w:t>
            </w:r>
          </w:p>
        </w:tc>
        <w:tc>
          <w:tcPr>
            <w:tcW w:w="1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Number</w:t>
            </w:r>
          </w:p>
        </w:tc>
        <w:tc>
          <w:tcPr>
            <w:tcW w:w="11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125,840</w:t>
            </w:r>
          </w:p>
        </w:tc>
        <w:tc>
          <w:tcPr>
            <w:tcW w:w="12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846,159</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971,999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3.30%</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22.10%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5620" w:type="dxa"/>
            <w:vAlign w:val="bottom"/>
            <w:gridSpan w:val="2"/>
          </w:tcPr>
          <w:p>
            <w:pPr>
              <w:spacing w:after="0"/>
              <w:rPr>
                <w:sz w:val="20"/>
                <w:szCs w:val="20"/>
                <w:color w:val="auto"/>
              </w:rPr>
            </w:pPr>
            <w:r>
              <w:rPr>
                <w:rFonts w:ascii="Arial" w:cs="Arial" w:eastAsia="Arial" w:hAnsi="Arial"/>
                <w:sz w:val="14"/>
                <w:szCs w:val="14"/>
                <w:color w:val="auto"/>
              </w:rPr>
              <w:t>Contributors</w:t>
            </w:r>
          </w:p>
        </w:tc>
        <w:tc>
          <w:tcPr>
            <w:tcW w:w="1360" w:type="dxa"/>
            <w:vAlign w:val="bottom"/>
          </w:tcPr>
          <w:p>
            <w:pPr>
              <w:jc w:val="right"/>
              <w:ind w:right="152"/>
              <w:spacing w:after="0"/>
              <w:rPr>
                <w:sz w:val="20"/>
                <w:szCs w:val="20"/>
                <w:color w:val="auto"/>
              </w:rPr>
            </w:pPr>
            <w:r>
              <w:rPr>
                <w:rFonts w:ascii="Arial" w:cs="Arial" w:eastAsia="Arial" w:hAnsi="Arial"/>
                <w:sz w:val="14"/>
                <w:szCs w:val="14"/>
                <w:color w:val="auto"/>
              </w:rPr>
              <w:t>Number</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93,352</w:t>
            </w:r>
          </w:p>
        </w:tc>
        <w:tc>
          <w:tcPr>
            <w:tcW w:w="1220" w:type="dxa"/>
            <w:vAlign w:val="bottom"/>
          </w:tcPr>
          <w:p>
            <w:pPr>
              <w:jc w:val="right"/>
              <w:ind w:right="252"/>
              <w:spacing w:after="0"/>
              <w:rPr>
                <w:sz w:val="20"/>
                <w:szCs w:val="20"/>
                <w:color w:val="auto"/>
              </w:rPr>
            </w:pPr>
            <w:r>
              <w:rPr>
                <w:rFonts w:ascii="Arial" w:cs="Arial" w:eastAsia="Arial" w:hAnsi="Arial"/>
                <w:sz w:val="14"/>
                <w:szCs w:val="14"/>
                <w:color w:val="auto"/>
              </w:rPr>
              <w:t>261,541</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354,893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6.70%</w:t>
            </w:r>
          </w:p>
        </w:tc>
        <w:tc>
          <w:tcPr>
            <w:tcW w:w="1220" w:type="dxa"/>
            <w:vAlign w:val="bottom"/>
          </w:tcPr>
          <w:p>
            <w:pPr>
              <w:jc w:val="right"/>
              <w:ind w:right="152"/>
              <w:spacing w:after="0"/>
              <w:rPr>
                <w:sz w:val="20"/>
                <w:szCs w:val="20"/>
                <w:color w:val="auto"/>
              </w:rPr>
            </w:pPr>
            <w:r>
              <w:rPr>
                <w:rFonts w:ascii="Arial" w:cs="Arial" w:eastAsia="Arial" w:hAnsi="Arial"/>
                <w:sz w:val="14"/>
                <w:szCs w:val="14"/>
                <w:color w:val="auto"/>
              </w:rPr>
              <w:t>18.70%</w:t>
            </w:r>
          </w:p>
        </w:tc>
        <w:tc>
          <w:tcPr>
            <w:tcW w:w="960" w:type="dxa"/>
            <w:vAlign w:val="bottom"/>
          </w:tcPr>
          <w:p>
            <w:pPr>
              <w:jc w:val="right"/>
              <w:spacing w:after="0"/>
              <w:rPr>
                <w:sz w:val="20"/>
                <w:szCs w:val="20"/>
                <w:color w:val="auto"/>
              </w:rPr>
            </w:pPr>
            <w:r>
              <w:rPr>
                <w:rFonts w:ascii="Arial" w:cs="Arial" w:eastAsia="Arial" w:hAnsi="Arial"/>
                <w:sz w:val="14"/>
                <w:szCs w:val="14"/>
                <w:color w:val="auto"/>
              </w:rPr>
              <w:t>25.30%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w:t>
            </w:r>
          </w:p>
        </w:tc>
        <w:tc>
          <w:tcPr>
            <w:tcW w:w="1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US$ mm</w:t>
            </w:r>
          </w:p>
        </w:tc>
        <w:tc>
          <w:tcPr>
            <w:tcW w:w="11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8.59</w:t>
            </w:r>
          </w:p>
        </w:tc>
        <w:tc>
          <w:tcPr>
            <w:tcW w:w="12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30.39</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38.98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6.20%</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21.80%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5620" w:type="dxa"/>
            <w:vAlign w:val="bottom"/>
            <w:gridSpan w:val="2"/>
          </w:tcPr>
          <w:p>
            <w:pPr>
              <w:spacing w:after="0"/>
              <w:rPr>
                <w:sz w:val="20"/>
                <w:szCs w:val="20"/>
                <w:color w:val="auto"/>
              </w:rPr>
            </w:pPr>
            <w:r>
              <w:rPr>
                <w:rFonts w:ascii="Arial" w:cs="Arial" w:eastAsia="Arial" w:hAnsi="Arial"/>
                <w:sz w:val="14"/>
                <w:szCs w:val="14"/>
                <w:color w:val="auto"/>
              </w:rPr>
              <w:t>FUM</w:t>
            </w:r>
          </w:p>
        </w:tc>
        <w:tc>
          <w:tcPr>
            <w:tcW w:w="1360" w:type="dxa"/>
            <w:vAlign w:val="bottom"/>
          </w:tcPr>
          <w:p>
            <w:pPr>
              <w:jc w:val="right"/>
              <w:ind w:right="152"/>
              <w:spacing w:after="0"/>
              <w:rPr>
                <w:sz w:val="20"/>
                <w:szCs w:val="20"/>
                <w:color w:val="auto"/>
              </w:rPr>
            </w:pPr>
            <w:r>
              <w:rPr>
                <w:rFonts w:ascii="Arial" w:cs="Arial" w:eastAsia="Arial" w:hAnsi="Arial"/>
                <w:sz w:val="14"/>
                <w:szCs w:val="14"/>
                <w:color w:val="auto"/>
              </w:rPr>
              <w:t>US$ mm</w:t>
            </w:r>
          </w:p>
        </w:tc>
        <w:tc>
          <w:tcPr>
            <w:tcW w:w="1120" w:type="dxa"/>
            <w:vAlign w:val="bottom"/>
          </w:tcPr>
          <w:p>
            <w:pPr>
              <w:jc w:val="right"/>
              <w:ind w:right="152"/>
              <w:spacing w:after="0"/>
              <w:rPr>
                <w:sz w:val="20"/>
                <w:szCs w:val="20"/>
                <w:color w:val="auto"/>
              </w:rPr>
            </w:pPr>
            <w:r>
              <w:rPr>
                <w:rFonts w:ascii="Arial" w:cs="Arial" w:eastAsia="Arial" w:hAnsi="Arial"/>
                <w:sz w:val="14"/>
                <w:szCs w:val="14"/>
                <w:color w:val="auto"/>
              </w:rPr>
              <w:t>929</w:t>
            </w:r>
          </w:p>
        </w:tc>
        <w:tc>
          <w:tcPr>
            <w:tcW w:w="1220" w:type="dxa"/>
            <w:vAlign w:val="bottom"/>
          </w:tcPr>
          <w:p>
            <w:pPr>
              <w:jc w:val="right"/>
              <w:ind w:right="252"/>
              <w:spacing w:after="0"/>
              <w:rPr>
                <w:sz w:val="20"/>
                <w:szCs w:val="20"/>
                <w:color w:val="auto"/>
              </w:rPr>
            </w:pPr>
            <w:r>
              <w:rPr>
                <w:rFonts w:ascii="Arial" w:cs="Arial" w:eastAsia="Arial" w:hAnsi="Arial"/>
                <w:sz w:val="14"/>
                <w:szCs w:val="14"/>
                <w:color w:val="auto"/>
              </w:rPr>
              <w:t>2749</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3678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7.20%</w:t>
            </w:r>
          </w:p>
        </w:tc>
        <w:tc>
          <w:tcPr>
            <w:tcW w:w="1220" w:type="dxa"/>
            <w:vAlign w:val="bottom"/>
          </w:tcPr>
          <w:p>
            <w:pPr>
              <w:jc w:val="right"/>
              <w:ind w:right="152"/>
              <w:spacing w:after="0"/>
              <w:rPr>
                <w:sz w:val="20"/>
                <w:szCs w:val="20"/>
                <w:color w:val="auto"/>
              </w:rPr>
            </w:pPr>
            <w:r>
              <w:rPr>
                <w:rFonts w:ascii="Arial" w:cs="Arial" w:eastAsia="Arial" w:hAnsi="Arial"/>
                <w:sz w:val="14"/>
                <w:szCs w:val="14"/>
                <w:color w:val="auto"/>
              </w:rPr>
              <w:t>21.40%</w:t>
            </w:r>
          </w:p>
        </w:tc>
        <w:tc>
          <w:tcPr>
            <w:tcW w:w="960" w:type="dxa"/>
            <w:vAlign w:val="bottom"/>
          </w:tcPr>
          <w:p>
            <w:pPr>
              <w:jc w:val="right"/>
              <w:spacing w:after="0"/>
              <w:rPr>
                <w:sz w:val="20"/>
                <w:szCs w:val="20"/>
                <w:color w:val="auto"/>
              </w:rPr>
            </w:pPr>
            <w:r>
              <w:rPr>
                <w:rFonts w:ascii="Arial" w:cs="Arial" w:eastAsia="Arial" w:hAnsi="Arial"/>
                <w:sz w:val="14"/>
                <w:szCs w:val="14"/>
                <w:color w:val="auto"/>
              </w:rPr>
              <w:t>28.60%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w:t>
            </w:r>
          </w:p>
        </w:tc>
        <w:tc>
          <w:tcPr>
            <w:tcW w:w="1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US$ mm</w:t>
            </w:r>
          </w:p>
        </w:tc>
        <w:tc>
          <w:tcPr>
            <w:tcW w:w="11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72.8</w:t>
            </w:r>
          </w:p>
        </w:tc>
        <w:tc>
          <w:tcPr>
            <w:tcW w:w="12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149.5</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222.3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9.10%</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18.70%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291465</wp:posOffset>
            </wp:positionV>
            <wp:extent cx="16465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right="4360" w:firstLine="2"/>
        <w:spacing w:after="0" w:line="440" w:lineRule="auto"/>
        <w:tabs>
          <w:tab w:leader="none" w:pos="1093" w:val="left"/>
        </w:tabs>
        <w:numPr>
          <w:ilvl w:val="0"/>
          <w:numId w:val="9"/>
        </w:numPr>
        <w:rPr>
          <w:rFonts w:ascii="Arial" w:cs="Arial" w:eastAsia="Arial" w:hAnsi="Arial"/>
          <w:sz w:val="18"/>
          <w:szCs w:val="18"/>
          <w:color w:val="auto"/>
        </w:rPr>
      </w:pPr>
      <w:r>
        <w:rPr>
          <w:rFonts w:ascii="Arial" w:cs="Arial" w:eastAsia="Arial" w:hAnsi="Arial"/>
          <w:sz w:val="18"/>
          <w:szCs w:val="18"/>
          <w:color w:val="auto"/>
        </w:rPr>
        <w:t>Figures as of september 2006. Salaries are estimated over july and august collection. Source: SBS.</w:t>
      </w:r>
    </w:p>
    <w:p>
      <w:pPr>
        <w:spacing w:after="0" w:line="3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VI. EL PACIFICO PERUANO SUIZA AND SUBSIDIARIES (PPS)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Results obtained by PPS for 3Q06 show a continued recovery from 2005, which was characterized by higher claims and business management problems. This improvement led to better Underwriting Results and Net income, which were above those reported in 2Q06.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Net Income</w:t>
      </w:r>
    </w:p>
    <w:p>
      <w:pPr>
        <w:spacing w:after="0" w:line="23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Net consolidated income before minority interest for 3Q06 reached US$ 6.6 million, (US$ 6.1 million in 2Q06), showing an increase of 8% QoQ, and 80% with respect to the US$ 3.7 million reported in 3Q05. However, Credicorp’s contribution for 3Q06 (after consolidated adjustments and minority interest of Credicorp), reached US$ 4.6 million, 68% higher than the US$ 2.7 million obtained in 2Q06 and 91% above the contribution in 3Q05.</w:t>
      </w:r>
    </w:p>
    <w:p>
      <w:pPr>
        <w:spacing w:after="0" w:line="16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These improved results represent the recovery in earnings within the Health (EPS) business, which reached net income of US$ 1.3 million in 3Q06 after reporting a loss of US$ 353 thousand in 3Q05. In addition, there was an important increase of 67% (3Q06 vs. 3Q05) in net income within the Property &amp; Casualty business (PPS) as well as an increase of 12% in net income in the Life Insurance (PV)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VI.2 Revenue and Operating Expenses</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3Q06, earnings related to Total Premiums increased 8% compared to 3Q05. Technical Reserves in the Life Insurance business decreased significantly due to a reduction in Life Annuities premiums, leading to a decrease in the technical reserve of US$ 2.7 million. In addition, the Net Earned Loss Ratio (NEL) reached 68.5%, 6.6 pp lower than 3Q05, which led to 86% increase in the underwriting result compared to 3Q05. On the other hand, despite an increase in operating expenses, the ratio of expenses to Net Premiums Earned decreased from 24.5% in 3Q05 to 23% in 3Q06 best explained by an increase of 16% in net premiums earned.</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Net Premiums Earned </w:t>
      </w:r>
      <w:r>
        <w:rPr>
          <w:rFonts w:ascii="Arial" w:cs="Arial" w:eastAsia="Arial" w:hAnsi="Arial"/>
          <w:sz w:val="18"/>
          <w:szCs w:val="18"/>
          <w:color w:val="auto"/>
        </w:rPr>
        <w:t>reached US$ 67.4 million, 16% higher than 3Q05. This is the result of an 8% increase in</w:t>
      </w:r>
      <w:r>
        <w:rPr>
          <w:rFonts w:ascii="Arial" w:cs="Arial" w:eastAsia="Arial" w:hAnsi="Arial"/>
          <w:sz w:val="18"/>
          <w:szCs w:val="18"/>
          <w:b w:val="1"/>
          <w:bCs w:val="1"/>
          <w:i w:val="1"/>
          <w:iCs w:val="1"/>
          <w:color w:val="auto"/>
        </w:rPr>
        <w:t xml:space="preserve"> Total Premiums</w:t>
      </w:r>
      <w:r>
        <w:rPr>
          <w:rFonts w:ascii="Arial" w:cs="Arial" w:eastAsia="Arial" w:hAnsi="Arial"/>
          <w:sz w:val="18"/>
          <w:szCs w:val="18"/>
          <w:color w:val="auto"/>
        </w:rPr>
        <w:t>, fueled mostly by an 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the P&amp;C business (PPS), mainly in Fire, Automotive and Transportation. Also contributing to this growth was the performance of Health (PS) which grew 4.8% as well as Life (PV), which increased 5.6%.</w:t>
      </w:r>
    </w:p>
    <w:p>
      <w:pPr>
        <w:spacing w:after="0" w:line="194"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 xml:space="preserve">It is important to note that the decrease of 10% in </w:t>
      </w:r>
      <w:r>
        <w:rPr>
          <w:rFonts w:ascii="Arial" w:cs="Arial" w:eastAsia="Arial" w:hAnsi="Arial"/>
          <w:sz w:val="18"/>
          <w:szCs w:val="18"/>
          <w:b w:val="1"/>
          <w:bCs w:val="1"/>
          <w:i w:val="1"/>
          <w:iCs w:val="1"/>
          <w:color w:val="auto"/>
        </w:rPr>
        <w:t>Reserves</w:t>
      </w:r>
      <w:r>
        <w:rPr>
          <w:rFonts w:ascii="Arial" w:cs="Arial" w:eastAsia="Arial" w:hAnsi="Arial"/>
          <w:sz w:val="18"/>
          <w:szCs w:val="18"/>
          <w:color w:val="auto"/>
        </w:rPr>
        <w:t xml:space="preserve"> with respect to 3T05. Though P&amp;C business’s (PPS) grew 11% in total premiums leading to an increase in reserves of US$ 1.3 million, reserves in Life Insurance (PV) decreased by US$ 2.7 million mainly as a result of a drop in Life Annuities due to a market reduction thus resulting in the overall 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197485</wp:posOffset>
            </wp:positionV>
            <wp:extent cx="65347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39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US$ MM</w:t>
            </w:r>
          </w:p>
        </w:tc>
        <w:tc>
          <w:tcPr>
            <w:tcW w:w="3860" w:type="dxa"/>
            <w:vAlign w:val="bottom"/>
          </w:tcPr>
          <w:p>
            <w:pPr>
              <w:jc w:val="right"/>
              <w:ind w:right="492"/>
              <w:spacing w:after="0"/>
              <w:rPr>
                <w:sz w:val="20"/>
                <w:szCs w:val="20"/>
                <w:color w:val="auto"/>
              </w:rPr>
            </w:pPr>
            <w:r>
              <w:rPr>
                <w:rFonts w:ascii="Arial" w:cs="Arial" w:eastAsia="Arial" w:hAnsi="Arial"/>
                <w:sz w:val="14"/>
                <w:szCs w:val="14"/>
                <w:b w:val="1"/>
                <w:bCs w:val="1"/>
                <w:color w:val="auto"/>
              </w:rPr>
              <w:t>3Q06</w:t>
            </w: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3Q05</w:t>
            </w: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Gross Premium</w:t>
            </w:r>
          </w:p>
        </w:tc>
        <w:tc>
          <w:tcPr>
            <w:tcW w:w="3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95.7</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88.6</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Retained Premium</w:t>
            </w:r>
          </w:p>
        </w:tc>
        <w:tc>
          <w:tcPr>
            <w:tcW w:w="38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80.2</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72.4</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Adjustments</w:t>
            </w:r>
          </w:p>
        </w:tc>
        <w:tc>
          <w:tcPr>
            <w:tcW w:w="38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12.9</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14.4</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4"/>
                <w:szCs w:val="14"/>
                <w:b w:val="1"/>
                <w:bCs w:val="1"/>
                <w:color w:val="auto"/>
              </w:rPr>
              <w:t>Net Premiums Earned</w:t>
            </w:r>
          </w:p>
        </w:tc>
        <w:tc>
          <w:tcPr>
            <w:tcW w:w="3860" w:type="dxa"/>
            <w:vAlign w:val="bottom"/>
          </w:tcPr>
          <w:p>
            <w:pPr>
              <w:jc w:val="right"/>
              <w:ind w:right="192"/>
              <w:spacing w:after="0"/>
              <w:rPr>
                <w:sz w:val="20"/>
                <w:szCs w:val="20"/>
                <w:color w:val="auto"/>
              </w:rPr>
            </w:pPr>
            <w:r>
              <w:rPr>
                <w:rFonts w:ascii="Arial" w:cs="Arial" w:eastAsia="Arial" w:hAnsi="Arial"/>
                <w:sz w:val="14"/>
                <w:szCs w:val="14"/>
                <w:color w:val="auto"/>
              </w:rPr>
              <w:t>67.4</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58.0</w:t>
            </w: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 xml:space="preserve">Net Earned Loss Ratio (NEL) </w:t>
      </w:r>
      <w:r>
        <w:rPr>
          <w:rFonts w:ascii="Arial" w:cs="Arial" w:eastAsia="Arial" w:hAnsi="Arial"/>
          <w:sz w:val="18"/>
          <w:szCs w:val="18"/>
          <w:color w:val="auto"/>
        </w:rPr>
        <w:t>for 3Q06 was 68.5%, 6.6 percentage points below 3Q05 and 10.0 percentage points below previous 2Q06. Although NEL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Insurance fell to 56% in this quarter, 5.0 points below 3Q05, a stronger effect in the general NEL ratio comes from the decrease in the Reserve Adjustments in Pacifico Vida, which decreased the segment’s ratio to 75% compared to 90% in 3Q05. The Health Segment (EPS) also had a favorable effect in the NEL ratio, decreasing since it drops to 81% compared to 84.5% in 3Q05.</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Net Claims </w:t>
      </w:r>
      <w:r>
        <w:rPr>
          <w:rFonts w:ascii="Arial" w:cs="Arial" w:eastAsia="Arial" w:hAnsi="Arial"/>
          <w:sz w:val="18"/>
          <w:szCs w:val="18"/>
          <w:color w:val="auto"/>
        </w:rPr>
        <w:t>reached US$ 46.1 millions, 5.8% higher than 3Q05 and 4.7% higher than 2Q06. However, the proportionately higher growth of net premiums earned</w:t>
      </w:r>
      <w:r>
        <w:rPr>
          <w:rFonts w:ascii="Arial" w:cs="Arial" w:eastAsia="Arial" w:hAnsi="Arial"/>
          <w:sz w:val="18"/>
          <w:szCs w:val="18"/>
          <w:i w:val="1"/>
          <w:iCs w:val="1"/>
          <w:color w:val="auto"/>
        </w:rPr>
        <w:t xml:space="preserve"> </w:t>
      </w:r>
      <w:r>
        <w:rPr>
          <w:rFonts w:ascii="Arial" w:cs="Arial" w:eastAsia="Arial" w:hAnsi="Arial"/>
          <w:sz w:val="18"/>
          <w:szCs w:val="18"/>
          <w:color w:val="auto"/>
        </w:rPr>
        <w:t>led to improved NEL ratios.</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Financial Income </w:t>
      </w:r>
      <w:r>
        <w:rPr>
          <w:rFonts w:ascii="Arial" w:cs="Arial" w:eastAsia="Arial" w:hAnsi="Arial"/>
          <w:sz w:val="18"/>
          <w:szCs w:val="18"/>
          <w:color w:val="auto"/>
        </w:rPr>
        <w:t>for 3Q06 reached US$ 6.6 million, 4.7% above 3Q05. This improvement is the result of increased returns achieved on investments via PPS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PV due to the expanded investment portfolio for both funds. </w:t>
      </w:r>
      <w:r>
        <w:rPr>
          <w:rFonts w:ascii="Arial" w:cs="Arial" w:eastAsia="Arial" w:hAnsi="Arial"/>
          <w:sz w:val="18"/>
          <w:szCs w:val="18"/>
          <w:b w:val="1"/>
          <w:bCs w:val="1"/>
          <w:i w:val="1"/>
          <w:iCs w:val="1"/>
          <w:color w:val="auto"/>
        </w:rPr>
        <w:t>Other Income</w:t>
      </w:r>
      <w:r>
        <w:rPr>
          <w:rFonts w:ascii="Arial" w:cs="Arial" w:eastAsia="Arial" w:hAnsi="Arial"/>
          <w:sz w:val="18"/>
          <w:szCs w:val="18"/>
          <w:color w:val="auto"/>
        </w:rPr>
        <w:t xml:space="preserve"> includes earnings on security sales, which was US$ 1.0 million higher than those recorded in 2Q06. In total, other income was 12% higher than the same period in 2005.</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 xml:space="preserve">Salaries and Employees Benefits </w:t>
      </w:r>
      <w:r>
        <w:rPr>
          <w:rFonts w:ascii="Arial" w:cs="Arial" w:eastAsia="Arial" w:hAnsi="Arial"/>
          <w:sz w:val="18"/>
          <w:szCs w:val="18"/>
          <w:color w:val="auto"/>
        </w:rPr>
        <w:t>grew 25% QoQ as a result of provisions for the profit sharing annual payment at PPS and PV.</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General Expenses and Other Operating Expenses </w:t>
      </w:r>
      <w:r>
        <w:rPr>
          <w:rFonts w:ascii="Arial" w:cs="Arial" w:eastAsia="Arial" w:hAnsi="Arial"/>
          <w:sz w:val="18"/>
          <w:szCs w:val="18"/>
          <w:color w:val="auto"/>
        </w:rPr>
        <w:t>decreased 11.6% QoQ, as expenses in 3Q06 normalized after different write-offs which amounted to US$ 2.0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2Q06, including the depreciation of PPS office building and certain losses from previous exercises.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VI.3 Business Lines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Total contribution to BAP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212725</wp:posOffset>
            </wp:positionV>
            <wp:extent cx="48964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jc w:val="center"/>
              <w:ind w:right="352"/>
              <w:spacing w:after="0"/>
              <w:rPr>
                <w:sz w:val="20"/>
                <w:szCs w:val="20"/>
                <w:color w:val="auto"/>
              </w:rPr>
            </w:pPr>
            <w:r>
              <w:rPr>
                <w:rFonts w:ascii="Arial" w:cs="Arial" w:eastAsia="Arial" w:hAnsi="Arial"/>
                <w:sz w:val="14"/>
                <w:szCs w:val="14"/>
                <w:b w:val="1"/>
                <w:bCs w:val="1"/>
                <w:color w:val="auto"/>
                <w:w w:val="96"/>
              </w:rPr>
              <w:t>PV</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91"/>
              </w:rPr>
              <w:t>(after</w:t>
            </w: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Adjustments</w:t>
            </w:r>
          </w:p>
        </w:tc>
        <w:tc>
          <w:tcPr>
            <w:tcW w:w="12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95"/>
              </w:rPr>
              <w:t>Minority</w:t>
            </w: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for</w:t>
            </w:r>
          </w:p>
        </w:tc>
        <w:tc>
          <w:tcPr>
            <w:tcW w:w="12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ind w:left="4320"/>
              <w:spacing w:after="0"/>
              <w:rPr>
                <w:sz w:val="20"/>
                <w:szCs w:val="20"/>
                <w:color w:val="auto"/>
              </w:rPr>
            </w:pPr>
            <w:r>
              <w:rPr>
                <w:rFonts w:ascii="Arial" w:cs="Arial" w:eastAsia="Arial" w:hAnsi="Arial"/>
                <w:sz w:val="14"/>
                <w:szCs w:val="14"/>
                <w:b w:val="1"/>
                <w:bCs w:val="1"/>
                <w:color w:val="auto"/>
                <w:w w:val="85"/>
              </w:rPr>
              <w:t>PPS</w:t>
            </w:r>
          </w:p>
        </w:tc>
        <w:tc>
          <w:tcPr>
            <w:tcW w:w="660" w:type="dxa"/>
            <w:vAlign w:val="bottom"/>
          </w:tcPr>
          <w:p>
            <w:pPr>
              <w:spacing w:after="0"/>
              <w:rPr>
                <w:sz w:val="15"/>
                <w:szCs w:val="15"/>
                <w:color w:val="auto"/>
              </w:rPr>
            </w:pPr>
          </w:p>
        </w:tc>
        <w:tc>
          <w:tcPr>
            <w:tcW w:w="1320" w:type="dxa"/>
            <w:vAlign w:val="bottom"/>
          </w:tcPr>
          <w:p>
            <w:pPr>
              <w:jc w:val="center"/>
              <w:ind w:right="352"/>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tcPr>
          <w:p>
            <w:pPr>
              <w:jc w:val="right"/>
              <w:ind w:right="592"/>
              <w:spacing w:after="0"/>
              <w:rPr>
                <w:sz w:val="20"/>
                <w:szCs w:val="20"/>
                <w:color w:val="auto"/>
              </w:rPr>
            </w:pPr>
            <w:r>
              <w:rPr>
                <w:rFonts w:ascii="Arial" w:cs="Arial" w:eastAsia="Arial" w:hAnsi="Arial"/>
                <w:sz w:val="14"/>
                <w:szCs w:val="14"/>
                <w:b w:val="1"/>
                <w:bCs w:val="1"/>
                <w:color w:val="auto"/>
              </w:rPr>
              <w:t>EPS</w:t>
            </w: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Net Income</w:t>
            </w: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85"/>
              </w:rPr>
              <w:t>Consolidation</w:t>
            </w:r>
          </w:p>
        </w:tc>
        <w:tc>
          <w:tcPr>
            <w:tcW w:w="12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 BAP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3Q05</w:t>
            </w:r>
          </w:p>
        </w:tc>
        <w:tc>
          <w:tcPr>
            <w:tcW w:w="6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1,502</w:t>
            </w:r>
          </w:p>
        </w:tc>
        <w:tc>
          <w:tcPr>
            <w:tcW w:w="13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1,554</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(353)</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2,703</w:t>
            </w:r>
          </w:p>
        </w:tc>
        <w:tc>
          <w:tcPr>
            <w:tcW w:w="1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(304)</w:t>
            </w:r>
          </w:p>
        </w:tc>
        <w:tc>
          <w:tcPr>
            <w:tcW w:w="1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b w:val="1"/>
                <w:bCs w:val="1"/>
                <w:color w:val="auto"/>
              </w:rPr>
              <w:t>4Q05</w:t>
            </w: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0"/>
              </w:rPr>
              <w:t>(3,741)</w:t>
            </w:r>
          </w:p>
        </w:tc>
        <w:tc>
          <w:tcPr>
            <w:tcW w:w="13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5,732</w:t>
            </w:r>
          </w:p>
        </w:tc>
        <w:tc>
          <w:tcPr>
            <w:tcW w:w="11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(1,283)</w:t>
            </w:r>
          </w:p>
        </w:tc>
        <w:tc>
          <w:tcPr>
            <w:tcW w:w="12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708</w:t>
            </w:r>
          </w:p>
        </w:tc>
        <w:tc>
          <w:tcPr>
            <w:tcW w:w="12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197</w:t>
            </w:r>
          </w:p>
        </w:tc>
        <w:tc>
          <w:tcPr>
            <w:tcW w:w="12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1Q06</w:t>
            </w:r>
          </w:p>
        </w:tc>
        <w:tc>
          <w:tcPr>
            <w:tcW w:w="6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w:t>
            </w:r>
          </w:p>
        </w:tc>
        <w:tc>
          <w:tcPr>
            <w:tcW w:w="13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1,459</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1,433</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2,941</w:t>
            </w:r>
          </w:p>
        </w:tc>
        <w:tc>
          <w:tcPr>
            <w:tcW w:w="1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(252)</w:t>
            </w:r>
          </w:p>
        </w:tc>
        <w:tc>
          <w:tcPr>
            <w:tcW w:w="1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b w:val="1"/>
                <w:bCs w:val="1"/>
                <w:color w:val="auto"/>
              </w:rPr>
              <w:t>2Q06</w:t>
            </w: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2,303</w:t>
            </w:r>
          </w:p>
        </w:tc>
        <w:tc>
          <w:tcPr>
            <w:tcW w:w="13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2,231</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204</w:t>
            </w:r>
          </w:p>
        </w:tc>
        <w:tc>
          <w:tcPr>
            <w:tcW w:w="12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4,738</w:t>
            </w:r>
          </w:p>
        </w:tc>
        <w:tc>
          <w:tcPr>
            <w:tcW w:w="12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(2,008)</w:t>
            </w:r>
          </w:p>
        </w:tc>
        <w:tc>
          <w:tcPr>
            <w:tcW w:w="12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3Q06</w:t>
            </w:r>
          </w:p>
        </w:tc>
        <w:tc>
          <w:tcPr>
            <w:tcW w:w="6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2,500</w:t>
            </w:r>
          </w:p>
        </w:tc>
        <w:tc>
          <w:tcPr>
            <w:tcW w:w="13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1,740</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1,278</w:t>
            </w:r>
          </w:p>
        </w:tc>
        <w:tc>
          <w:tcPr>
            <w:tcW w:w="12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5,519</w:t>
            </w:r>
          </w:p>
        </w:tc>
        <w:tc>
          <w:tcPr>
            <w:tcW w:w="1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(933)</w:t>
            </w:r>
          </w:p>
        </w:tc>
        <w:tc>
          <w:tcPr>
            <w:tcW w:w="1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b w:val="1"/>
                <w:bCs w:val="1"/>
                <w:color w:val="auto"/>
              </w:rPr>
              <w:t>Change 3Q06/2Q06</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-22%</w:t>
            </w: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527%</w:t>
            </w:r>
          </w:p>
        </w:tc>
        <w:tc>
          <w:tcPr>
            <w:tcW w:w="1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2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 3Q06/3Q05</w:t>
            </w:r>
          </w:p>
        </w:tc>
        <w:tc>
          <w:tcPr>
            <w:tcW w:w="6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67%</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w:t>
            </w:r>
          </w:p>
        </w:tc>
        <w:tc>
          <w:tcPr>
            <w:tcW w:w="11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462%</w:t>
            </w:r>
          </w:p>
        </w:tc>
        <w:tc>
          <w:tcPr>
            <w:tcW w:w="12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104%</w:t>
            </w: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&amp; Casualty (PPS)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Premiums for this segment dropped 4.5% QoQ, though were still 11% higher YoY.</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Underwriting Results were flat QoQ, which together with a slight reduction in costs and a still low claims ratio, led to Net Earnings for PPS ,of US$ 2.5 million, 8.6% higher QoQ, a significant and consistent improvement.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(PV)</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Total Premiums increased 4.4% QoQ and 5.6% YoY, with underwriting results significantly better for 3Q06 at US$ 1.4 million, i.e. US$ 1.8 million above 3Q05. Financial income was also better this quarter. However, increased expenses and a US$ 2.5 million expense for profit sharing resulted in a contribution 22% below the previous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(EPS)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Premiums at EPS reflected 3.6% QoQ and 4.8% YoY. However, Net Earned Loss ratio improved to 81% vs. 84.5% in 2Q05, leading to Underwriting Result of US$ 2.3 million. Though this underwriting result was lower QoQ, in the absence of the extraordinary costs reported last quarter, earnings contribution was higher at US$ 1.3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4 Claims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Claims continue an improving trend with a 5.8% decrease YoY reaching US$ 46 million. NEL ratio was 68.5% for the Consolidated Insurance business. In General Insurance, the losses were 5% below 3Q05, while Life and Health were 15.0 and 3.5 points lower, respectively. Lower losses in General Insurance were due to reduced claims in the Fire, Civil Responsibility and Marine Hull businesses.</w:t>
      </w:r>
    </w:p>
    <w:p>
      <w:pPr>
        <w:spacing w:after="0" w:line="19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14" w:right="21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On the other hand, claims in the Life segment increased by US$ 1.1 million, basically due to claims in Individual Annuities and Disability and Survivor benefits.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VI.5 Investment Portfolio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reached US$ 9.9 million in 3Q06, 4.7% above the results for 3Q05, best explained by a larger administered portfolio.</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the other hand, the PPS portfolio increased 22% as a result of stock valuations and the purchase of commercial paper and bonds, which was in-line with the new investment policy approved by the Board of Directors in August 2006.</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consolidated administered Portfolio of Securities and Real Estate reached US$ 750 million as of September 30, 2006 compared to the US$ 623 million reported as of for September 30,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VI.6 Market Share</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poor results of PPS in 2005 were also reflected in its market share. Thus, throughout 2005, PPS lost an important participation in the different business segments, which could not yet be reversed.</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combined P&amp;C and Life markets up to September 30, 2006, reached US$ 835 million, reflecting 12.9% higher premiums compared to the previous year. Market share of total premiums for PPS and PV was 27.3% compared to 27.7% in September 2005. Market Share for P&amp;C was 30.2% lower than 30.4% as of September 2005 and for Life was 23.7% as of September 2006.</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Health fees in the Health Insurance market grew 10.6% YoY to a total US$ 104.8million as of September 2006. Health fees in Pacifico Salud (EPS) reported a market share of 55%.</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ECONOMIC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Peruvian economy showed a good development during the 3Q06, with growth rates over 9% in July and August, accumulating an advance of 7.25% for the year. Growth continue to be driven by the construction sector (+15.3%), along with private investment and good perspective regarding public investment. On the other hand, internal demand generate an advance in other non-primary sectors like commerce (+9.6%) and services (+7.7%), while among primary sectors, mining productions obtained not encouraging results (+1.7% in July and -1.5% in August), mainly due to minor mineral laws that have driven main mining companies to increase their exploration activities in order to find larger reserves and regain higher extraction levels observed in previous periods. Regarding expense, private investment has accelerated and is pushing demand, surpassing export, which has begun to slow down.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144145</wp:posOffset>
            </wp:positionV>
            <wp:extent cx="2315210" cy="12179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1521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Source: INEI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August 2006, the trade balance surplus continue growing reaching annualized terms of US$ 7,418 MM, versus US$ 5,260 MM at the end of 2005. Even though exports show a slight de-acceleration, they are still growing at an annual rate of over 30%, but only in terms of price, since in real terms this growth has stalled, mainly because of the decline in export volume of products such as oil (-9.2% between January and August regarding 2005) and mineral products such as zinc (-11.1%), tin (-7.3%) and copper (-0.8%). On the other hand, imports have been growing at an annual rate of 20% due to higher internal demand. The most dynamic component of this growth so far in 2006 are imports of capital assets (+33.5%), specifically the ones destined towards construction (+46.4%) and also for industry (+30.6%) and transport equipment (+40.8%), while import of machinery destined fro agriculture (-21.9%) has declined. International reserves have continued growing and reached US$ 15,175 MM in September (US$ 14,097 MM at the close of 2005).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144145</wp:posOffset>
            </wp:positionV>
            <wp:extent cx="2590165" cy="1406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016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Source: BCRP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Prices and exchange rate</w:t>
      </w:r>
    </w:p>
    <w:p>
      <w:pPr>
        <w:spacing w:after="0" w:line="23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Accumulated inflation up to 3Q06 was 1.35% due to a rise and negative price variations in the last months, associated to a relative recovery of agriculture production (which has influenced the lower food prices) and to exchange rate stability. These two factors have helped the annualized terms of inflation reach</w:t>
      </w:r>
    </w:p>
    <w:p>
      <w:pPr>
        <w:jc w:val="both"/>
        <w:ind w:right="120"/>
        <w:spacing w:after="0" w:line="302" w:lineRule="auto"/>
        <w:rPr>
          <w:sz w:val="20"/>
          <w:szCs w:val="20"/>
          <w:color w:val="auto"/>
        </w:rPr>
      </w:pPr>
      <w:r>
        <w:rPr>
          <w:rFonts w:ascii="Arial" w:cs="Arial" w:eastAsia="Arial" w:hAnsi="Arial"/>
          <w:sz w:val="16"/>
          <w:szCs w:val="16"/>
          <w:color w:val="auto"/>
        </w:rPr>
        <w:t>1.99%, within the range forecasted by the Central Bank of Peru. The downwards pressure of the exchange rate upon the conclusion of the presidential elections, have accentuated, so that in July, and specially August, the Central Bank of Peru has increased its intervention in the exchange market, buying foreign currency for an average daily amount of US$ 2,236 MM during the 3Q06, amount which represents 80% of the buying in 2005.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price index and Exchange rate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144145</wp:posOffset>
            </wp:positionV>
            <wp:extent cx="2718435" cy="1706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1843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Source: INEI, BCR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Aspects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Central Government Déficit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expressed in thousands of millions of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144145</wp:posOffset>
            </wp:positionV>
            <wp:extent cx="2555875" cy="14147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5587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 Negative indicates surplus</w:t>
      </w:r>
    </w:p>
    <w:p>
      <w:pPr>
        <w:spacing w:after="0" w:line="1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Source: BCR</w:t>
      </w:r>
    </w:p>
    <w:p>
      <w:pPr>
        <w:spacing w:after="0" w:line="21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Central government operations have continued improving, so that since April, surplus levels have been reached (S/. 2,786 MM), situation that will be maintained throughout the year, according to official estimates. This has been principally due to a heavy increase in current revenues, especially income tax. This result was not only because of the regularization of taxes due, but because of greater tax revenue in the third category tax, associated to a continued economic growth and favorable international prices for mining companies. There has been a slight recovery of public expenses, due to approved salary increase and a still slow recovery of capital expenses. This way, more resources than the foreseen are now available, so the challenge for the new government will be to apply their announced politics of infrastructure and decentralization, but staying in control over the expense rate to avoid a deterioration fo the fiscal results once the expansive phase of the economic cycle is over.</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Banking System</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As of September, multiple banking outstanding loans reached US$ 14,628 MM, which represents an increase of 22.5% compared to the same month in 2005, and explained by the higher consumer loans (+35.3%), small companies (+30.4%) and mortgages (+17.3%), even though commercial loans, which increased in 20.4% showed significant dynamism. Such dynamism showed an important reduction of matured loans, which reached a record level of 1.86% of the gross total.</w:t>
      </w:r>
    </w:p>
    <w:p>
      <w:pPr>
        <w:spacing w:after="0" w:line="16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In the same period, loans in US$ Dollars grew only 11.3%, while loans in Nuevos Soles grew at a greater rate (+54.7%), which translates in the continuing process of de-dollarization of the loan portfolio which has been observed in recent years (with it, US$ Dollar loans represent 74.1% as of September 2005 against 67.3% as of September 2006) presented in a more volatile foreign exchange context (during election period) of relative increase in foreign exchange loans for local currency loans, even long-term loans, such as the </w:t>
      </w:r>
      <w:r>
        <w:rPr>
          <w:rFonts w:ascii="Arial" w:cs="Arial" w:eastAsia="Arial" w:hAnsi="Arial"/>
          <w:sz w:val="16"/>
          <w:szCs w:val="16"/>
          <w:i w:val="1"/>
          <w:iCs w:val="1"/>
          <w:color w:val="auto"/>
        </w:rPr>
        <w:t>“Mi Vivienda”</w:t>
      </w:r>
      <w:r>
        <w:rPr>
          <w:rFonts w:ascii="Arial" w:cs="Arial" w:eastAsia="Arial" w:hAnsi="Arial"/>
          <w:sz w:val="16"/>
          <w:szCs w:val="16"/>
          <w:color w:val="auto"/>
        </w:rPr>
        <w:t xml:space="preserve"> costs of loans. The loan rate in Soles reached 23.9% on 3Q06 (25.6% on 3Q05), while the loan rate in US$ Dollars remained at 10.6%, a similar level was observed in the past months (10% on 3Q05).</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the other hand, deposits reached in September US$ 17,131 MM, which indicates a growth annual rate of 14.3% compared to September 2005. In this period, the dollarization of deposits almost maintained its stability, reducing from 64.8% to 64.4%, which reflects the preference for dollars as saving instrument. The deposit rate in Soles increased from 2.6% on September 2005 to 3.3% on September 2006, while deposit rate in US$ Dollars, for the same period, increased from 1.6% to 2.1%.</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Main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jc w:val="right"/>
              <w:ind w:right="512"/>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2006</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1Q</w:t>
            </w: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2Q</w:t>
            </w: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3Q</w:t>
            </w:r>
          </w:p>
        </w:tc>
        <w:tc>
          <w:tcPr>
            <w:tcW w:w="1020" w:type="dxa"/>
            <w:vAlign w:val="bottom"/>
          </w:tcPr>
          <w:p>
            <w:pPr>
              <w:jc w:val="right"/>
              <w:ind w:right="472"/>
              <w:spacing w:after="0"/>
              <w:rPr>
                <w:sz w:val="20"/>
                <w:szCs w:val="20"/>
                <w:color w:val="auto"/>
              </w:rPr>
            </w:pPr>
            <w:r>
              <w:rPr>
                <w:rFonts w:ascii="Arial" w:cs="Arial" w:eastAsia="Arial" w:hAnsi="Arial"/>
                <w:sz w:val="14"/>
                <w:szCs w:val="14"/>
                <w:b w:val="1"/>
                <w:bCs w:val="1"/>
                <w:color w:val="auto"/>
              </w:rPr>
              <w:t>4Q</w:t>
            </w: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22"/>
                <w:szCs w:val="22"/>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1Q</w:t>
            </w: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2Q</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 (F)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(US$ MM)</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18,208</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21,363</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19,475</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20,314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79,360</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20,288</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24,193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90,921</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5.9</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5.9</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6.3</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7.7</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7.3</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per-cápita (US$)</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2,610</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2,724</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2,809</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2,871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2,871</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2,947</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3,049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3,290</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Domestic demand (var. %)</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4.1</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4.6</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6.1</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7.1</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10.3</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7.2</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Consumption (var. %)</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4.0</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4.4</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4.5</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5.3</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860"/>
              <w:spacing w:after="0" w:line="149" w:lineRule="exact"/>
              <w:rPr>
                <w:sz w:val="20"/>
                <w:szCs w:val="20"/>
                <w:color w:val="auto"/>
              </w:rPr>
            </w:pPr>
            <w:r>
              <w:rPr>
                <w:rFonts w:ascii="Arial" w:cs="Arial" w:eastAsia="Arial" w:hAnsi="Arial"/>
                <w:sz w:val="14"/>
                <w:szCs w:val="14"/>
                <w:color w:val="auto"/>
              </w:rPr>
              <w:t>Private Investment (var. %)</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6.3</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12.3</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14.7</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19.8</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22.6</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15.8</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CPI (annual change, %)</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1.9</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2.5</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3.26</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3.25</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3.34</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3.43</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3.43</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3.36</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3.26</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Devaluation (annual change, %)</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-5.8</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-6.3</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0.1</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2.9</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3.26</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3.26</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3.27</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3.39</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3.34</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3.29</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Non-Financial Public Sector (% of GDP)</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2.3</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2.7</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-0.6</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3.9</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tcPr>
          <w:p>
            <w:pPr>
              <w:ind w:left="420"/>
              <w:spacing w:after="0" w:line="138" w:lineRule="exact"/>
              <w:rPr>
                <w:sz w:val="20"/>
                <w:szCs w:val="20"/>
                <w:color w:val="auto"/>
              </w:rPr>
            </w:pPr>
            <w:r>
              <w:rPr>
                <w:rFonts w:ascii="Arial" w:cs="Arial" w:eastAsia="Arial" w:hAnsi="Arial"/>
                <w:sz w:val="14"/>
                <w:szCs w:val="14"/>
                <w:color w:val="auto"/>
              </w:rPr>
              <w:t>Central government current revenues (% of</w:t>
            </w: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tcPr>
          <w:p>
            <w:pPr>
              <w:ind w:left="640"/>
              <w:spacing w:after="0" w:line="159" w:lineRule="exact"/>
              <w:rPr>
                <w:sz w:val="20"/>
                <w:szCs w:val="20"/>
                <w:color w:val="auto"/>
              </w:rPr>
            </w:pPr>
            <w:r>
              <w:rPr>
                <w:rFonts w:ascii="Arial" w:cs="Arial" w:eastAsia="Arial" w:hAnsi="Arial"/>
                <w:sz w:val="14"/>
                <w:szCs w:val="14"/>
                <w:color w:val="auto"/>
              </w:rPr>
              <w:t>GDP)</w:t>
            </w:r>
          </w:p>
        </w:tc>
        <w:tc>
          <w:tcPr>
            <w:tcW w:w="112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15.8</w:t>
            </w:r>
          </w:p>
        </w:tc>
        <w:tc>
          <w:tcPr>
            <w:tcW w:w="980" w:type="dxa"/>
            <w:vAlign w:val="bottom"/>
          </w:tcPr>
          <w:p>
            <w:pPr>
              <w:jc w:val="right"/>
              <w:ind w:right="172"/>
              <w:spacing w:after="0" w:line="159" w:lineRule="exact"/>
              <w:rPr>
                <w:sz w:val="20"/>
                <w:szCs w:val="20"/>
                <w:color w:val="auto"/>
              </w:rPr>
            </w:pPr>
            <w:r>
              <w:rPr>
                <w:rFonts w:ascii="Arial" w:cs="Arial" w:eastAsia="Arial" w:hAnsi="Arial"/>
                <w:sz w:val="14"/>
                <w:szCs w:val="14"/>
                <w:color w:val="auto"/>
              </w:rPr>
              <w:t>16.2</w:t>
            </w:r>
          </w:p>
        </w:tc>
        <w:tc>
          <w:tcPr>
            <w:tcW w:w="110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15.4</w:t>
            </w:r>
          </w:p>
        </w:tc>
        <w:tc>
          <w:tcPr>
            <w:tcW w:w="1020" w:type="dxa"/>
            <w:vAlign w:val="bottom"/>
          </w:tcPr>
          <w:p>
            <w:pPr>
              <w:jc w:val="right"/>
              <w:ind w:right="212"/>
              <w:spacing w:after="0" w:line="159" w:lineRule="exact"/>
              <w:rPr>
                <w:sz w:val="20"/>
                <w:szCs w:val="20"/>
                <w:color w:val="auto"/>
              </w:rPr>
            </w:pPr>
            <w:r>
              <w:rPr>
                <w:rFonts w:ascii="Arial" w:cs="Arial" w:eastAsia="Arial" w:hAnsi="Arial"/>
                <w:sz w:val="14"/>
                <w:szCs w:val="14"/>
                <w:color w:val="auto"/>
              </w:rPr>
              <w:t>15.4</w:t>
            </w:r>
          </w:p>
        </w:tc>
        <w:tc>
          <w:tcPr>
            <w:tcW w:w="780" w:type="dxa"/>
            <w:vAlign w:val="bottom"/>
            <w:vMerge w:val="continue"/>
          </w:tcPr>
          <w:p>
            <w:pPr>
              <w:spacing w:after="0"/>
              <w:rPr>
                <w:sz w:val="13"/>
                <w:szCs w:val="13"/>
                <w:color w:val="auto"/>
              </w:rPr>
            </w:pPr>
          </w:p>
        </w:tc>
        <w:tc>
          <w:tcPr>
            <w:tcW w:w="124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17.8</w:t>
            </w:r>
          </w:p>
        </w:tc>
        <w:tc>
          <w:tcPr>
            <w:tcW w:w="98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18.3</w:t>
            </w:r>
          </w:p>
        </w:tc>
        <w:tc>
          <w:tcPr>
            <w:tcW w:w="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 Income (% of GDP)</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13.9</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14.2</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13.1</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15.2</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16.4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860"/>
              <w:spacing w:after="0" w:line="149" w:lineRule="exact"/>
              <w:rPr>
                <w:sz w:val="20"/>
                <w:szCs w:val="20"/>
                <w:color w:val="auto"/>
              </w:rPr>
            </w:pPr>
            <w:r>
              <w:rPr>
                <w:rFonts w:ascii="Arial" w:cs="Arial" w:eastAsia="Arial" w:hAnsi="Arial"/>
                <w:sz w:val="14"/>
                <w:szCs w:val="14"/>
                <w:color w:val="auto"/>
              </w:rPr>
              <w:t>Non Tax Income (% of GDP)</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1.9</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2.2</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2.2</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2.6</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expenditures (% of GDP)</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12.0</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11.0</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13.3</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11.8</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 of GDP)</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0.8</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2.0</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0.8</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Balance (US$ MM)</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1,089</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1,059</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1,386</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1,726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5,260</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1,247</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2,147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8,175</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auto"/>
              </w:rPr>
              <w:t>Exports (US$ MM)</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3,749</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4,063</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4,544</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4,980</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17,336</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4,627</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5,769</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23,098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Imports (US$ MM)</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2,660</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3,004</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3,158</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3,254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12,076</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3,380</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3,622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14,923</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143</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142</w:t>
            </w:r>
          </w:p>
        </w:tc>
        <w:tc>
          <w:tcPr>
            <w:tcW w:w="11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380</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440</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1,105</w:t>
            </w:r>
          </w:p>
        </w:tc>
        <w:tc>
          <w:tcPr>
            <w:tcW w:w="12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-83</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596</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1,442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Account Balance (% of GDP)</w:t>
            </w:r>
          </w:p>
        </w:tc>
        <w:tc>
          <w:tcPr>
            <w:tcW w:w="11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0.8</w:t>
            </w:r>
          </w:p>
        </w:tc>
        <w:tc>
          <w:tcPr>
            <w:tcW w:w="9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0.7</w:t>
            </w:r>
          </w:p>
        </w:tc>
        <w:tc>
          <w:tcPr>
            <w:tcW w:w="110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-0.4</w:t>
            </w:r>
          </w:p>
        </w:tc>
        <w:tc>
          <w:tcPr>
            <w:tcW w:w="9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Source: BCR, INEI, Estimations: BCP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Safe Harbor for forward-looking statements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CREDICORP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 06/</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 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 2006</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2006</w:t>
            </w: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 2005</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 05</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20" w:type="dxa"/>
            <w:vAlign w:val="bottom"/>
            <w:shd w:val="clear" w:color="auto" w:fill="CCEEFF"/>
          </w:tcPr>
          <w:p>
            <w:pPr>
              <w:ind w:left="1420"/>
              <w:spacing w:after="0" w:line="149" w:lineRule="exact"/>
              <w:rPr>
                <w:sz w:val="20"/>
                <w:szCs w:val="20"/>
                <w:color w:val="auto"/>
              </w:rPr>
            </w:pPr>
            <w:r>
              <w:rPr>
                <w:rFonts w:ascii="Arial" w:cs="Arial" w:eastAsia="Arial" w:hAnsi="Arial"/>
                <w:sz w:val="14"/>
                <w:szCs w:val="14"/>
                <w:b w:val="1"/>
                <w:bCs w:val="1"/>
                <w:color w:val="auto"/>
              </w:rPr>
              <w:t>Assets</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Non-interest bearing</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447,091</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411,860</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308,701</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gridSpan w:val="2"/>
          </w:tcPr>
          <w:p>
            <w:pPr>
              <w:ind w:left="80"/>
              <w:spacing w:after="0"/>
              <w:rPr>
                <w:sz w:val="20"/>
                <w:szCs w:val="20"/>
                <w:color w:val="auto"/>
              </w:rPr>
            </w:pPr>
            <w:r>
              <w:rPr>
                <w:rFonts w:ascii="Arial" w:cs="Arial" w:eastAsia="Arial" w:hAnsi="Arial"/>
                <w:sz w:val="14"/>
                <w:szCs w:val="14"/>
                <w:color w:val="auto"/>
              </w:rPr>
              <w:t>Interest bearing</w:t>
            </w:r>
          </w:p>
        </w:tc>
        <w:tc>
          <w:tcPr>
            <w:tcW w:w="1180" w:type="dxa"/>
            <w:vAlign w:val="bottom"/>
          </w:tcPr>
          <w:p>
            <w:pPr>
              <w:jc w:val="right"/>
              <w:spacing w:after="0"/>
              <w:rPr>
                <w:sz w:val="20"/>
                <w:szCs w:val="20"/>
                <w:color w:val="auto"/>
              </w:rPr>
            </w:pPr>
            <w:r>
              <w:rPr>
                <w:rFonts w:ascii="Arial" w:cs="Arial" w:eastAsia="Arial" w:hAnsi="Arial"/>
                <w:sz w:val="14"/>
                <w:szCs w:val="14"/>
                <w:color w:val="auto"/>
              </w:rPr>
              <w:t>2,248,202</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2,845,909</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1,453,372</w:t>
            </w:r>
          </w:p>
        </w:tc>
        <w:tc>
          <w:tcPr>
            <w:tcW w:w="2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54.7%</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-21.0%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cash and due from banks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2,695,293</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3,257,769</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1,762,073</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70,534</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52,463</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88,829</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Loans</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5,592,231</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5,501,004</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4,651,259</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20.2%</w:t>
            </w:r>
          </w:p>
        </w:tc>
        <w:tc>
          <w:tcPr>
            <w:tcW w:w="13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4020" w:type="dxa"/>
            <w:vAlign w:val="bottom"/>
            <w:tcBorders>
              <w:top w:val="single" w:sz="8" w:color="CCEEFF"/>
            </w:tcBorders>
          </w:tcPr>
          <w:p>
            <w:pPr>
              <w:spacing w:after="0"/>
              <w:rPr>
                <w:sz w:val="8"/>
                <w:szCs w:val="8"/>
                <w:color w:val="auto"/>
              </w:rPr>
            </w:pPr>
          </w:p>
        </w:tc>
        <w:tc>
          <w:tcPr>
            <w:tcW w:w="1180" w:type="dxa"/>
            <w:vAlign w:val="bottom"/>
            <w:tcBorders>
              <w:top w:val="single" w:sz="8" w:color="CCEEFF"/>
              <w:bottom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160" w:type="dxa"/>
            <w:vAlign w:val="bottom"/>
            <w:tcBorders>
              <w:top w:val="single" w:sz="8" w:color="CCEEFF"/>
              <w:bottom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160" w:type="dxa"/>
            <w:vAlign w:val="bottom"/>
            <w:tcBorders>
              <w:top w:val="single" w:sz="8" w:color="CCEEFF"/>
              <w:bottom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180" w:type="dxa"/>
            <w:vAlign w:val="bottom"/>
            <w:tcBorders>
              <w:top w:val="single" w:sz="8" w:color="CCEEFF"/>
              <w:bottom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200" w:type="dxa"/>
            <w:vAlign w:val="bottom"/>
            <w:tcBorders>
              <w:top w:val="single" w:sz="8" w:color="CCEEFF"/>
              <w:bottom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5,504,991</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5,408,449</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4,533,513</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Past Due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87,240</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92,555</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117,746</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-25.9%</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Less - Reserve for possible loan losses</w:t>
            </w:r>
          </w:p>
        </w:tc>
        <w:tc>
          <w:tcPr>
            <w:tcW w:w="1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(188,198)</w:t>
            </w: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(198,228)</w:t>
            </w: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(202,985)</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Loans, net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5,404,033</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5,302,777</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4,448,274</w:t>
            </w:r>
          </w:p>
        </w:tc>
        <w:tc>
          <w:tcPr>
            <w:tcW w:w="2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21.5%</w:t>
            </w:r>
          </w:p>
        </w:tc>
        <w:tc>
          <w:tcPr>
            <w:tcW w:w="13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Investments securities available for sale</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2,803,636</w:t>
            </w:r>
          </w:p>
        </w:tc>
        <w:tc>
          <w:tcPr>
            <w:tcW w:w="20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2,418,583</w:t>
            </w:r>
          </w:p>
        </w:tc>
        <w:tc>
          <w:tcPr>
            <w:tcW w:w="20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2,761,967</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1.5%</w:t>
            </w:r>
          </w:p>
        </w:tc>
        <w:tc>
          <w:tcPr>
            <w:tcW w:w="13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37,880</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43,044</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27,989</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35.3%</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69,835</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62,580</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59,235</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239,705</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241,642</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238,511</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50,761</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36,173</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50,756</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486,987</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315,856</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363,567</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tcPr>
          <w:p>
            <w:pPr>
              <w:ind w:left="700"/>
              <w:spacing w:after="0" w:line="149" w:lineRule="exact"/>
              <w:rPr>
                <w:sz w:val="20"/>
                <w:szCs w:val="20"/>
                <w:color w:val="auto"/>
              </w:rPr>
            </w:pPr>
            <w:r>
              <w:rPr>
                <w:rFonts w:ascii="Arial" w:cs="Arial" w:eastAsia="Arial" w:hAnsi="Arial"/>
                <w:sz w:val="14"/>
                <w:szCs w:val="14"/>
                <w:b w:val="1"/>
                <w:bCs w:val="1"/>
                <w:color w:val="auto"/>
              </w:rPr>
              <w:t>Total Assets</w:t>
            </w: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11,858,664</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11,730,887</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9,801,202</w:t>
            </w:r>
          </w:p>
        </w:tc>
        <w:tc>
          <w:tcPr>
            <w:tcW w:w="20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21.0%</w:t>
            </w: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Non-interest bearing</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1,721,411</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1,788,809</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1,440,388</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gridSpan w:val="2"/>
          </w:tcPr>
          <w:p>
            <w:pPr>
              <w:ind w:left="80"/>
              <w:spacing w:after="0"/>
              <w:rPr>
                <w:sz w:val="20"/>
                <w:szCs w:val="20"/>
                <w:color w:val="auto"/>
              </w:rPr>
            </w:pPr>
            <w:r>
              <w:rPr>
                <w:rFonts w:ascii="Arial" w:cs="Arial" w:eastAsia="Arial" w:hAnsi="Arial"/>
                <w:sz w:val="14"/>
                <w:szCs w:val="14"/>
                <w:color w:val="auto"/>
              </w:rPr>
              <w:t>Interest bearing</w:t>
            </w:r>
          </w:p>
        </w:tc>
        <w:tc>
          <w:tcPr>
            <w:tcW w:w="1180" w:type="dxa"/>
            <w:vAlign w:val="bottom"/>
          </w:tcPr>
          <w:p>
            <w:pPr>
              <w:jc w:val="right"/>
              <w:spacing w:after="0"/>
              <w:rPr>
                <w:sz w:val="20"/>
                <w:szCs w:val="20"/>
                <w:color w:val="auto"/>
              </w:rPr>
            </w:pPr>
            <w:r>
              <w:rPr>
                <w:rFonts w:ascii="Arial" w:cs="Arial" w:eastAsia="Arial" w:hAnsi="Arial"/>
                <w:sz w:val="14"/>
                <w:szCs w:val="14"/>
                <w:color w:val="auto"/>
              </w:rPr>
              <w:t>6,253,175</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6,133,399</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5,285,108</w:t>
            </w:r>
          </w:p>
        </w:tc>
        <w:tc>
          <w:tcPr>
            <w:tcW w:w="2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18.3%</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Total deposits and Obligations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7,974,586</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7,922,208</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6,725,496</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924,499</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1,116,907</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463,054</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99.7%</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50,761</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36,173</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50,756</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528,258</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515,016</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448,234</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90,029</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91,226</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72,418</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33,502</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14,168</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27,350</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406,734</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409,563</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406,832</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445,090</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317,336</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331,739</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34.2%</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108,288</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92,306</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104,815</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b w:val="1"/>
                <w:bCs w:val="1"/>
                <w:color w:val="auto"/>
              </w:rPr>
              <w:t>Total liabilities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10,561,747</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10,514,903</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8,630,694</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w:t>
            </w:r>
          </w:p>
        </w:tc>
        <w:tc>
          <w:tcPr>
            <w:tcW w:w="1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1,296,917</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1,215,984</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1,170,508</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1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11,858,664</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11,730,887</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9,801,202</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21.0%</w:t>
            </w: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Contingent Credits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3,567,370</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3,218,616</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3,101,817</w:t>
            </w:r>
          </w:p>
        </w:tc>
        <w:tc>
          <w:tcPr>
            <w:tcW w:w="200" w:type="dxa"/>
            <w:vAlign w:val="bottom"/>
          </w:tcPr>
          <w:p>
            <w:pPr>
              <w:spacing w:after="0"/>
              <w:rPr>
                <w:sz w:val="15"/>
                <w:szCs w:val="15"/>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15.0%</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CREDICORP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Change</w:t>
            </w: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3Q06</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2Q06</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3Q05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3Q06/3Q05</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3Q06/2Q06</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Sept.06</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Sept.05</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Sept.06/Sept.05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Interest and dividend income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197,173</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199,779</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157,064</w:t>
            </w:r>
          </w:p>
        </w:tc>
        <w:tc>
          <w:tcPr>
            <w:tcW w:w="2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571,199</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447,150</w:t>
            </w:r>
          </w:p>
        </w:tc>
        <w:tc>
          <w:tcPr>
            <w:tcW w:w="20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(76,506)</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(69,769)</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(43,384)</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(205,545)</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(125,250)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and dividend income</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120,667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130,010</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113,679</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365,653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321,900</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9,795</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(251)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100.5%</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-3999.7%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5,997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10,086</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Fee income</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63,935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54,734</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51,246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174,218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151,102</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9,515</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11,393</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7,585</w:t>
            </w:r>
          </w:p>
        </w:tc>
        <w:tc>
          <w:tcPr>
            <w:tcW w:w="2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31,095</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21,053</w:t>
            </w:r>
          </w:p>
        </w:tc>
        <w:tc>
          <w:tcPr>
            <w:tcW w:w="20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7,241</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895.8%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12,857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ind w:left="420"/>
              <w:spacing w:after="0"/>
              <w:rPr>
                <w:sz w:val="20"/>
                <w:szCs w:val="20"/>
                <w:color w:val="auto"/>
              </w:rPr>
            </w:pPr>
            <w:r>
              <w:rPr>
                <w:rFonts w:ascii="Arial" w:cs="Arial" w:eastAsia="Arial" w:hAnsi="Arial"/>
                <w:sz w:val="14"/>
                <w:szCs w:val="14"/>
                <w:color w:val="auto"/>
              </w:rPr>
              <w:t>Other</w:t>
            </w:r>
          </w:p>
        </w:tc>
        <w:tc>
          <w:tcPr>
            <w:tcW w:w="820" w:type="dxa"/>
            <w:vAlign w:val="bottom"/>
          </w:tcPr>
          <w:p>
            <w:pPr>
              <w:jc w:val="right"/>
              <w:spacing w:after="0"/>
              <w:rPr>
                <w:sz w:val="20"/>
                <w:szCs w:val="20"/>
                <w:color w:val="auto"/>
              </w:rPr>
            </w:pPr>
            <w:r>
              <w:rPr>
                <w:rFonts w:ascii="Arial" w:cs="Arial" w:eastAsia="Arial" w:hAnsi="Arial"/>
                <w:sz w:val="14"/>
                <w:szCs w:val="14"/>
                <w:color w:val="auto"/>
              </w:rPr>
              <w:t>5,220</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5,720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6,541</w:t>
            </w: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820" w:type="dxa"/>
            <w:vAlign w:val="bottom"/>
          </w:tcPr>
          <w:p>
            <w:pPr>
              <w:jc w:val="right"/>
              <w:spacing w:after="0"/>
              <w:rPr>
                <w:sz w:val="20"/>
                <w:szCs w:val="20"/>
                <w:color w:val="auto"/>
              </w:rPr>
            </w:pPr>
            <w:r>
              <w:rPr>
                <w:rFonts w:ascii="Arial" w:cs="Arial" w:eastAsia="Arial" w:hAnsi="Arial"/>
                <w:sz w:val="14"/>
                <w:szCs w:val="14"/>
                <w:color w:val="auto"/>
              </w:rPr>
              <w:t>18,254</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16,962</w:t>
            </w:r>
          </w:p>
        </w:tc>
        <w:tc>
          <w:tcPr>
            <w:tcW w:w="20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85,286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72,513</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72,614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17.5%</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17.6%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236,424</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197,819</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premiums earned</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65,521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62,269</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57,176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186,521</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163,703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Net claims incurred</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(9,553)</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(9,215)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(9,042)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(32,429)</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(31,201)</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(36,585)</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(34,834)</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(34,549)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(105,692)</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(97,763)</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operating income, net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19,383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18,220</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13,584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42.7%</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48,400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34,739</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(61,676)</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(57,024)</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(49,557)</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(172,532)</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(146,882)</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general and tax expenses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(41,739)</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(38,503)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(36,546)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(116,961)</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(102,692)</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(10,115)</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(11,116)</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(9,743)</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(32,549)</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(29,415)</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Merger Expenses</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(271)</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(271)</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(35,504)</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(23,461)</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(32,350)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51.3%</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(81,345)</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(75,131)</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(149,305)</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(130,104)</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(128,195)</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16.5%</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14.8%</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(403,658)</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(354,119)</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tcPr>
          <w:p>
            <w:pPr>
              <w:spacing w:after="0" w:line="136" w:lineRule="exact"/>
              <w:rPr>
                <w:sz w:val="20"/>
                <w:szCs w:val="20"/>
                <w:color w:val="auto"/>
              </w:rPr>
            </w:pPr>
            <w:r>
              <w:rPr>
                <w:rFonts w:ascii="Arial" w:cs="Arial" w:eastAsia="Arial" w:hAnsi="Arial"/>
                <w:sz w:val="14"/>
                <w:szCs w:val="14"/>
                <w:b w:val="1"/>
                <w:bCs w:val="1"/>
                <w:color w:val="auto"/>
                <w:w w:val="99"/>
              </w:rPr>
              <w:t>Income before translation results,workers’ profit</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4"/>
                <w:szCs w:val="14"/>
                <w:b w:val="1"/>
                <w:bCs w:val="1"/>
                <w:color w:val="auto"/>
              </w:rPr>
              <w:t>sharing and income taxes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85,827</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90,387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76,569</w:t>
            </w:r>
          </w:p>
        </w:tc>
        <w:tc>
          <w:tcPr>
            <w:tcW w:w="2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12.1%</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-5.0%</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252,817</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210,424</w:t>
            </w:r>
          </w:p>
        </w:tc>
        <w:tc>
          <w:tcPr>
            <w:tcW w:w="2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(5,702)</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9,501</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(3,668)</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(3,669)</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(3,588)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(9,731)</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(8,182)</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(27,671)</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(21,924)</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(16,723)</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(74,134)</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(53,185)</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55,319</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68,539</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50,556</w:t>
            </w:r>
          </w:p>
        </w:tc>
        <w:tc>
          <w:tcPr>
            <w:tcW w:w="2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178,453</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145,389</w:t>
            </w:r>
          </w:p>
        </w:tc>
        <w:tc>
          <w:tcPr>
            <w:tcW w:w="20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4,105</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7,844</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51,321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64,434</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47,566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7.9%</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-20.4%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166,940</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137,545</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2" w:name="page33"/>
    <w:bookmarkEnd w:id="32"/>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CREDICORP LTD. AND SUBSISIARIES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212725</wp:posOffset>
            </wp:positionV>
            <wp:extent cx="39535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5"/>
                <w:szCs w:val="15"/>
                <w:color w:val="auto"/>
              </w:rPr>
            </w:pPr>
          </w:p>
        </w:tc>
        <w:tc>
          <w:tcPr>
            <w:tcW w:w="244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340" w:type="dxa"/>
            <w:vAlign w:val="bottom"/>
          </w:tcPr>
          <w:p>
            <w:pPr>
              <w:jc w:val="right"/>
              <w:ind w:right="612"/>
              <w:spacing w:after="0"/>
              <w:rPr>
                <w:sz w:val="20"/>
                <w:szCs w:val="20"/>
                <w:color w:val="auto"/>
              </w:rPr>
            </w:pPr>
            <w:r>
              <w:rPr>
                <w:rFonts w:ascii="Arial" w:cs="Arial" w:eastAsia="Arial" w:hAnsi="Arial"/>
                <w:sz w:val="14"/>
                <w:szCs w:val="14"/>
                <w:b w:val="1"/>
                <w:bCs w:val="1"/>
                <w:color w:val="auto"/>
              </w:rPr>
              <w:t>3Q06</w:t>
            </w: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3Q05</w:t>
            </w:r>
          </w:p>
        </w:tc>
        <w:tc>
          <w:tcPr>
            <w:tcW w:w="1260" w:type="dxa"/>
            <w:vAlign w:val="bottom"/>
          </w:tcPr>
          <w:p>
            <w:pPr>
              <w:jc w:val="right"/>
              <w:ind w:right="292"/>
              <w:spacing w:after="0"/>
              <w:rPr>
                <w:sz w:val="20"/>
                <w:szCs w:val="20"/>
                <w:color w:val="auto"/>
              </w:rPr>
            </w:pPr>
            <w:r>
              <w:rPr>
                <w:rFonts w:ascii="Arial" w:cs="Arial" w:eastAsia="Arial" w:hAnsi="Arial"/>
                <w:sz w:val="14"/>
                <w:szCs w:val="14"/>
                <w:b w:val="1"/>
                <w:bCs w:val="1"/>
                <w:color w:val="auto"/>
                <w:w w:val="95"/>
              </w:rPr>
              <w:t>September 06</w:t>
            </w:r>
          </w:p>
        </w:tc>
        <w:tc>
          <w:tcPr>
            <w:tcW w:w="1180" w:type="dxa"/>
            <w:vAlign w:val="bottom"/>
          </w:tcPr>
          <w:p>
            <w:pPr>
              <w:jc w:val="right"/>
              <w:ind w:right="212"/>
              <w:spacing w:after="0"/>
              <w:rPr>
                <w:sz w:val="20"/>
                <w:szCs w:val="20"/>
                <w:color w:val="auto"/>
              </w:rPr>
            </w:pPr>
            <w:r>
              <w:rPr>
                <w:rFonts w:ascii="Arial" w:cs="Arial" w:eastAsia="Arial" w:hAnsi="Arial"/>
                <w:sz w:val="14"/>
                <w:szCs w:val="14"/>
                <w:b w:val="1"/>
                <w:bCs w:val="1"/>
                <w:color w:val="auto"/>
                <w:w w:val="95"/>
              </w:rPr>
              <w:t>September 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4500" w:type="dxa"/>
            <w:vAlign w:val="bottom"/>
            <w:tcBorders>
              <w:bottom w:val="single" w:sz="8" w:color="CCEEFF"/>
            </w:tcBorders>
            <w:gridSpan w:val="4"/>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Net income per common share (US$ per share)(1)</w:t>
            </w:r>
          </w:p>
        </w:tc>
        <w:tc>
          <w:tcPr>
            <w:tcW w:w="134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0.64</w:t>
            </w:r>
          </w:p>
        </w:tc>
        <w:tc>
          <w:tcPr>
            <w:tcW w:w="128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0.81</w:t>
            </w:r>
          </w:p>
        </w:tc>
        <w:tc>
          <w:tcPr>
            <w:tcW w:w="114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0.60</w:t>
            </w:r>
          </w:p>
        </w:tc>
        <w:tc>
          <w:tcPr>
            <w:tcW w:w="126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2.09</w:t>
            </w:r>
          </w:p>
        </w:tc>
        <w:tc>
          <w:tcPr>
            <w:tcW w:w="11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3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4.88%</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5.28%</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5.76%</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3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1.74%</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2.21%</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1.98%</w:t>
            </w: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1.44%</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3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16.34%</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21.68%</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16.80%</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18.35%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No. of outstanding shares (millions)(4)</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79.76</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79.76</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79.76</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79.76</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3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Past due loans as a percentage of total loans</w:t>
            </w:r>
          </w:p>
        </w:tc>
        <w:tc>
          <w:tcPr>
            <w:tcW w:w="13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1.56%</w:t>
            </w:r>
          </w:p>
        </w:tc>
        <w:tc>
          <w:tcPr>
            <w:tcW w:w="12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1.68%</w:t>
            </w:r>
          </w:p>
        </w:tc>
        <w:tc>
          <w:tcPr>
            <w:tcW w:w="114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2.53%</w:t>
            </w:r>
          </w:p>
        </w:tc>
        <w:tc>
          <w:tcPr>
            <w:tcW w:w="12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1.56%</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3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215.72%</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214.17%</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172.39%</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215.72%</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3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3.37%</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3.65%</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4.36%</w:t>
            </w: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3.37%</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3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Oper. expense as a percent. of total income (5)</w:t>
            </w:r>
          </w:p>
        </w:tc>
        <w:tc>
          <w:tcPr>
            <w:tcW w:w="13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43.73%</w:t>
            </w:r>
          </w:p>
        </w:tc>
        <w:tc>
          <w:tcPr>
            <w:tcW w:w="12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41.27%</w:t>
            </w:r>
          </w:p>
        </w:tc>
        <w:tc>
          <w:tcPr>
            <w:tcW w:w="1140" w:type="dxa"/>
            <w:vAlign w:val="bottom"/>
          </w:tcPr>
          <w:p>
            <w:pPr>
              <w:jc w:val="right"/>
              <w:ind w:right="52"/>
              <w:spacing w:after="0" w:line="142" w:lineRule="exact"/>
              <w:rPr>
                <w:sz w:val="20"/>
                <w:szCs w:val="20"/>
                <w:color w:val="auto"/>
              </w:rPr>
            </w:pPr>
            <w:r>
              <w:rPr>
                <w:rFonts w:ascii="Arial" w:cs="Arial" w:eastAsia="Arial" w:hAnsi="Arial"/>
                <w:sz w:val="14"/>
                <w:szCs w:val="14"/>
                <w:color w:val="auto"/>
              </w:rPr>
              <w:t>41.73%</w:t>
            </w:r>
          </w:p>
        </w:tc>
        <w:tc>
          <w:tcPr>
            <w:tcW w:w="12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42.51%</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42.42%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assets(2)(3)(5)</w:t>
            </w:r>
          </w:p>
        </w:tc>
        <w:tc>
          <w:tcPr>
            <w:tcW w:w="13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3.85%</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3.65%</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3.98%</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 xml:space="preserve">Average balances (millions of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(3)</w:t>
            </w:r>
          </w:p>
        </w:tc>
        <w:tc>
          <w:tcPr>
            <w:tcW w:w="1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gridSpan w:val="4"/>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30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9,893.05</w:t>
            </w:r>
          </w:p>
        </w:tc>
        <w:tc>
          <w:tcPr>
            <w:tcW w:w="1280" w:type="dxa"/>
            <w:vAlign w:val="bottom"/>
            <w:tcBorders>
              <w:top w:val="single" w:sz="8" w:color="CCEEFF"/>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9,856.15</w:t>
            </w:r>
          </w:p>
        </w:tc>
        <w:tc>
          <w:tcPr>
            <w:tcW w:w="1140" w:type="dxa"/>
            <w:vAlign w:val="bottom"/>
            <w:tcBorders>
              <w:top w:val="single" w:sz="8" w:color="CCEEFF"/>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7,896.56</w:t>
            </w:r>
          </w:p>
        </w:tc>
        <w:tc>
          <w:tcPr>
            <w:tcW w:w="1260" w:type="dxa"/>
            <w:vAlign w:val="bottom"/>
            <w:tcBorders>
              <w:top w:val="single" w:sz="8" w:color="CCEEFF"/>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9,741.93</w:t>
            </w:r>
          </w:p>
        </w:tc>
        <w:tc>
          <w:tcPr>
            <w:tcW w:w="1180" w:type="dxa"/>
            <w:vAlign w:val="bottom"/>
            <w:tcBorders>
              <w:top w:val="single" w:sz="8" w:color="CCEEF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7,750.66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Total Assets</w:t>
            </w:r>
          </w:p>
        </w:tc>
        <w:tc>
          <w:tcPr>
            <w:tcW w:w="13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11,794.78</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11,677.23</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9,630.98</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11,602.91</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9,427.53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3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1,256.45</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1,188.62</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1,132.37</w:t>
            </w:r>
          </w:p>
        </w:tc>
        <w:tc>
          <w:tcPr>
            <w:tcW w:w="12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1,206.97</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1,086.86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Net Income attributed to BAP. Number of shares outstanding of 79.8 million in all periods.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left="580" w:right="2200" w:hanging="572"/>
        <w:spacing w:after="0" w:line="261"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premiums earned. Operating expense does not include Other expenses.</w:t>
      </w:r>
    </w:p>
    <w:p>
      <w:pPr>
        <w:spacing w:after="0" w:line="19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212725</wp:posOffset>
            </wp:positionV>
            <wp:extent cx="39535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ind w:left="940"/>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Sept. 06/</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Sept. 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 06</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 06</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Sept.05</w:t>
            </w:r>
          </w:p>
        </w:tc>
        <w:tc>
          <w:tcPr>
            <w:tcW w:w="1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Sept. 05</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240"/>
              <w:spacing w:after="0" w:line="149" w:lineRule="exact"/>
              <w:rPr>
                <w:sz w:val="20"/>
                <w:szCs w:val="20"/>
                <w:color w:val="auto"/>
              </w:rPr>
            </w:pPr>
            <w:r>
              <w:rPr>
                <w:rFonts w:ascii="Arial" w:cs="Arial" w:eastAsia="Arial" w:hAnsi="Arial"/>
                <w:sz w:val="14"/>
                <w:szCs w:val="14"/>
                <w:b w:val="1"/>
                <w:bCs w:val="1"/>
                <w:color w:val="auto"/>
              </w:rPr>
              <w:t>ASSETS</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4"/>
                <w:szCs w:val="14"/>
                <w:b w:val="1"/>
                <w:bCs w:val="1"/>
                <w:color w:val="auto"/>
              </w:rPr>
              <w:t>Cash and due from banks</w:t>
            </w:r>
          </w:p>
        </w:tc>
        <w:tc>
          <w:tcPr>
            <w:tcW w:w="1060" w:type="dxa"/>
            <w:vAlign w:val="bottom"/>
          </w:tcPr>
          <w:p>
            <w:pPr>
              <w:jc w:val="right"/>
              <w:spacing w:after="0"/>
              <w:rPr>
                <w:sz w:val="20"/>
                <w:szCs w:val="20"/>
                <w:color w:val="auto"/>
              </w:rPr>
            </w:pPr>
            <w:r>
              <w:rPr>
                <w:rFonts w:ascii="Arial" w:cs="Arial" w:eastAsia="Arial" w:hAnsi="Arial"/>
                <w:sz w:val="14"/>
                <w:szCs w:val="14"/>
                <w:color w:val="auto"/>
              </w:rPr>
              <w:t>2,452,360</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2,947,296</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1,666,248</w:t>
            </w:r>
          </w:p>
        </w:tc>
        <w:tc>
          <w:tcPr>
            <w:tcW w:w="1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47.2%</w:t>
            </w:r>
          </w:p>
        </w:tc>
        <w:tc>
          <w:tcPr>
            <w:tcW w:w="2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2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BCRP</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1,994,080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2,545,326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1,375,020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Deposits in other Banks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454,960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397,164</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287,597</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58.2%</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Interbanks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3,114</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2,888</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2,136</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45.8%</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67,817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41,897</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63,796</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4"/>
                <w:szCs w:val="14"/>
                <w:b w:val="1"/>
                <w:bCs w:val="1"/>
                <w:color w:val="auto"/>
              </w:rPr>
              <w:t>Loans</w:t>
            </w:r>
          </w:p>
        </w:tc>
        <w:tc>
          <w:tcPr>
            <w:tcW w:w="1060" w:type="dxa"/>
            <w:vAlign w:val="bottom"/>
          </w:tcPr>
          <w:p>
            <w:pPr>
              <w:jc w:val="right"/>
              <w:spacing w:after="0"/>
              <w:rPr>
                <w:sz w:val="20"/>
                <w:szCs w:val="20"/>
                <w:color w:val="auto"/>
              </w:rPr>
            </w:pPr>
            <w:r>
              <w:rPr>
                <w:rFonts w:ascii="Arial" w:cs="Arial" w:eastAsia="Arial" w:hAnsi="Arial"/>
                <w:sz w:val="14"/>
                <w:szCs w:val="14"/>
                <w:color w:val="auto"/>
              </w:rPr>
              <w:t>5,514,218</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5,385,246</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4,514,320</w:t>
            </w:r>
          </w:p>
        </w:tc>
        <w:tc>
          <w:tcPr>
            <w:tcW w:w="1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22.1%</w:t>
            </w:r>
          </w:p>
        </w:tc>
        <w:tc>
          <w:tcPr>
            <w:tcW w:w="2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2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5,430,468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5,296,554</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4,400,155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Past Due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83,750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88,692</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114,165</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Less - Reserve for possible loan losses</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(185,608)</w:t>
            </w: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(194,570)</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(200,068)</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5,328,609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5,190,676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4,314,251</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23.5%</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 &amp; permanent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1,357,617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1,074,966</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1,601,828</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187,808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194,392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202,410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50,761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36,173</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50,714</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272,564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233,991</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284,443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860"/>
              <w:spacing w:after="0" w:line="149" w:lineRule="exact"/>
              <w:rPr>
                <w:sz w:val="20"/>
                <w:szCs w:val="20"/>
                <w:color w:val="auto"/>
              </w:rPr>
            </w:pPr>
            <w:r>
              <w:rPr>
                <w:rFonts w:ascii="Arial" w:cs="Arial" w:eastAsia="Arial" w:hAnsi="Arial"/>
                <w:sz w:val="14"/>
                <w:szCs w:val="14"/>
                <w:b w:val="1"/>
                <w:bCs w:val="1"/>
                <w:color w:val="auto"/>
              </w:rPr>
              <w:t>Total Assets</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9,717,537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9,719,390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8,183,691</w:t>
            </w:r>
          </w:p>
        </w:tc>
        <w:tc>
          <w:tcPr>
            <w:tcW w:w="1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18.7%</w:t>
            </w:r>
          </w:p>
        </w:tc>
        <w:tc>
          <w:tcPr>
            <w:tcW w:w="20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102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4"/>
                <w:szCs w:val="14"/>
                <w:b w:val="1"/>
                <w:bCs w:val="1"/>
                <w:color w:val="auto"/>
              </w:rPr>
              <w:t>Deposits and obligations</w:t>
            </w:r>
          </w:p>
        </w:tc>
        <w:tc>
          <w:tcPr>
            <w:tcW w:w="1060" w:type="dxa"/>
            <w:vAlign w:val="bottom"/>
          </w:tcPr>
          <w:p>
            <w:pPr>
              <w:jc w:val="right"/>
              <w:spacing w:after="0"/>
              <w:rPr>
                <w:sz w:val="20"/>
                <w:szCs w:val="20"/>
                <w:color w:val="auto"/>
              </w:rPr>
            </w:pPr>
            <w:r>
              <w:rPr>
                <w:rFonts w:ascii="Arial" w:cs="Arial" w:eastAsia="Arial" w:hAnsi="Arial"/>
                <w:sz w:val="14"/>
                <w:szCs w:val="14"/>
                <w:color w:val="auto"/>
              </w:rPr>
              <w:t>7,455,066</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7,412,227</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6,191,786</w:t>
            </w:r>
          </w:p>
        </w:tc>
        <w:tc>
          <w:tcPr>
            <w:tcW w:w="1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c>
          <w:tcPr>
            <w:tcW w:w="2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20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Demand deposits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2,361,330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2,277,666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2,011,845</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Saving deposits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1,768,181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1,726,641</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1,587,334</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Time deposits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2,608,251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2,664,939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1,990,998</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Severance indemnity deposits (CTS)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684,988</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714,963</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578,442</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payable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32,317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28,018</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23,168</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507,526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732,961</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380,935</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432,114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426,330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428,551</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50,761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36,173</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50,714</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381,648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281,440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292,133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860"/>
              <w:spacing w:after="0" w:line="149" w:lineRule="exact"/>
              <w:rPr>
                <w:sz w:val="20"/>
                <w:szCs w:val="20"/>
                <w:color w:val="auto"/>
              </w:rPr>
            </w:pPr>
            <w:r>
              <w:rPr>
                <w:rFonts w:ascii="Arial" w:cs="Arial" w:eastAsia="Arial" w:hAnsi="Arial"/>
                <w:sz w:val="14"/>
                <w:szCs w:val="14"/>
                <w:b w:val="1"/>
                <w:bCs w:val="1"/>
                <w:color w:val="auto"/>
              </w:rPr>
              <w:t>Total liabilities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8,827,115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8,889,131</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7,344,118</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890,422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830,259</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839,573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stock</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364,706</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Reserves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242,889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242,889</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210,928</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Gains and Losses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46,428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39,102</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47,149</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56,337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56,337</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80,427</w:t>
            </w: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for the year</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180,062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127,225</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136,363</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9,717,537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9,719,390</w:t>
            </w:r>
          </w:p>
        </w:tc>
        <w:tc>
          <w:tcPr>
            <w:tcW w:w="1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8,183,691</w:t>
            </w:r>
          </w:p>
        </w:tc>
        <w:tc>
          <w:tcPr>
            <w:tcW w:w="18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18.7%</w:t>
            </w:r>
          </w:p>
        </w:tc>
        <w:tc>
          <w:tcPr>
            <w:tcW w:w="20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3,234,918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2,973,700</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2,817,670</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14.8%</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212725</wp:posOffset>
            </wp:positionV>
            <wp:extent cx="5394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 ended</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ind w:left="620"/>
              <w:spacing w:after="0"/>
              <w:rPr>
                <w:sz w:val="20"/>
                <w:szCs w:val="20"/>
                <w:color w:val="auto"/>
              </w:rPr>
            </w:pPr>
            <w:r>
              <w:rPr>
                <w:rFonts w:ascii="Arial" w:cs="Arial" w:eastAsia="Arial" w:hAnsi="Arial"/>
                <w:sz w:val="14"/>
                <w:szCs w:val="14"/>
                <w:b w:val="1"/>
                <w:bCs w:val="1"/>
                <w:color w:val="auto"/>
                <w:w w:val="89"/>
              </w:rPr>
              <w:t>Change</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3Q06/</w:t>
            </w: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3Q06/</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Sept. 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3Q06</w:t>
            </w: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2Q06</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3Q05</w:t>
            </w: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3Q05</w:t>
            </w: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2Q06</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 06</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 05</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Sept. 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420"/>
              <w:spacing w:after="0" w:line="149" w:lineRule="exact"/>
              <w:rPr>
                <w:sz w:val="20"/>
                <w:szCs w:val="20"/>
                <w:color w:val="auto"/>
              </w:rPr>
            </w:pPr>
            <w:r>
              <w:rPr>
                <w:rFonts w:ascii="Arial" w:cs="Arial" w:eastAsia="Arial" w:hAnsi="Arial"/>
                <w:sz w:val="14"/>
                <w:szCs w:val="14"/>
                <w:color w:val="auto"/>
              </w:rPr>
              <w:t>Interest and dividend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174,830</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174,360</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139,099</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506,475</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394,864</w:t>
            </w:r>
          </w:p>
        </w:tc>
        <w:tc>
          <w:tcPr>
            <w:tcW w:w="1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(67,767)</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(60,213)</w:t>
            </w: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(38,558)</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(180,464)</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(111,646)</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income</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107,063</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114,148</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100,541</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326,011</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283,218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b w:val="1"/>
                <w:bCs w:val="1"/>
                <w:color w:val="auto"/>
              </w:rPr>
              <w:t>Provision for loan losses, net of recoveries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7,392</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(1,312)</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2,976</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148.3%</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-663.3%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1,241</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5,189</w:t>
            </w:r>
          </w:p>
        </w:tc>
        <w:tc>
          <w:tcPr>
            <w:tcW w:w="1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420"/>
              <w:spacing w:after="0" w:line="149" w:lineRule="exact"/>
              <w:rPr>
                <w:sz w:val="20"/>
                <w:szCs w:val="20"/>
                <w:color w:val="auto"/>
              </w:rPr>
            </w:pPr>
            <w:r>
              <w:rPr>
                <w:rFonts w:ascii="Arial" w:cs="Arial" w:eastAsia="Arial" w:hAnsi="Arial"/>
                <w:sz w:val="14"/>
                <w:szCs w:val="14"/>
                <w:color w:val="auto"/>
              </w:rPr>
              <w:t>Banking services commissions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59,441</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55,399</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53,048</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170,148</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154,746</w:t>
            </w:r>
          </w:p>
        </w:tc>
        <w:tc>
          <w:tcPr>
            <w:tcW w:w="1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5"/>
              </w:rPr>
              <w:t>Net gain on foreign exchange transactions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7,636</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31,152</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20,979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3,112</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1,056</w:t>
            </w: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4,796</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3,513</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6,056</w:t>
            </w:r>
          </w:p>
        </w:tc>
        <w:tc>
          <w:tcPr>
            <w:tcW w:w="1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3,522</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4,639</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8,809</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 financial income</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74,176</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70,987</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70,119</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213,622</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191,209</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(46,370)</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(44,284)</w:t>
            </w: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(37,907)</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(131,743)</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(116,500)</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420"/>
              <w:spacing w:after="0" w:line="149" w:lineRule="exact"/>
              <w:rPr>
                <w:sz w:val="20"/>
                <w:szCs w:val="20"/>
                <w:color w:val="auto"/>
              </w:rPr>
            </w:pPr>
            <w:r>
              <w:rPr>
                <w:rFonts w:ascii="Arial" w:cs="Arial" w:eastAsia="Arial" w:hAnsi="Arial"/>
                <w:sz w:val="14"/>
                <w:szCs w:val="14"/>
                <w:color w:val="auto"/>
              </w:rPr>
              <w:t>Administrative expenses</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(36,756)</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(34,575)</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(33,073)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(103,963)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(95,014)</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(8,533)</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(8,877)</w:t>
            </w: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(8,778)</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(26,476)</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(26,713)</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tcPr>
          <w:p>
            <w:pPr>
              <w:ind w:left="420"/>
              <w:spacing w:after="0"/>
              <w:rPr>
                <w:sz w:val="20"/>
                <w:szCs w:val="20"/>
                <w:color w:val="auto"/>
              </w:rPr>
            </w:pPr>
            <w:r>
              <w:rPr>
                <w:rFonts w:ascii="Arial" w:cs="Arial" w:eastAsia="Arial" w:hAnsi="Arial"/>
                <w:sz w:val="14"/>
                <w:szCs w:val="14"/>
                <w:color w:val="auto"/>
              </w:rPr>
              <w:t>Other</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(21,007)</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(11,942)</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(19,418)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75.9%</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(43,301)</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(43,790)</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(112,666)</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(99,678)</w:t>
            </w: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(99,175)</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(305,482)</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(282,017)</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40" w:type="dxa"/>
            <w:vAlign w:val="bottom"/>
          </w:tcPr>
          <w:p>
            <w:pPr>
              <w:spacing w:after="0" w:line="136" w:lineRule="exact"/>
              <w:rPr>
                <w:sz w:val="20"/>
                <w:szCs w:val="20"/>
                <w:color w:val="auto"/>
              </w:rPr>
            </w:pPr>
            <w:r>
              <w:rPr>
                <w:rFonts w:ascii="Arial" w:cs="Arial" w:eastAsia="Arial" w:hAnsi="Arial"/>
                <w:sz w:val="14"/>
                <w:szCs w:val="14"/>
                <w:b w:val="1"/>
                <w:bCs w:val="1"/>
                <w:color w:val="auto"/>
              </w:rPr>
              <w:t>Income before translation results,workers’</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Pr>
          <w:p>
            <w:pPr>
              <w:ind w:left="200"/>
              <w:spacing w:after="0"/>
              <w:rPr>
                <w:sz w:val="20"/>
                <w:szCs w:val="20"/>
                <w:color w:val="auto"/>
              </w:rPr>
            </w:pPr>
            <w:r>
              <w:rPr>
                <w:rFonts w:ascii="Arial" w:cs="Arial" w:eastAsia="Arial" w:hAnsi="Arial"/>
                <w:sz w:val="14"/>
                <w:szCs w:val="14"/>
                <w:b w:val="1"/>
                <w:bCs w:val="1"/>
                <w:color w:val="auto"/>
              </w:rPr>
              <w:t>profit sharing and income taxes</w:t>
            </w:r>
          </w:p>
        </w:tc>
        <w:tc>
          <w:tcPr>
            <w:tcW w:w="920" w:type="dxa"/>
            <w:vAlign w:val="bottom"/>
          </w:tcPr>
          <w:p>
            <w:pPr>
              <w:jc w:val="right"/>
              <w:spacing w:after="0"/>
              <w:rPr>
                <w:sz w:val="20"/>
                <w:szCs w:val="20"/>
                <w:color w:val="auto"/>
              </w:rPr>
            </w:pPr>
            <w:r>
              <w:rPr>
                <w:rFonts w:ascii="Arial" w:cs="Arial" w:eastAsia="Arial" w:hAnsi="Arial"/>
                <w:sz w:val="14"/>
                <w:szCs w:val="14"/>
                <w:color w:val="auto"/>
              </w:rPr>
              <w:t>75,964</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84,145</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74,461</w:t>
            </w: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-9.7%</w:t>
            </w:r>
          </w:p>
        </w:tc>
        <w:tc>
          <w:tcPr>
            <w:tcW w:w="920" w:type="dxa"/>
            <w:vAlign w:val="bottom"/>
          </w:tcPr>
          <w:p>
            <w:pPr>
              <w:jc w:val="right"/>
              <w:spacing w:after="0"/>
              <w:rPr>
                <w:sz w:val="20"/>
                <w:szCs w:val="20"/>
                <w:color w:val="auto"/>
              </w:rPr>
            </w:pPr>
            <w:r>
              <w:rPr>
                <w:rFonts w:ascii="Arial" w:cs="Arial" w:eastAsia="Arial" w:hAnsi="Arial"/>
                <w:sz w:val="14"/>
                <w:szCs w:val="14"/>
                <w:color w:val="auto"/>
              </w:rPr>
              <w:t>235,391</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197,599</w:t>
            </w:r>
          </w:p>
        </w:tc>
        <w:tc>
          <w:tcPr>
            <w:tcW w:w="1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(5,155)</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-76.4%</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8,422</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(4,417)</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(3,708)</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(2,636)</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(3,603)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40.7%</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(9,213)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(8,197)</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(20,123)</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(17,150)</w:t>
            </w: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(19,057)</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(54,538)</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(48,623)</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52,837</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67,344</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46,646</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-21.5%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180,062</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136,363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212725</wp:posOffset>
            </wp:positionV>
            <wp:extent cx="39535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ind w:right="372"/>
              <w:spacing w:after="0"/>
              <w:rPr>
                <w:sz w:val="20"/>
                <w:szCs w:val="20"/>
                <w:color w:val="auto"/>
              </w:rPr>
            </w:pPr>
            <w:r>
              <w:rPr>
                <w:rFonts w:ascii="Arial" w:cs="Arial" w:eastAsia="Arial" w:hAnsi="Arial"/>
                <w:sz w:val="14"/>
                <w:szCs w:val="14"/>
                <w:b w:val="1"/>
                <w:bCs w:val="1"/>
                <w:color w:val="auto"/>
                <w:w w:val="96"/>
              </w:rPr>
              <w:t>Quarter ended</w:t>
            </w:r>
          </w:p>
        </w:tc>
        <w:tc>
          <w:tcPr>
            <w:tcW w:w="1140" w:type="dxa"/>
            <w:vAlign w:val="bottom"/>
          </w:tcPr>
          <w:p>
            <w:pPr>
              <w:spacing w:after="0"/>
              <w:rPr>
                <w:sz w:val="15"/>
                <w:szCs w:val="15"/>
                <w:color w:val="auto"/>
              </w:rPr>
            </w:pPr>
          </w:p>
        </w:tc>
        <w:tc>
          <w:tcPr>
            <w:tcW w:w="244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3Q06</w:t>
            </w:r>
          </w:p>
        </w:tc>
        <w:tc>
          <w:tcPr>
            <w:tcW w:w="1380" w:type="dxa"/>
            <w:vAlign w:val="bottom"/>
          </w:tcPr>
          <w:p>
            <w:pPr>
              <w:jc w:val="right"/>
              <w:ind w:right="632"/>
              <w:spacing w:after="0"/>
              <w:rPr>
                <w:sz w:val="20"/>
                <w:szCs w:val="20"/>
                <w:color w:val="auto"/>
              </w:rPr>
            </w:pPr>
            <w:r>
              <w:rPr>
                <w:rFonts w:ascii="Arial" w:cs="Arial" w:eastAsia="Arial" w:hAnsi="Arial"/>
                <w:sz w:val="14"/>
                <w:szCs w:val="14"/>
                <w:b w:val="1"/>
                <w:bCs w:val="1"/>
                <w:color w:val="auto"/>
              </w:rPr>
              <w:t>2Q06</w:t>
            </w: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3Q05</w:t>
            </w:r>
          </w:p>
        </w:tc>
        <w:tc>
          <w:tcPr>
            <w:tcW w:w="1260" w:type="dxa"/>
            <w:vAlign w:val="bottom"/>
          </w:tcPr>
          <w:p>
            <w:pPr>
              <w:jc w:val="right"/>
              <w:ind w:right="292"/>
              <w:spacing w:after="0"/>
              <w:rPr>
                <w:sz w:val="20"/>
                <w:szCs w:val="20"/>
                <w:color w:val="auto"/>
              </w:rPr>
            </w:pPr>
            <w:r>
              <w:rPr>
                <w:rFonts w:ascii="Arial" w:cs="Arial" w:eastAsia="Arial" w:hAnsi="Arial"/>
                <w:sz w:val="14"/>
                <w:szCs w:val="14"/>
                <w:b w:val="1"/>
                <w:bCs w:val="1"/>
                <w:color w:val="auto"/>
                <w:w w:val="95"/>
              </w:rPr>
              <w:t>September 06</w:t>
            </w:r>
          </w:p>
        </w:tc>
        <w:tc>
          <w:tcPr>
            <w:tcW w:w="1180" w:type="dxa"/>
            <w:vAlign w:val="bottom"/>
          </w:tcPr>
          <w:p>
            <w:pPr>
              <w:jc w:val="right"/>
              <w:ind w:right="212"/>
              <w:spacing w:after="0"/>
              <w:rPr>
                <w:sz w:val="20"/>
                <w:szCs w:val="20"/>
                <w:color w:val="auto"/>
              </w:rPr>
            </w:pPr>
            <w:r>
              <w:rPr>
                <w:rFonts w:ascii="Arial" w:cs="Arial" w:eastAsia="Arial" w:hAnsi="Arial"/>
                <w:sz w:val="14"/>
                <w:szCs w:val="14"/>
                <w:b w:val="1"/>
                <w:bCs w:val="1"/>
                <w:color w:val="auto"/>
                <w:w w:val="95"/>
              </w:rPr>
              <w:t>September 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4500" w:type="dxa"/>
            <w:vAlign w:val="bottom"/>
            <w:tcBorders>
              <w:bottom w:val="single" w:sz="8" w:color="CCEEFF"/>
            </w:tcBorders>
            <w:gridSpan w:val="5"/>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Net income per common share (US$ per share)(1)</w:t>
            </w:r>
          </w:p>
        </w:tc>
        <w:tc>
          <w:tcPr>
            <w:tcW w:w="12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0.041</w:t>
            </w:r>
          </w:p>
        </w:tc>
        <w:tc>
          <w:tcPr>
            <w:tcW w:w="138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0.052</w:t>
            </w:r>
          </w:p>
        </w:tc>
        <w:tc>
          <w:tcPr>
            <w:tcW w:w="114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0.036</w:t>
            </w:r>
          </w:p>
        </w:tc>
        <w:tc>
          <w:tcPr>
            <w:tcW w:w="126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0.140</w:t>
            </w:r>
          </w:p>
        </w:tc>
        <w:tc>
          <w:tcPr>
            <w:tcW w:w="11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0.106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5.01%</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5.34%</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5.85%</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5.17%</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2.17%</w:t>
            </w:r>
          </w:p>
        </w:tc>
        <w:tc>
          <w:tcPr>
            <w:tcW w:w="1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2.78%</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2.31%</w:t>
            </w: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24.57%</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33.77%</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23.08%</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28.56%</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No. of outstanding shares (millions)</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1,287</w:t>
            </w:r>
          </w:p>
        </w:tc>
        <w:tc>
          <w:tcPr>
            <w:tcW w:w="13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1,287</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1,287</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1,287</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Past due loans as a percentage of total loans</w:t>
            </w:r>
          </w:p>
        </w:tc>
        <w:tc>
          <w:tcPr>
            <w:tcW w:w="12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1.52%</w:t>
            </w:r>
          </w:p>
        </w:tc>
        <w:tc>
          <w:tcPr>
            <w:tcW w:w="13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1.65%</w:t>
            </w:r>
          </w:p>
        </w:tc>
        <w:tc>
          <w:tcPr>
            <w:tcW w:w="1140" w:type="dxa"/>
            <w:vAlign w:val="bottom"/>
          </w:tcPr>
          <w:p>
            <w:pPr>
              <w:jc w:val="right"/>
              <w:ind w:right="52"/>
              <w:spacing w:after="0" w:line="142" w:lineRule="exact"/>
              <w:rPr>
                <w:sz w:val="20"/>
                <w:szCs w:val="20"/>
                <w:color w:val="auto"/>
              </w:rPr>
            </w:pPr>
            <w:r>
              <w:rPr>
                <w:rFonts w:ascii="Arial" w:cs="Arial" w:eastAsia="Arial" w:hAnsi="Arial"/>
                <w:sz w:val="14"/>
                <w:szCs w:val="14"/>
                <w:color w:val="auto"/>
              </w:rPr>
              <w:t>2.53%</w:t>
            </w:r>
          </w:p>
        </w:tc>
        <w:tc>
          <w:tcPr>
            <w:tcW w:w="12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1.52%</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221.62%</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219.38%</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175.25%</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219.38%</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3.37%</w:t>
            </w:r>
          </w:p>
        </w:tc>
        <w:tc>
          <w:tcPr>
            <w:tcW w:w="1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3.61%</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4.43%</w:t>
            </w:r>
          </w:p>
        </w:tc>
        <w:tc>
          <w:tcPr>
            <w:tcW w:w="12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3.61%</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Oper. expense as a percent. of total income (4)</w:t>
            </w:r>
          </w:p>
        </w:tc>
        <w:tc>
          <w:tcPr>
            <w:tcW w:w="12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52.03%</w:t>
            </w:r>
          </w:p>
        </w:tc>
        <w:tc>
          <w:tcPr>
            <w:tcW w:w="138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48.59%</w:t>
            </w:r>
          </w:p>
        </w:tc>
        <w:tc>
          <w:tcPr>
            <w:tcW w:w="1140" w:type="dxa"/>
            <w:vAlign w:val="bottom"/>
          </w:tcPr>
          <w:p>
            <w:pPr>
              <w:jc w:val="right"/>
              <w:ind w:right="52"/>
              <w:spacing w:after="0" w:line="142" w:lineRule="exact"/>
              <w:rPr>
                <w:sz w:val="20"/>
                <w:szCs w:val="20"/>
                <w:color w:val="auto"/>
              </w:rPr>
            </w:pPr>
            <w:r>
              <w:rPr>
                <w:rFonts w:ascii="Arial" w:cs="Arial" w:eastAsia="Arial" w:hAnsi="Arial"/>
                <w:sz w:val="14"/>
                <w:szCs w:val="14"/>
                <w:color w:val="auto"/>
              </w:rPr>
              <w:t>49.47%</w:t>
            </w:r>
          </w:p>
        </w:tc>
        <w:tc>
          <w:tcPr>
            <w:tcW w:w="12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49.72%</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51.91%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assets(2)(3)(4)</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3.77%</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3.62%</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3.95%</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3.64%</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20" w:type="dxa"/>
            <w:vAlign w:val="bottom"/>
            <w:gridSpan w:val="7"/>
          </w:tcPr>
          <w:p>
            <w:pPr>
              <w:spacing w:after="0"/>
              <w:rPr>
                <w:sz w:val="20"/>
                <w:szCs w:val="20"/>
                <w:color w:val="auto"/>
              </w:rPr>
            </w:pPr>
            <w:r>
              <w:rPr>
                <w:rFonts w:ascii="Arial" w:cs="Arial" w:eastAsia="Arial" w:hAnsi="Arial"/>
                <w:sz w:val="14"/>
                <w:szCs w:val="14"/>
                <w:b w:val="1"/>
                <w:bCs w:val="1"/>
                <w:color w:val="auto"/>
              </w:rPr>
              <w:t>Capital adequacy (5)</w:t>
            </w: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Regulatory Capital (US$ Mn)</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608.2</w:t>
            </w:r>
          </w:p>
        </w:tc>
        <w:tc>
          <w:tcPr>
            <w:tcW w:w="13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600.7</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557.4</w:t>
            </w:r>
          </w:p>
        </w:tc>
        <w:tc>
          <w:tcPr>
            <w:tcW w:w="12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608.2</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Risk-weighted assets (US$ Mn) (6)</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5,828</w:t>
            </w:r>
          </w:p>
        </w:tc>
        <w:tc>
          <w:tcPr>
            <w:tcW w:w="13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5,626</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4,484</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5,828</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Regulatory capital / risk-weighted assets (6)</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10.4%</w:t>
            </w:r>
          </w:p>
        </w:tc>
        <w:tc>
          <w:tcPr>
            <w:tcW w:w="1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10.7%</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12.4%</w:t>
            </w:r>
          </w:p>
        </w:tc>
        <w:tc>
          <w:tcPr>
            <w:tcW w:w="1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10.4%</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6"/>
          </w:tcPr>
          <w:p>
            <w:pPr>
              <w:spacing w:after="0" w:line="135" w:lineRule="exact"/>
              <w:rPr>
                <w:sz w:val="20"/>
                <w:szCs w:val="20"/>
                <w:color w:val="auto"/>
              </w:rPr>
            </w:pPr>
            <w:r>
              <w:rPr>
                <w:rFonts w:ascii="Arial" w:cs="Arial" w:eastAsia="Arial" w:hAnsi="Arial"/>
                <w:sz w:val="14"/>
                <w:szCs w:val="14"/>
                <w:b w:val="1"/>
                <w:bCs w:val="1"/>
                <w:color w:val="auto"/>
              </w:rPr>
              <w:t xml:space="preserve">Average balances (millions of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(3)</w:t>
            </w:r>
          </w:p>
        </w:tc>
        <w:tc>
          <w:tcPr>
            <w:tcW w:w="1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gridSpan w:val="5"/>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30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8,544</w:t>
            </w:r>
          </w:p>
        </w:tc>
        <w:tc>
          <w:tcPr>
            <w:tcW w:w="1380" w:type="dxa"/>
            <w:vAlign w:val="bottom"/>
            <w:tcBorders>
              <w:top w:val="single" w:sz="8" w:color="CCEEFF"/>
            </w:tcBorders>
            <w:shd w:val="clear" w:color="auto" w:fill="CCEEFF"/>
          </w:tcPr>
          <w:p>
            <w:pPr>
              <w:jc w:val="right"/>
              <w:ind w:right="272"/>
              <w:spacing w:after="0" w:line="142" w:lineRule="exact"/>
              <w:rPr>
                <w:sz w:val="20"/>
                <w:szCs w:val="20"/>
                <w:color w:val="auto"/>
              </w:rPr>
            </w:pPr>
            <w:r>
              <w:rPr>
                <w:rFonts w:ascii="Arial" w:cs="Arial" w:eastAsia="Arial" w:hAnsi="Arial"/>
                <w:sz w:val="14"/>
                <w:szCs w:val="14"/>
                <w:color w:val="auto"/>
              </w:rPr>
              <w:t>8,558</w:t>
            </w:r>
          </w:p>
        </w:tc>
        <w:tc>
          <w:tcPr>
            <w:tcW w:w="1140" w:type="dxa"/>
            <w:vAlign w:val="bottom"/>
            <w:tcBorders>
              <w:top w:val="single" w:sz="8" w:color="CCEEFF"/>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6,872</w:t>
            </w:r>
          </w:p>
        </w:tc>
        <w:tc>
          <w:tcPr>
            <w:tcW w:w="1260" w:type="dxa"/>
            <w:vAlign w:val="bottom"/>
            <w:tcBorders>
              <w:top w:val="single" w:sz="8" w:color="CCEEFF"/>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8,411</w:t>
            </w:r>
          </w:p>
        </w:tc>
        <w:tc>
          <w:tcPr>
            <w:tcW w:w="1180" w:type="dxa"/>
            <w:vAlign w:val="bottom"/>
            <w:tcBorders>
              <w:top w:val="single" w:sz="8" w:color="CCEEF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6,675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Total Assets</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9,718</w:t>
            </w:r>
          </w:p>
        </w:tc>
        <w:tc>
          <w:tcPr>
            <w:tcW w:w="13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9,690</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8,076</w:t>
            </w:r>
          </w:p>
        </w:tc>
        <w:tc>
          <w:tcPr>
            <w:tcW w:w="12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9,603</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860</w:t>
            </w:r>
          </w:p>
        </w:tc>
        <w:tc>
          <w:tcPr>
            <w:tcW w:w="13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798</w:t>
            </w:r>
          </w:p>
        </w:tc>
        <w:tc>
          <w:tcPr>
            <w:tcW w:w="11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808</w:t>
            </w:r>
          </w:p>
        </w:tc>
        <w:tc>
          <w:tcPr>
            <w:tcW w:w="12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841</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outstanding of 1,287 million is used for all periods since shares have been issued only for capitalization of profits and inflation adjustment.</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580" w:right="3300" w:hanging="572"/>
        <w:spacing w:after="0" w:line="300"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Total income includes net interest income, fee income and net gain on foreign exchange transactions. Operating expense includes personnel expenses, administrative expenses and depreciation and amortization</w:t>
      </w: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adequacy is calculated under peruvian GAAP’s.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pacing w:after="0" w:line="21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380365</wp:posOffset>
            </wp:positionV>
            <wp:extent cx="1235075" cy="3860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86080"/>
                    </a:xfrm>
                    <a:prstGeom prst="rect">
                      <a:avLst/>
                    </a:prstGeom>
                    <a:noFill/>
                  </pic:spPr>
                </pic:pic>
              </a:graphicData>
            </a:graphic>
          </wp:anchor>
        </w:drawing>
        <w:t>EL PACIFICO-PERUANO SUIZA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US$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212725</wp:posOffset>
            </wp:positionV>
            <wp:extent cx="5471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80" w:type="dxa"/>
            <w:vAlign w:val="bottom"/>
          </w:tcPr>
          <w:p>
            <w:pPr>
              <w:jc w:val="right"/>
              <w:ind w:right="292"/>
              <w:spacing w:after="0"/>
              <w:rPr>
                <w:sz w:val="20"/>
                <w:szCs w:val="20"/>
                <w:color w:val="auto"/>
              </w:rPr>
            </w:pPr>
            <w:r>
              <w:rPr>
                <w:rFonts w:ascii="Arial" w:cs="Arial" w:eastAsia="Arial" w:hAnsi="Arial"/>
                <w:sz w:val="14"/>
                <w:szCs w:val="14"/>
                <w:b w:val="1"/>
                <w:bCs w:val="1"/>
                <w:color w:val="auto"/>
                <w:w w:val="94"/>
              </w:rPr>
              <w:t>Quarter ended</w:t>
            </w:r>
          </w:p>
        </w:tc>
        <w:tc>
          <w:tcPr>
            <w:tcW w:w="1040" w:type="dxa"/>
            <w:vAlign w:val="bottom"/>
          </w:tcPr>
          <w:p>
            <w:pPr>
              <w:spacing w:after="0"/>
              <w:rPr>
                <w:sz w:val="15"/>
                <w:szCs w:val="15"/>
                <w:color w:val="auto"/>
              </w:rPr>
            </w:pPr>
          </w:p>
        </w:tc>
        <w:tc>
          <w:tcPr>
            <w:tcW w:w="134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2280" w:type="dxa"/>
            <w:vAlign w:val="bottom"/>
            <w:gridSpan w:val="2"/>
          </w:tcPr>
          <w:p>
            <w:pPr>
              <w:jc w:val="right"/>
              <w:ind w:right="652"/>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3Q06</w:t>
            </w: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2Q06</w:t>
            </w: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3Q05</w:t>
            </w:r>
          </w:p>
        </w:tc>
        <w:tc>
          <w:tcPr>
            <w:tcW w:w="102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3Q06/3Q05</w:t>
            </w:r>
          </w:p>
        </w:tc>
        <w:tc>
          <w:tcPr>
            <w:tcW w:w="11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99"/>
              </w:rPr>
              <w:t>3Q06/2Q06</w:t>
            </w: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Sept. 06</w:t>
            </w: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Sept. 05</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Sept.06/05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Results</w:t>
            </w: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80" w:type="dxa"/>
            <w:vAlign w:val="bottom"/>
            <w:gridSpan w:val="3"/>
          </w:tcPr>
          <w:p>
            <w:pPr>
              <w:spacing w:after="0" w:line="142" w:lineRule="exact"/>
              <w:rPr>
                <w:sz w:val="20"/>
                <w:szCs w:val="20"/>
                <w:color w:val="auto"/>
              </w:rPr>
            </w:pPr>
            <w:r>
              <w:rPr>
                <w:rFonts w:ascii="Arial" w:cs="Arial" w:eastAsia="Arial" w:hAnsi="Arial"/>
                <w:sz w:val="14"/>
                <w:szCs w:val="14"/>
                <w:color w:val="auto"/>
              </w:rPr>
              <w:t>Total gross Premiums</w:t>
            </w:r>
          </w:p>
        </w:tc>
        <w:tc>
          <w:tcPr>
            <w:tcW w:w="11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95,748</w:t>
            </w:r>
          </w:p>
        </w:tc>
        <w:tc>
          <w:tcPr>
            <w:tcW w:w="128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96,059</w:t>
            </w:r>
          </w:p>
        </w:tc>
        <w:tc>
          <w:tcPr>
            <w:tcW w:w="10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88,561</w:t>
            </w:r>
          </w:p>
        </w:tc>
        <w:tc>
          <w:tcPr>
            <w:tcW w:w="10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8.1%</w:t>
            </w:r>
          </w:p>
        </w:tc>
        <w:tc>
          <w:tcPr>
            <w:tcW w:w="320" w:type="dxa"/>
            <w:vAlign w:val="bottom"/>
          </w:tcPr>
          <w:p>
            <w:pPr>
              <w:spacing w:after="0"/>
              <w:rPr>
                <w:sz w:val="12"/>
                <w:szCs w:val="12"/>
                <w:color w:val="auto"/>
              </w:rPr>
            </w:pPr>
          </w:p>
        </w:tc>
        <w:tc>
          <w:tcPr>
            <w:tcW w:w="7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-0.3%</w:t>
            </w:r>
          </w:p>
        </w:tc>
        <w:tc>
          <w:tcPr>
            <w:tcW w:w="118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285,038</w:t>
            </w:r>
          </w:p>
        </w:tc>
        <w:tc>
          <w:tcPr>
            <w:tcW w:w="11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261,628</w:t>
            </w:r>
          </w:p>
        </w:tc>
        <w:tc>
          <w:tcPr>
            <w:tcW w:w="8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Premiums Earned</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67,373</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64,069</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58,021</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16.1%</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5.2%</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192,235</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166,497</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Net claims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46,138</w:t>
            </w:r>
          </w:p>
        </w:tc>
        <w:tc>
          <w:tcPr>
            <w:tcW w:w="12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44,049</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43,591</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5.8%</w:t>
            </w:r>
          </w:p>
        </w:tc>
        <w:tc>
          <w:tcPr>
            <w:tcW w:w="3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w:t>
            </w:r>
          </w:p>
        </w:tc>
        <w:tc>
          <w:tcPr>
            <w:tcW w:w="11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138,121</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128,964</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11,912</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11,819</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6,393</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86.3%</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0.8%</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27,740</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15,625</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Financial Income</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9,889</w:t>
            </w:r>
          </w:p>
        </w:tc>
        <w:tc>
          <w:tcPr>
            <w:tcW w:w="12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12,188</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9,442</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w:t>
            </w:r>
          </w:p>
        </w:tc>
        <w:tc>
          <w:tcPr>
            <w:tcW w:w="3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-18.9%</w:t>
            </w:r>
          </w:p>
        </w:tc>
        <w:tc>
          <w:tcPr>
            <w:tcW w:w="11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33,885</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28,406</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3,742</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3,473</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3,338</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12.1%</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7.7%</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11,604</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9,076</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9,570</w:t>
            </w:r>
          </w:p>
        </w:tc>
        <w:tc>
          <w:tcPr>
            <w:tcW w:w="12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7,662</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7,653</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25.0%</w:t>
            </w:r>
          </w:p>
        </w:tc>
        <w:tc>
          <w:tcPr>
            <w:tcW w:w="3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24.9%</w:t>
            </w:r>
          </w:p>
        </w:tc>
        <w:tc>
          <w:tcPr>
            <w:tcW w:w="11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24,430</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20,091</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Expenses</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4,634</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4,947</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4,918</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-5.8%</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-6.3%</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14,939</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14,062</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Other Operating Expenses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11,682</w:t>
            </w:r>
          </w:p>
        </w:tc>
        <w:tc>
          <w:tcPr>
            <w:tcW w:w="12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13,503</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11,448</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w:t>
            </w:r>
          </w:p>
        </w:tc>
        <w:tc>
          <w:tcPr>
            <w:tcW w:w="3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-13.5%</w:t>
            </w:r>
          </w:p>
        </w:tc>
        <w:tc>
          <w:tcPr>
            <w:tcW w:w="11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38,321</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31,103</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109</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414</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-336</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-132.4%</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-73.7%</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866</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590</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Income Tax</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2,504</w:t>
            </w:r>
          </w:p>
        </w:tc>
        <w:tc>
          <w:tcPr>
            <w:tcW w:w="12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3,877</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-801</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-412.7%</w:t>
            </w:r>
          </w:p>
        </w:tc>
        <w:tc>
          <w:tcPr>
            <w:tcW w:w="3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-35.4%</w:t>
            </w:r>
          </w:p>
        </w:tc>
        <w:tc>
          <w:tcPr>
            <w:tcW w:w="11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6,251</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1,455</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Income before minority interest</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6,586</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6,106</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3,656</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80.2%</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7.9%</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16,527</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8,895</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Net Income after minority interest</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5,520</w:t>
            </w:r>
          </w:p>
        </w:tc>
        <w:tc>
          <w:tcPr>
            <w:tcW w:w="12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4,738</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2,703</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104.2%</w:t>
            </w:r>
          </w:p>
        </w:tc>
        <w:tc>
          <w:tcPr>
            <w:tcW w:w="3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16.5%</w:t>
            </w:r>
          </w:p>
        </w:tc>
        <w:tc>
          <w:tcPr>
            <w:tcW w:w="11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13,198</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6,310</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Balance</w:t>
            </w: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80" w:type="dxa"/>
            <w:vAlign w:val="bottom"/>
            <w:gridSpan w:val="3"/>
          </w:tcPr>
          <w:p>
            <w:pPr>
              <w:spacing w:after="0" w:line="142" w:lineRule="exact"/>
              <w:rPr>
                <w:sz w:val="20"/>
                <w:szCs w:val="20"/>
                <w:color w:val="auto"/>
              </w:rPr>
            </w:pPr>
            <w:r>
              <w:rPr>
                <w:rFonts w:ascii="Arial" w:cs="Arial" w:eastAsia="Arial" w:hAnsi="Arial"/>
                <w:sz w:val="14"/>
                <w:szCs w:val="14"/>
                <w:color w:val="auto"/>
              </w:rPr>
              <w:t>Total Assets</w:t>
            </w:r>
          </w:p>
        </w:tc>
        <w:tc>
          <w:tcPr>
            <w:tcW w:w="11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946,283</w:t>
            </w:r>
          </w:p>
        </w:tc>
        <w:tc>
          <w:tcPr>
            <w:tcW w:w="128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865,933</w:t>
            </w:r>
          </w:p>
        </w:tc>
        <w:tc>
          <w:tcPr>
            <w:tcW w:w="10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802,786</w:t>
            </w:r>
          </w:p>
        </w:tc>
        <w:tc>
          <w:tcPr>
            <w:tcW w:w="10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17.9%</w:t>
            </w:r>
          </w:p>
        </w:tc>
        <w:tc>
          <w:tcPr>
            <w:tcW w:w="320" w:type="dxa"/>
            <w:vAlign w:val="bottom"/>
          </w:tcPr>
          <w:p>
            <w:pPr>
              <w:spacing w:after="0"/>
              <w:rPr>
                <w:sz w:val="12"/>
                <w:szCs w:val="12"/>
                <w:color w:val="auto"/>
              </w:rPr>
            </w:pPr>
          </w:p>
        </w:tc>
        <w:tc>
          <w:tcPr>
            <w:tcW w:w="7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9.3%</w:t>
            </w:r>
          </w:p>
        </w:tc>
        <w:tc>
          <w:tcPr>
            <w:tcW w:w="118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946,283</w:t>
            </w:r>
          </w:p>
        </w:tc>
        <w:tc>
          <w:tcPr>
            <w:tcW w:w="11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802,786</w:t>
            </w:r>
          </w:p>
        </w:tc>
        <w:tc>
          <w:tcPr>
            <w:tcW w:w="8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Investment on Securities and real State</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750,125</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693,431</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623,191</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20.4%</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8.2%</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750,125</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623,191</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Technical Reserves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618,776</w:t>
            </w:r>
          </w:p>
        </w:tc>
        <w:tc>
          <w:tcPr>
            <w:tcW w:w="12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606,242</w:t>
            </w:r>
          </w:p>
        </w:tc>
        <w:tc>
          <w:tcPr>
            <w:tcW w:w="10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520,652</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18.8%</w:t>
            </w:r>
          </w:p>
        </w:tc>
        <w:tc>
          <w:tcPr>
            <w:tcW w:w="32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w:t>
            </w:r>
          </w:p>
        </w:tc>
        <w:tc>
          <w:tcPr>
            <w:tcW w:w="11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618,776</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520,652</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Equity</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209,923</w:t>
            </w:r>
          </w:p>
        </w:tc>
        <w:tc>
          <w:tcPr>
            <w:tcW w:w="1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178,340</w:t>
            </w:r>
          </w:p>
        </w:tc>
        <w:tc>
          <w:tcPr>
            <w:tcW w:w="10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195,823</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7.2%</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17.7%</w:t>
            </w:r>
          </w:p>
        </w:tc>
        <w:tc>
          <w:tcPr>
            <w:tcW w:w="11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209,923</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195,823</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93"/>
              </w:rPr>
              <w:t>Ratios</w:t>
            </w:r>
          </w:p>
        </w:tc>
        <w:tc>
          <w:tcPr>
            <w:tcW w:w="2240" w:type="dxa"/>
            <w:vAlign w:val="bottom"/>
            <w:gridSpan w:val="2"/>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Net underwriting results</w:t>
            </w:r>
          </w:p>
        </w:tc>
        <w:tc>
          <w:tcPr>
            <w:tcW w:w="11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12.4%</w:t>
            </w:r>
          </w:p>
        </w:tc>
        <w:tc>
          <w:tcPr>
            <w:tcW w:w="1280" w:type="dxa"/>
            <w:vAlign w:val="bottom"/>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12.3%</w:t>
            </w:r>
          </w:p>
        </w:tc>
        <w:tc>
          <w:tcPr>
            <w:tcW w:w="10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7.2%</w:t>
            </w:r>
          </w:p>
        </w:tc>
        <w:tc>
          <w:tcPr>
            <w:tcW w:w="1020" w:type="dxa"/>
            <w:vAlign w:val="bottom"/>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9.7%</w:t>
            </w:r>
          </w:p>
        </w:tc>
        <w:tc>
          <w:tcPr>
            <w:tcW w:w="11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6.0%</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Net earned loss ratio</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68.5%</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68.8%</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75.1%</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71.9%</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 (1)(2)</w:t>
            </w:r>
          </w:p>
        </w:tc>
        <w:tc>
          <w:tcPr>
            <w:tcW w:w="11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11.9%</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11.1%</w:t>
            </w: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8.9%</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Return on total premiums</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4.9%</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4.6%</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equity / Total assets</w:t>
            </w:r>
          </w:p>
        </w:tc>
        <w:tc>
          <w:tcPr>
            <w:tcW w:w="11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22.2%</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20.6%</w:t>
            </w: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24.4%</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22.2%</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Increase in Technical reserves</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16.0%</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20.4%</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19.8%</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16.0%</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Expenses / Net premiums earned</w:t>
            </w:r>
          </w:p>
        </w:tc>
        <w:tc>
          <w:tcPr>
            <w:tcW w:w="11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23.0%</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23.0%</w:t>
            </w: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24.5%</w:t>
            </w:r>
          </w:p>
        </w:tc>
        <w:tc>
          <w:tcPr>
            <w:tcW w:w="10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22.5%</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22.7%</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Expenses / average assets (1)(2)</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7.0%</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7.1%</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w:t>
            </w:r>
          </w:p>
        </w:tc>
        <w:tc>
          <w:tcPr>
            <w:tcW w:w="10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6.5%</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Combined Ratio PPS + PS</w:t>
            </w:r>
          </w:p>
        </w:tc>
        <w:tc>
          <w:tcPr>
            <w:tcW w:w="11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4"/>
                <w:szCs w:val="14"/>
                <w:b w:val="1"/>
                <w:bCs w:val="1"/>
                <w:color w:val="auto"/>
              </w:rPr>
              <w:t>99.5%</w:t>
            </w:r>
          </w:p>
        </w:tc>
        <w:tc>
          <w:tcPr>
            <w:tcW w:w="1280" w:type="dxa"/>
            <w:vAlign w:val="bottom"/>
            <w:tcBorders>
              <w:bottom w:val="single" w:sz="8" w:color="CCEEFF"/>
            </w:tcBorders>
            <w:shd w:val="clear" w:color="auto" w:fill="CCEEFF"/>
          </w:tcPr>
          <w:p>
            <w:pPr>
              <w:jc w:val="right"/>
              <w:ind w:right="112"/>
              <w:spacing w:after="0" w:line="135" w:lineRule="exact"/>
              <w:rPr>
                <w:sz w:val="20"/>
                <w:szCs w:val="20"/>
                <w:color w:val="auto"/>
              </w:rPr>
            </w:pPr>
            <w:r>
              <w:rPr>
                <w:rFonts w:ascii="Arial" w:cs="Arial" w:eastAsia="Arial" w:hAnsi="Arial"/>
                <w:sz w:val="14"/>
                <w:szCs w:val="14"/>
                <w:b w:val="1"/>
                <w:bCs w:val="1"/>
                <w:color w:val="auto"/>
              </w:rPr>
              <w:t>100.4%</w:t>
            </w:r>
          </w:p>
        </w:tc>
        <w:tc>
          <w:tcPr>
            <w:tcW w:w="1040" w:type="dxa"/>
            <w:vAlign w:val="bottom"/>
            <w:tcBorders>
              <w:bottom w:val="single" w:sz="8" w:color="CCEEFF"/>
            </w:tcBorders>
            <w:shd w:val="clear" w:color="auto" w:fill="CCEEFF"/>
          </w:tcPr>
          <w:p>
            <w:pPr>
              <w:jc w:val="right"/>
              <w:ind w:right="12"/>
              <w:spacing w:after="0" w:line="135" w:lineRule="exact"/>
              <w:rPr>
                <w:sz w:val="20"/>
                <w:szCs w:val="20"/>
                <w:color w:val="auto"/>
              </w:rPr>
            </w:pPr>
            <w:r>
              <w:rPr>
                <w:rFonts w:ascii="Arial" w:cs="Arial" w:eastAsia="Arial" w:hAnsi="Arial"/>
                <w:sz w:val="14"/>
                <w:szCs w:val="14"/>
                <w:b w:val="1"/>
                <w:bCs w:val="1"/>
                <w:color w:val="auto"/>
              </w:rPr>
              <w:t>101.6%</w:t>
            </w:r>
          </w:p>
        </w:tc>
        <w:tc>
          <w:tcPr>
            <w:tcW w:w="1020" w:type="dxa"/>
            <w:vAlign w:val="bottom"/>
            <w:tcBorders>
              <w:bottom w:val="single" w:sz="8" w:color="CCEEFF"/>
            </w:tcBorders>
            <w:shd w:val="clear" w:color="auto" w:fill="CCEEFF"/>
          </w:tcPr>
          <w:p>
            <w:pPr>
              <w:jc w:val="right"/>
              <w:ind w:right="212"/>
              <w:spacing w:after="0" w:line="13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292"/>
              <w:spacing w:after="0" w:line="13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gridSpan w:val="2"/>
          </w:tcPr>
          <w:p>
            <w:pPr>
              <w:spacing w:after="0" w:line="142" w:lineRule="exact"/>
              <w:rPr>
                <w:sz w:val="20"/>
                <w:szCs w:val="20"/>
                <w:color w:val="auto"/>
              </w:rPr>
            </w:pPr>
            <w:r>
              <w:rPr>
                <w:rFonts w:ascii="Arial" w:cs="Arial" w:eastAsia="Arial" w:hAnsi="Arial"/>
                <w:sz w:val="14"/>
                <w:szCs w:val="14"/>
                <w:color w:val="auto"/>
              </w:rPr>
              <w:t>- Claims / Net premiums earned</w:t>
            </w:r>
          </w:p>
        </w:tc>
        <w:tc>
          <w:tcPr>
            <w:tcW w:w="1120" w:type="dxa"/>
            <w:vAlign w:val="bottom"/>
          </w:tcPr>
          <w:p>
            <w:pPr>
              <w:jc w:val="right"/>
              <w:ind w:right="12"/>
              <w:spacing w:after="0" w:line="142" w:lineRule="exact"/>
              <w:rPr>
                <w:sz w:val="20"/>
                <w:szCs w:val="20"/>
                <w:color w:val="auto"/>
              </w:rPr>
            </w:pPr>
            <w:r>
              <w:rPr>
                <w:rFonts w:ascii="Arial" w:cs="Arial" w:eastAsia="Arial" w:hAnsi="Arial"/>
                <w:sz w:val="14"/>
                <w:szCs w:val="14"/>
                <w:color w:val="auto"/>
              </w:rPr>
              <w:t>66.0%</w:t>
            </w:r>
          </w:p>
        </w:tc>
        <w:tc>
          <w:tcPr>
            <w:tcW w:w="12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64.9%</w:t>
            </w:r>
          </w:p>
        </w:tc>
        <w:tc>
          <w:tcPr>
            <w:tcW w:w="1040" w:type="dxa"/>
            <w:vAlign w:val="bottom"/>
          </w:tcPr>
          <w:p>
            <w:pPr>
              <w:jc w:val="right"/>
              <w:ind w:right="32"/>
              <w:spacing w:after="0" w:line="142" w:lineRule="exact"/>
              <w:rPr>
                <w:sz w:val="20"/>
                <w:szCs w:val="20"/>
                <w:color w:val="auto"/>
              </w:rPr>
            </w:pPr>
            <w:r>
              <w:rPr>
                <w:rFonts w:ascii="Arial" w:cs="Arial" w:eastAsia="Arial" w:hAnsi="Arial"/>
                <w:sz w:val="14"/>
                <w:szCs w:val="14"/>
                <w:color w:val="auto"/>
              </w:rPr>
              <w:t>70.9%</w:t>
            </w:r>
          </w:p>
        </w:tc>
        <w:tc>
          <w:tcPr>
            <w:tcW w:w="10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92"/>
              <w:spacing w:after="0" w:line="142" w:lineRule="exact"/>
              <w:rPr>
                <w:sz w:val="20"/>
                <w:szCs w:val="20"/>
                <w:color w:val="auto"/>
              </w:rPr>
            </w:pPr>
            <w:r>
              <w:rPr>
                <w:rFonts w:ascii="Arial" w:cs="Arial" w:eastAsia="Arial" w:hAnsi="Arial"/>
                <w:sz w:val="14"/>
                <w:szCs w:val="14"/>
                <w:color w:val="auto"/>
              </w:rPr>
              <w:t>—</w:t>
            </w: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 Expenses and commissions / Net</w:t>
            </w: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22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premiums earned</w:t>
            </w:r>
          </w:p>
        </w:tc>
        <w:tc>
          <w:tcPr>
            <w:tcW w:w="11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33.5%</w:t>
            </w:r>
          </w:p>
        </w:tc>
        <w:tc>
          <w:tcPr>
            <w:tcW w:w="128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35.6%</w:t>
            </w:r>
          </w:p>
        </w:tc>
        <w:tc>
          <w:tcPr>
            <w:tcW w:w="104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30.6%</w:t>
            </w:r>
          </w:p>
        </w:tc>
        <w:tc>
          <w:tcPr>
            <w:tcW w:w="102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2"/>
              <w:spacing w:after="0" w:line="15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are determined as the average of period-beginning and period-ending balances</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1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08" w:right="2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CREDICORP LTD.</w:t>
      </w:r>
    </w:p>
    <w:p>
      <w:pPr>
        <w:spacing w:after="0" w:line="30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2019-12-12T11:44:19Z</dcterms:created>
  <dcterms:modified xsi:type="dcterms:W3CDTF">2019-12-12T11:44:19Z</dcterms:modified>
</cp:coreProperties>
</file>