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July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424180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5371465</wp:posOffset>
            </wp:positionH>
            <wp:positionV relativeFrom="page">
              <wp:posOffset>337820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July 12th,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 Registro Público del Mercado de Valores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Law, approved by Law DS N ° 093-2002-EF and CONASEV Resolution for Material Events, Reserved Information and Other Communications N° 107-2002-EF/94.10.0, as modified by CONASEV Resolution N° 009-2003-EF/94.10, Credicorp Ltd. complies with notifying you of the following Material Event.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Audit Committee, in its session held on July 12, 2011, unanimously agreed to appoint Mr. Raimundo Morales Dasso as Chairman of the Audit Committee.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23495</wp:posOffset>
            </wp:positionV>
            <wp:extent cx="253873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552450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12,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Mario Ferrari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2019-12-10T15:03:31Z</dcterms:created>
  <dcterms:modified xsi:type="dcterms:W3CDTF">2019-12-10T15:03:31Z</dcterms:modified>
</cp:coreProperties>
</file>