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ind w:left="5120"/>
        <w:spacing w:after="0"/>
        <w:rPr>
          <w:sz w:val="20"/>
          <w:szCs w:val="20"/>
          <w:color w:val="auto"/>
        </w:rPr>
      </w:pPr>
      <w:r>
        <w:rPr>
          <w:rFonts w:ascii="Arial" w:cs="Arial" w:eastAsia="Arial" w:hAnsi="Arial"/>
          <w:sz w:val="18"/>
          <w:szCs w:val="18"/>
          <w:i w:val="1"/>
          <w:iCs w:val="1"/>
          <w:color w:val="auto"/>
        </w:rPr>
        <w:t>(Name of Issuer)</w:t>
      </w:r>
    </w:p>
    <w:p>
      <w:pPr>
        <w:spacing w:after="0" w:line="152"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(Title of Class of Securities)</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(CUSIP Number)</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18"/>
          <w:szCs w:val="18"/>
          <w:i w:val="1"/>
          <w:iCs w:val="1"/>
          <w:color w:val="auto"/>
        </w:rPr>
        <w:t>(Date of Event Which Requires Filing of this Statement)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158" w:lineRule="exact"/>
        <w:rPr>
          <w:sz w:val="24"/>
          <w:szCs w:val="24"/>
          <w:color w:val="auto"/>
        </w:rPr>
      </w:pPr>
    </w:p>
    <w:p>
      <w:pPr>
        <w:ind w:left="5160" w:hanging="574"/>
        <w:spacing w:after="0"/>
        <w:tabs>
          <w:tab w:leader="none" w:pos="51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Rule 13d-1(b)</w:t>
      </w:r>
    </w:p>
    <w:p>
      <w:pPr>
        <w:spacing w:after="0" w:line="2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5"/>
          <w:szCs w:val="15"/>
          <w:b w:val="1"/>
          <w:bCs w:val="1"/>
          <w:color w:val="auto"/>
        </w:rPr>
        <w:t>Rule 13d-1(c)</w:t>
      </w:r>
    </w:p>
    <w:p>
      <w:pPr>
        <w:spacing w:after="0" w:line="9" w:lineRule="exact"/>
        <w:rPr>
          <w:rFonts w:ascii="Arial" w:cs="Arial" w:eastAsia="Arial" w:hAnsi="Arial"/>
          <w:sz w:val="18"/>
          <w:szCs w:val="18"/>
          <w:color w:val="auto"/>
        </w:rPr>
      </w:pPr>
    </w:p>
    <w:p>
      <w:pPr>
        <w:ind w:left="5160" w:hanging="574"/>
        <w:spacing w:after="0"/>
        <w:tabs>
          <w:tab w:leader="none" w:pos="51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Rule 13d-1(d)</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right="80" w:firstLine="366"/>
        <w:spacing w:after="0" w:line="212" w:lineRule="auto"/>
        <w:rPr>
          <w:rFonts w:ascii="Arial" w:cs="Arial" w:eastAsia="Arial" w:hAnsi="Arial"/>
          <w:sz w:val="18"/>
          <w:szCs w:val="18"/>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0" w:lineRule="exact"/>
        <w:rPr>
          <w:sz w:val="24"/>
          <w:szCs w:val="24"/>
          <w:color w:val="auto"/>
        </w:rPr>
      </w:pPr>
    </w:p>
    <w:p>
      <w:pPr>
        <w:ind w:firstLine="436"/>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Prima AFP *</w:t>
      </w:r>
    </w:p>
    <w:p>
      <w:pPr>
        <w:spacing w:after="0" w:line="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(Administradora de Fondos de Pensiones).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2</w:t>
            </w:r>
          </w:p>
        </w:tc>
        <w:tc>
          <w:tcPr>
            <w:tcW w:w="6920" w:type="dxa"/>
            <w:vAlign w:val="bottom"/>
          </w:tcPr>
          <w:p>
            <w:pPr>
              <w:ind w:left="240"/>
              <w:spacing w:after="0"/>
              <w:rPr>
                <w:sz w:val="20"/>
                <w:szCs w:val="20"/>
                <w:color w:val="auto"/>
              </w:rPr>
            </w:pPr>
            <w:r>
              <w:rPr>
                <w:rFonts w:ascii="Arial" w:cs="Arial" w:eastAsia="Arial" w:hAnsi="Arial"/>
                <w:sz w:val="18"/>
                <w:szCs w:val="18"/>
                <w:color w:val="auto"/>
              </w:rPr>
              <w:t>Check the Appropriate Box if a Member of a Group</w:t>
            </w:r>
          </w:p>
        </w:tc>
        <w:tc>
          <w:tcPr>
            <w:tcW w:w="3460" w:type="dxa"/>
            <w:vAlign w:val="bottom"/>
          </w:tcPr>
          <w:p>
            <w:pPr>
              <w:ind w:left="3020"/>
              <w:spacing w:after="0"/>
              <w:rPr>
                <w:sz w:val="20"/>
                <w:szCs w:val="20"/>
                <w:color w:val="auto"/>
              </w:rPr>
            </w:pPr>
            <w:r>
              <w:rPr>
                <w:rFonts w:ascii="Arial" w:cs="Arial" w:eastAsia="Arial" w:hAnsi="Arial"/>
                <w:sz w:val="18"/>
                <w:szCs w:val="18"/>
                <w:color w:val="auto"/>
              </w:rPr>
              <w:t>(a) :</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o</w:t>
            </w:r>
          </w:p>
        </w:tc>
      </w:tr>
      <w:tr>
        <w:trPr>
          <w:trHeight w:val="222"/>
        </w:trPr>
        <w:tc>
          <w:tcPr>
            <w:tcW w:w="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3460" w:type="dxa"/>
            <w:vAlign w:val="bottom"/>
          </w:tcPr>
          <w:p>
            <w:pPr>
              <w:ind w:left="3020"/>
              <w:spacing w:after="0"/>
              <w:rPr>
                <w:sz w:val="20"/>
                <w:szCs w:val="20"/>
                <w:color w:val="auto"/>
              </w:rPr>
            </w:pPr>
            <w:r>
              <w:rPr>
                <w:rFonts w:ascii="Arial" w:cs="Arial" w:eastAsia="Arial" w:hAnsi="Arial"/>
                <w:sz w:val="18"/>
                <w:szCs w:val="18"/>
                <w:color w:val="auto"/>
              </w:rPr>
              <w:t>(b) :</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5</w:t>
            </w:r>
          </w:p>
        </w:tc>
        <w:tc>
          <w:tcPr>
            <w:tcW w:w="880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800" w:type="dxa"/>
            <w:vAlign w:val="bottom"/>
            <w:vMerge w:val="restart"/>
          </w:tcPr>
          <w:p>
            <w:pPr>
              <w:jc w:val="center"/>
              <w:ind w:right="412"/>
              <w:spacing w:after="0"/>
              <w:rPr>
                <w:sz w:val="20"/>
                <w:szCs w:val="20"/>
                <w:color w:val="auto"/>
              </w:rPr>
            </w:pPr>
            <w:r>
              <w:rPr>
                <w:rFonts w:ascii="Arial" w:cs="Arial" w:eastAsia="Arial" w:hAnsi="Arial"/>
                <w:sz w:val="18"/>
                <w:szCs w:val="18"/>
                <w:b w:val="1"/>
                <w:bCs w:val="1"/>
                <w:color w:val="auto"/>
                <w:w w:val="97"/>
              </w:rPr>
              <w:t>NUMBER OF</w:t>
            </w:r>
          </w:p>
        </w:tc>
        <w:tc>
          <w:tcPr>
            <w:tcW w:w="340" w:type="dxa"/>
            <w:vAlign w:val="bottom"/>
          </w:tcPr>
          <w:p>
            <w:pPr>
              <w:spacing w:after="0"/>
              <w:rPr>
                <w:sz w:val="24"/>
                <w:szCs w:val="24"/>
                <w:color w:val="auto"/>
              </w:rPr>
            </w:pPr>
          </w:p>
        </w:tc>
        <w:tc>
          <w:tcPr>
            <w:tcW w:w="8800" w:type="dxa"/>
            <w:vAlign w:val="bottom"/>
          </w:tcPr>
          <w:p>
            <w:pPr>
              <w:ind w:left="240"/>
              <w:spacing w:after="0"/>
              <w:rPr>
                <w:sz w:val="20"/>
                <w:szCs w:val="20"/>
                <w:color w:val="auto"/>
              </w:rPr>
            </w:pPr>
            <w:r>
              <w:rPr>
                <w:rFonts w:ascii="Arial" w:cs="Arial" w:eastAsia="Arial" w:hAnsi="Arial"/>
                <w:sz w:val="18"/>
                <w:szCs w:val="18"/>
                <w:b w:val="1"/>
                <w:bCs w:val="1"/>
                <w:color w:val="auto"/>
              </w:rPr>
              <w:t>8,810,060</w:t>
            </w:r>
          </w:p>
        </w:tc>
        <w:tc>
          <w:tcPr>
            <w:tcW w:w="0" w:type="dxa"/>
            <w:vAlign w:val="bottom"/>
          </w:tcPr>
          <w:p>
            <w:pPr>
              <w:spacing w:after="0"/>
              <w:rPr>
                <w:sz w:val="1"/>
                <w:szCs w:val="1"/>
                <w:color w:val="auto"/>
              </w:rPr>
            </w:pPr>
          </w:p>
        </w:tc>
      </w:tr>
      <w:tr>
        <w:trPr>
          <w:trHeight w:val="110"/>
        </w:trPr>
        <w:tc>
          <w:tcPr>
            <w:tcW w:w="1800" w:type="dxa"/>
            <w:vAlign w:val="bottom"/>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800" w:type="dxa"/>
            <w:vAlign w:val="bottom"/>
          </w:tcPr>
          <w:p>
            <w:pPr>
              <w:jc w:val="center"/>
              <w:ind w:right="412"/>
              <w:spacing w:after="0" w:line="195" w:lineRule="exact"/>
              <w:rPr>
                <w:sz w:val="20"/>
                <w:szCs w:val="20"/>
                <w:color w:val="auto"/>
              </w:rPr>
            </w:pPr>
            <w:r>
              <w:rPr>
                <w:rFonts w:ascii="Arial" w:cs="Arial" w:eastAsia="Arial" w:hAnsi="Arial"/>
                <w:sz w:val="18"/>
                <w:szCs w:val="18"/>
                <w:b w:val="1"/>
                <w:bCs w:val="1"/>
                <w:color w:val="auto"/>
                <w:w w:val="93"/>
              </w:rPr>
              <w:t>SHARES</w:t>
            </w: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6</w:t>
            </w:r>
          </w:p>
        </w:tc>
        <w:tc>
          <w:tcPr>
            <w:tcW w:w="880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1800" w:type="dxa"/>
            <w:vAlign w:val="bottom"/>
            <w:vMerge w:val="restart"/>
          </w:tcPr>
          <w:p>
            <w:pPr>
              <w:jc w:val="center"/>
              <w:ind w:right="392"/>
              <w:spacing w:after="0"/>
              <w:rPr>
                <w:sz w:val="20"/>
                <w:szCs w:val="20"/>
                <w:color w:val="auto"/>
              </w:rPr>
            </w:pPr>
            <w:r>
              <w:rPr>
                <w:rFonts w:ascii="Arial" w:cs="Arial" w:eastAsia="Arial" w:hAnsi="Arial"/>
                <w:sz w:val="18"/>
                <w:szCs w:val="18"/>
                <w:b w:val="1"/>
                <w:bCs w:val="1"/>
                <w:color w:val="auto"/>
              </w:rPr>
              <w:t>BENEFICIALLY</w:t>
            </w:r>
          </w:p>
        </w:tc>
        <w:tc>
          <w:tcPr>
            <w:tcW w:w="340" w:type="dxa"/>
            <w:vAlign w:val="bottom"/>
            <w:vMerge w:val="continue"/>
          </w:tcPr>
          <w:p>
            <w:pPr>
              <w:spacing w:after="0"/>
              <w:rPr>
                <w:sz w:val="10"/>
                <w:szCs w:val="10"/>
                <w:color w:val="auto"/>
              </w:rPr>
            </w:pPr>
          </w:p>
        </w:tc>
        <w:tc>
          <w:tcPr>
            <w:tcW w:w="8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ind w:right="392"/>
              <w:spacing w:after="0"/>
              <w:rPr>
                <w:sz w:val="20"/>
                <w:szCs w:val="20"/>
                <w:color w:val="auto"/>
              </w:rPr>
            </w:pPr>
            <w:r>
              <w:rPr>
                <w:rFonts w:ascii="Arial" w:cs="Arial" w:eastAsia="Arial" w:hAnsi="Arial"/>
                <w:sz w:val="18"/>
                <w:szCs w:val="18"/>
                <w:b w:val="1"/>
                <w:bCs w:val="1"/>
                <w:color w:val="auto"/>
                <w:w w:val="96"/>
              </w:rPr>
              <w:t>OWNED BY</w:t>
            </w:r>
          </w:p>
        </w:tc>
        <w:tc>
          <w:tcPr>
            <w:tcW w:w="340" w:type="dxa"/>
            <w:vAlign w:val="bottom"/>
          </w:tcPr>
          <w:p>
            <w:pPr>
              <w:spacing w:after="0"/>
              <w:rPr>
                <w:sz w:val="18"/>
                <w:szCs w:val="18"/>
                <w:color w:val="auto"/>
              </w:rPr>
            </w:pPr>
          </w:p>
        </w:tc>
        <w:tc>
          <w:tcPr>
            <w:tcW w:w="880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1800" w:type="dxa"/>
            <w:vAlign w:val="bottom"/>
            <w:vMerge w:val="restart"/>
          </w:tcPr>
          <w:p>
            <w:pPr>
              <w:jc w:val="center"/>
              <w:ind w:right="412"/>
              <w:spacing w:after="0"/>
              <w:rPr>
                <w:sz w:val="20"/>
                <w:szCs w:val="20"/>
                <w:color w:val="auto"/>
              </w:rPr>
            </w:pPr>
            <w:r>
              <w:rPr>
                <w:rFonts w:ascii="Arial" w:cs="Arial" w:eastAsia="Arial" w:hAnsi="Arial"/>
                <w:sz w:val="18"/>
                <w:szCs w:val="18"/>
                <w:b w:val="1"/>
                <w:bCs w:val="1"/>
                <w:color w:val="auto"/>
                <w:w w:val="97"/>
              </w:rPr>
              <w:t>EACH</w:t>
            </w:r>
          </w:p>
        </w:tc>
        <w:tc>
          <w:tcPr>
            <w:tcW w:w="340" w:type="dxa"/>
            <w:vAlign w:val="bottom"/>
          </w:tcPr>
          <w:p>
            <w:pPr>
              <w:spacing w:after="0"/>
              <w:rPr>
                <w:sz w:val="10"/>
                <w:szCs w:val="10"/>
                <w:color w:val="auto"/>
              </w:rPr>
            </w:pPr>
          </w:p>
        </w:tc>
        <w:tc>
          <w:tcPr>
            <w:tcW w:w="8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800" w:type="dxa"/>
            <w:vAlign w:val="bottom"/>
          </w:tcPr>
          <w:p>
            <w:pPr>
              <w:jc w:val="center"/>
              <w:ind w:right="412"/>
              <w:spacing w:after="0" w:line="184" w:lineRule="exact"/>
              <w:rPr>
                <w:sz w:val="20"/>
                <w:szCs w:val="20"/>
                <w:color w:val="auto"/>
              </w:rPr>
            </w:pPr>
            <w:r>
              <w:rPr>
                <w:rFonts w:ascii="Arial" w:cs="Arial" w:eastAsia="Arial" w:hAnsi="Arial"/>
                <w:sz w:val="18"/>
                <w:szCs w:val="18"/>
                <w:b w:val="1"/>
                <w:bCs w:val="1"/>
                <w:color w:val="auto"/>
                <w:w w:val="99"/>
              </w:rPr>
              <w:t>REPORTING</w:t>
            </w: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7</w:t>
            </w:r>
          </w:p>
        </w:tc>
        <w:tc>
          <w:tcPr>
            <w:tcW w:w="880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4"/>
        </w:trPr>
        <w:tc>
          <w:tcPr>
            <w:tcW w:w="1800" w:type="dxa"/>
            <w:vAlign w:val="bottom"/>
            <w:vMerge w:val="restart"/>
          </w:tcPr>
          <w:p>
            <w:pPr>
              <w:jc w:val="center"/>
              <w:ind w:right="392"/>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vMerge w:val="continue"/>
          </w:tcPr>
          <w:p>
            <w:pPr>
              <w:spacing w:after="0"/>
              <w:rPr>
                <w:sz w:val="11"/>
                <w:szCs w:val="11"/>
                <w:color w:val="auto"/>
              </w:rPr>
            </w:pPr>
          </w:p>
        </w:tc>
        <w:tc>
          <w:tcPr>
            <w:tcW w:w="8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800" w:type="dxa"/>
            <w:vAlign w:val="bottom"/>
          </w:tcPr>
          <w:p>
            <w:pPr>
              <w:jc w:val="center"/>
              <w:ind w:right="412"/>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19"/>
                <w:szCs w:val="19"/>
                <w:color w:val="auto"/>
              </w:rPr>
            </w:pPr>
          </w:p>
        </w:tc>
        <w:tc>
          <w:tcPr>
            <w:tcW w:w="88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8,810,060</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8</w:t>
            </w:r>
          </w:p>
        </w:tc>
        <w:tc>
          <w:tcPr>
            <w:tcW w:w="880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8,810,060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9.3%</w:t>
      </w:r>
    </w:p>
    <w:p>
      <w:pPr>
        <w:spacing w:after="0" w:line="244"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CUSIP No. G2519Y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6</w:t>
      </w:r>
    </w:p>
    <w:p>
      <w:pPr>
        <w:spacing w:after="0" w:line="211" w:lineRule="exact"/>
        <w:rPr>
          <w:sz w:val="20"/>
          <w:szCs w:val="20"/>
          <w:color w:val="auto"/>
        </w:rPr>
      </w:pPr>
    </w:p>
    <w:p>
      <w:pPr>
        <w:sectPr>
          <w:pgSz w:w="11900" w:h="16838" w:orient="portrait"/>
          <w:cols w:equalWidth="0" w:num="2">
            <w:col w:w="9900" w:space="720"/>
            <w:col w:w="800"/>
          </w:cols>
          <w:pgMar w:left="240" w:top="374" w:right="2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186" w:lineRule="exact"/>
        <w:rPr>
          <w:sz w:val="20"/>
          <w:szCs w:val="20"/>
          <w:color w:val="auto"/>
        </w:rPr>
      </w:pPr>
    </w:p>
    <w:p>
      <w:pPr>
        <w:sectPr>
          <w:pgSz w:w="11900" w:h="16838" w:orient="portrait"/>
          <w:cols w:equalWidth="0" w:num="2">
            <w:col w:w="1000" w:space="720"/>
            <w:col w:w="9700"/>
          </w:cols>
          <w:pgMar w:left="240" w:top="374" w:right="239" w:bottom="1440" w:gutter="0" w:footer="0" w:header="0"/>
          <w:type w:val="continuous"/>
        </w:sectPr>
      </w:pPr>
    </w:p>
    <w:p>
      <w:pPr>
        <w:ind w:left="1720"/>
        <w:spacing w:after="0"/>
        <w:rPr>
          <w:sz w:val="20"/>
          <w:szCs w:val="20"/>
          <w:color w:val="auto"/>
        </w:rPr>
      </w:pPr>
      <w:r>
        <w:rPr>
          <w:rFonts w:ascii="Arial" w:cs="Arial" w:eastAsia="Arial" w:hAnsi="Arial"/>
          <w:sz w:val="18"/>
          <w:szCs w:val="18"/>
          <w:b w:val="1"/>
          <w:bCs w:val="1"/>
          <w:color w:val="auto"/>
        </w:rPr>
        <w:t>Credicorp Ltd.</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Hamilton HM11 Bermuda</w:t>
      </w:r>
    </w:p>
    <w:p>
      <w:pPr>
        <w:spacing w:after="0" w:line="15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Persons Filing:</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Prima AFP</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Prima AFP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Chinchón 980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San Isidro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Lima 27, Perú</w:t>
      </w:r>
    </w:p>
    <w:p>
      <w:pPr>
        <w:spacing w:after="0" w:line="15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See Item 4 on Page 2</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Common Shares</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G2519Y 10 8</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Item 3. If this statement is filed pursuant to Rules 13d-1(b), or 13d-2(b), check whether the person filing is a:</w:t>
      </w: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Not Applicable.</w:t>
      </w:r>
    </w:p>
    <w:p>
      <w:pPr>
        <w:spacing w:after="0" w:line="164" w:lineRule="exact"/>
        <w:rPr>
          <w:sz w:val="20"/>
          <w:szCs w:val="20"/>
          <w:color w:val="auto"/>
        </w:rPr>
      </w:pPr>
    </w:p>
    <w:p>
      <w:pPr>
        <w:ind w:left="1720" w:hanging="5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3" w:name="page4"/>
    <w:bookmarkEnd w:id="3"/>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4 of 6</w:t>
      </w:r>
    </w:p>
    <w:p>
      <w:pPr>
        <w:spacing w:after="0" w:line="252" w:lineRule="exact"/>
        <w:rPr>
          <w:sz w:val="20"/>
          <w:szCs w:val="20"/>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§240.13d-1(b)(ii)(G)</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associations as defined in Section 3(b) of the Federal Deposit Insurance Act</w:t>
      </w:r>
    </w:p>
    <w:p>
      <w:pPr>
        <w:spacing w:after="0" w:line="157" w:lineRule="exact"/>
        <w:rPr>
          <w:rFonts w:ascii="Arial" w:cs="Arial" w:eastAsia="Arial" w:hAnsi="Arial"/>
          <w:sz w:val="18"/>
          <w:szCs w:val="18"/>
          <w:color w:val="auto"/>
        </w:rPr>
      </w:pPr>
    </w:p>
    <w:p>
      <w:pPr>
        <w:ind w:left="2300" w:right="120" w:hanging="1144"/>
        <w:spacing w:after="0" w:line="268" w:lineRule="auto"/>
        <w:tabs>
          <w:tab w:leader="none" w:pos="1733"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64" w:lineRule="exact"/>
        <w:rPr>
          <w:sz w:val="20"/>
          <w:szCs w:val="20"/>
          <w:color w:val="auto"/>
        </w:rPr>
      </w:pPr>
    </w:p>
    <w:p>
      <w:pPr>
        <w:ind w:left="1720" w:right="7620" w:hanging="564"/>
        <w:spacing w:after="0" w:line="475" w:lineRule="auto"/>
        <w:tabs>
          <w:tab w:leader="none" w:pos="1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Beneficially Owned: See Item 9 on Page 2</w:t>
      </w:r>
    </w:p>
    <w:p>
      <w:pPr>
        <w:spacing w:after="0" w:line="1" w:lineRule="exact"/>
        <w:rPr>
          <w:rFonts w:ascii="Arial" w:cs="Arial" w:eastAsia="Arial" w:hAnsi="Arial"/>
          <w:sz w:val="16"/>
          <w:szCs w:val="16"/>
          <w:color w:val="auto"/>
        </w:rPr>
      </w:pPr>
    </w:p>
    <w:p>
      <w:pPr>
        <w:ind w:left="1720" w:hanging="564"/>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5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7" w:lineRule="exact"/>
        <w:rPr>
          <w:rFonts w:ascii="Arial" w:cs="Arial" w:eastAsia="Arial" w:hAnsi="Arial"/>
          <w:sz w:val="18"/>
          <w:szCs w:val="18"/>
          <w:color w:val="auto"/>
        </w:rPr>
      </w:pPr>
    </w:p>
    <w:p>
      <w:pPr>
        <w:ind w:left="2300" w:right="6340" w:hanging="577"/>
        <w:spacing w:after="0" w:line="422" w:lineRule="auto"/>
        <w:tabs>
          <w:tab w:leader="none" w:pos="2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2300" w:right="6160" w:hanging="577"/>
        <w:spacing w:after="0" w:line="422" w:lineRule="auto"/>
        <w:tabs>
          <w:tab w:leader="none" w:pos="2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1" w:lineRule="exact"/>
        <w:rPr>
          <w:rFonts w:ascii="Arial" w:cs="Arial" w:eastAsia="Arial" w:hAnsi="Arial"/>
          <w:sz w:val="18"/>
          <w:szCs w:val="18"/>
          <w:color w:val="auto"/>
        </w:rPr>
      </w:pPr>
    </w:p>
    <w:p>
      <w:pPr>
        <w:ind w:left="2300" w:right="5460" w:hanging="577"/>
        <w:spacing w:after="0" w:line="440" w:lineRule="auto"/>
        <w:tabs>
          <w:tab w:leader="none" w:pos="2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2140" w:type="dxa"/>
            <w:vAlign w:val="bottom"/>
            <w:gridSpan w:val="2"/>
          </w:tcPr>
          <w:p>
            <w:pPr>
              <w:spacing w:after="0"/>
              <w:rPr>
                <w:sz w:val="20"/>
                <w:szCs w:val="20"/>
                <w:color w:val="auto"/>
              </w:rPr>
            </w:pPr>
            <w:r>
              <w:rPr>
                <w:rFonts w:ascii="Arial" w:cs="Arial" w:eastAsia="Arial" w:hAnsi="Arial"/>
                <w:sz w:val="18"/>
                <w:szCs w:val="18"/>
                <w:color w:val="auto"/>
              </w:rPr>
              <w:t>CUSIP No. G2519Y 10 8</w:t>
            </w:r>
          </w:p>
        </w:tc>
        <w:tc>
          <w:tcPr>
            <w:tcW w:w="9280" w:type="dxa"/>
            <w:vAlign w:val="bottom"/>
          </w:tcPr>
          <w:p>
            <w:pPr>
              <w:ind w:left="8480"/>
              <w:spacing w:after="0"/>
              <w:rPr>
                <w:sz w:val="20"/>
                <w:szCs w:val="20"/>
                <w:color w:val="auto"/>
              </w:rPr>
            </w:pPr>
            <w:r>
              <w:rPr>
                <w:rFonts w:ascii="Arial" w:cs="Arial" w:eastAsia="Arial" w:hAnsi="Arial"/>
                <w:sz w:val="18"/>
                <w:szCs w:val="18"/>
                <w:color w:val="auto"/>
                <w:w w:val="84"/>
              </w:rPr>
              <w:t>Page 5 of 6</w:t>
            </w:r>
          </w:p>
        </w:tc>
      </w:tr>
      <w:tr>
        <w:trPr>
          <w:trHeight w:val="459"/>
        </w:trPr>
        <w:tc>
          <w:tcPr>
            <w:tcW w:w="1160" w:type="dxa"/>
            <w:vAlign w:val="bottom"/>
          </w:tcPr>
          <w:p>
            <w:pPr>
              <w:spacing w:after="0"/>
              <w:rPr>
                <w:sz w:val="24"/>
                <w:szCs w:val="24"/>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(iv)</w:t>
            </w:r>
          </w:p>
        </w:tc>
        <w:tc>
          <w:tcPr>
            <w:tcW w:w="92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365"/>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80" w:type="dxa"/>
            <w:vAlign w:val="bottom"/>
          </w:tcPr>
          <w:p>
            <w:pPr>
              <w:ind w:left="140"/>
              <w:spacing w:after="0"/>
              <w:rPr>
                <w:sz w:val="20"/>
                <w:szCs w:val="20"/>
                <w:color w:val="auto"/>
              </w:rPr>
            </w:pPr>
            <w:r>
              <w:rPr>
                <w:rFonts w:ascii="Arial" w:cs="Arial" w:eastAsia="Arial" w:hAnsi="Arial"/>
                <w:sz w:val="18"/>
                <w:szCs w:val="18"/>
                <w:color w:val="auto"/>
              </w:rPr>
              <w:t>See Item 8 on Page 2</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Ownership of Five Percent or Less of a Class</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352"/>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w w:val="92"/>
              </w:rPr>
              <w:t>Prima AFP, a subsidiary of the Issuer, is a pension fund administrator constituted under Peruvian law. Prima AFP owns the</w:t>
            </w:r>
          </w:p>
        </w:tc>
      </w:tr>
      <w:tr>
        <w:trPr>
          <w:trHeight w:val="228"/>
        </w:trPr>
        <w:tc>
          <w:tcPr>
            <w:tcW w:w="116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rPr>
              <w:t>shares for the benefit of the beneficiaries of the pension fund.</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2"/>
              </w:rPr>
              <w:t>Identification and Classification of the Subsidiary which Acquired the Security Being Reported on by the Parent Holding Company or</w:t>
            </w:r>
          </w:p>
        </w:tc>
      </w:tr>
      <w:tr>
        <w:trPr>
          <w:trHeight w:val="222"/>
        </w:trPr>
        <w:tc>
          <w:tcPr>
            <w:tcW w:w="116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Control Person</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Notice of Dissolution of Group</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w:t>
            </w:r>
          </w:p>
        </w:tc>
      </w:tr>
      <w:tr>
        <w:trPr>
          <w:trHeight w:val="365"/>
        </w:trPr>
        <w:tc>
          <w:tcPr>
            <w:tcW w:w="1160" w:type="dxa"/>
            <w:vAlign w:val="bottom"/>
          </w:tcPr>
          <w:p>
            <w:pPr>
              <w:spacing w:after="0"/>
              <w:rPr>
                <w:sz w:val="24"/>
                <w:szCs w:val="24"/>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b w:val="1"/>
                <w:bCs w:val="1"/>
                <w:color w:val="auto"/>
                <w:w w:val="87"/>
              </w:rPr>
              <w:t>By signing below, I certify that, to the best of my knowledge and belief, the securities referred to above were not acquired and are</w:t>
            </w:r>
          </w:p>
        </w:tc>
      </w:tr>
    </w:tbl>
    <w:p>
      <w:pPr>
        <w:ind w:left="1700" w:right="360"/>
        <w:spacing w:after="0" w:line="323" w:lineRule="auto"/>
        <w:rPr>
          <w:sz w:val="20"/>
          <w:szCs w:val="20"/>
          <w:color w:val="auto"/>
        </w:rPr>
      </w:pPr>
      <w:r>
        <w:rPr>
          <w:rFonts w:ascii="Arial" w:cs="Arial" w:eastAsia="Arial" w:hAnsi="Arial"/>
          <w:sz w:val="16"/>
          <w:szCs w:val="16"/>
          <w:b w:val="1"/>
          <w:bCs w:val="1"/>
          <w:color w:val="auto"/>
        </w:rPr>
        <w:t>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February 13, 2007</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Prima AFP</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Ruben Loaiza Negreiros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Ruben Loaiza Negreiros</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Manager</w:t>
      </w:r>
    </w:p>
    <w:p>
      <w:pPr>
        <w:spacing w:after="0" w:line="9"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2019-12-11T23:30:53Z</dcterms:created>
  <dcterms:modified xsi:type="dcterms:W3CDTF">2019-12-11T23:30:53Z</dcterms:modified>
</cp:coreProperties>
</file>