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September 2017</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7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rFonts w:ascii="MS PGothic" w:cs="MS PGothic" w:eastAsia="MS PGothic" w:hAnsi="MS PGothic"/>
          <w:sz w:val="18"/>
          <w:szCs w:val="18"/>
          <w:color w:val="auto"/>
        </w:rPr>
        <w:t>☐</w:t>
      </w:r>
    </w:p>
    <w:p>
      <w:pPr>
        <w:spacing w:after="0" w:line="25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672465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0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723265</wp:posOffset>
            </wp:positionV>
            <wp:extent cx="205803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September 15th, 2017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accordance with article 28° of the Capital Markets Law approved by Law N° 093-2002-EF and SMV Resolution for Material Events and Reserved Information and Other Communications N° 005-2014-SMV-01, Credicorp Ltd. complies with notifying you of the following Material Event: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Today, September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2017, Credicorp Ltd. carried out the sale of its total stake in Banco de Crédito e Inversiones (BCI), a Chilean banking company.</w:t>
      </w:r>
    </w:p>
    <w:p>
      <w:pPr>
        <w:spacing w:after="0" w:line="151" w:lineRule="exact"/>
        <w:rPr>
          <w:sz w:val="20"/>
          <w:szCs w:val="20"/>
          <w:color w:val="auto"/>
        </w:rPr>
      </w:pPr>
    </w:p>
    <w:p>
      <w:pPr>
        <w:ind w:right="400"/>
        <w:spacing w:after="0" w:line="224" w:lineRule="auto"/>
        <w:rPr>
          <w:sz w:val="20"/>
          <w:szCs w:val="20"/>
          <w:color w:val="auto"/>
        </w:rPr>
      </w:pPr>
      <w:r>
        <w:rPr>
          <w:rFonts w:ascii="Arial" w:cs="Arial" w:eastAsia="Arial" w:hAnsi="Arial"/>
          <w:sz w:val="17"/>
          <w:szCs w:val="17"/>
          <w:color w:val="auto"/>
        </w:rPr>
        <w:t>The transaction was executed through a book auction in the Santiago Stock Exchange on September 15</w:t>
      </w:r>
      <w:r>
        <w:rPr>
          <w:rFonts w:ascii="Arial" w:cs="Arial" w:eastAsia="Arial" w:hAnsi="Arial"/>
          <w:sz w:val="28"/>
          <w:szCs w:val="28"/>
          <w:color w:val="auto"/>
          <w:vertAlign w:val="superscript"/>
        </w:rPr>
        <w:t>th</w:t>
      </w:r>
      <w:r>
        <w:rPr>
          <w:rFonts w:ascii="Arial" w:cs="Arial" w:eastAsia="Arial" w:hAnsi="Arial"/>
          <w:sz w:val="17"/>
          <w:szCs w:val="17"/>
          <w:color w:val="auto"/>
        </w:rPr>
        <w:t>, 2017. A total of 2,286,328 shares was sold at a price of CLP 39,000 per share, which resulted in proceeds of CLP 89,166,792,000, equivalent to approximately US$ 142,416,215.</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-10160</wp:posOffset>
            </wp:positionV>
            <wp:extent cx="800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15</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1697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2019-12-06T02:52:25Z</dcterms:created>
  <dcterms:modified xsi:type="dcterms:W3CDTF">2019-12-06T02:52:25Z</dcterms:modified>
</cp:coreProperties>
</file>