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8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June 2025</w:t>
      </w:r>
    </w:p>
    <w:p>
      <w:pPr>
        <w:spacing w:after="0" w:line="21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7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18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 xml:space="preserve">Lima, Peru </w:t>
      </w:r>
      <w:r>
        <w:rPr>
          <w:rFonts w:ascii="Times New Roman" w:cs="Times New Roman" w:eastAsia="Times New Roman" w:hAnsi="Times New Roman"/>
          <w:sz w:val="18"/>
          <w:szCs w:val="18"/>
          <w:color w:val="auto"/>
        </w:rPr>
        <w:t>(Address of principal executive office)</w:t>
      </w:r>
    </w:p>
    <w:p>
      <w:pPr>
        <w:spacing w:after="0" w:line="19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82" w:lineRule="exact"/>
        <w:rPr>
          <w:sz w:val="24"/>
          <w:szCs w:val="24"/>
          <w:color w:val="auto"/>
        </w:rPr>
      </w:pPr>
    </w:p>
    <w:p>
      <w:pPr>
        <w:ind w:left="47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45995" cy="334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245995" cy="334645"/>
                    </a:xfrm>
                    <a:prstGeom prst="rect">
                      <a:avLst/>
                    </a:prstGeom>
                    <a:noFill/>
                  </pic:spPr>
                </pic:pic>
              </a:graphicData>
            </a:graphic>
          </wp:anchor>
        </w:drawing>
        <w:t>June 11,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notify you of the following Material Event:</w:t>
      </w:r>
    </w:p>
    <w:p>
      <w:pPr>
        <w:spacing w:after="0" w:line="212" w:lineRule="exact"/>
        <w:rPr>
          <w:sz w:val="20"/>
          <w:szCs w:val="20"/>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exchange rate registered by the Peruvian Superintendence of Banking, Insurance and AFP (Superintendencia de Banca, Seguros y AFP) at the close of business on June 11, 2025, to be used for the calculation of the dividends to be paid by the Company on June 13, 2025 is S/3.6327 per US Dollar.</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regard, the dividend to be paid per share shall be US$11.0111, equivalent to S/40.0000 per share.</w:t>
      </w:r>
    </w:p>
    <w:p>
      <w:pPr>
        <w:spacing w:after="0" w:line="2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communication is related to the dividend distribution agreement adopted by the Board of Directors on April 24, 2025, and informed to the market as a Material Event.</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6"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June 11, 2025</w:t>
      </w:r>
    </w:p>
    <w:p>
      <w:pPr>
        <w:spacing w:after="0" w:line="21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(Registrant)</w:t>
      </w:r>
    </w:p>
    <w:p>
      <w:pPr>
        <w:spacing w:after="0" w:line="19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2025-06-11T16:18:00Z</dcterms:created>
  <dcterms:modified xsi:type="dcterms:W3CDTF">2025-06-11T16:18:00Z</dcterms:modified>
</cp:coreProperties>
</file>