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308610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445770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682875"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682875" cy="351790"/>
                    </a:xfrm>
                    <a:prstGeom prst="rect">
                      <a:avLst/>
                    </a:prstGeom>
                    <a:noFill/>
                  </pic:spPr>
                </pic:pic>
              </a:graphicData>
            </a:graphic>
          </wp:anchor>
        </w:drawing>
        <w:t>June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notify you as a Material Event that on June 23, 2026, Fitch Ratings released an update of Credicorp Ltd.’s (Credicorp) credit rating report. The update further elaborates on the rating action announced on June 8, 2026, in which Fitch upgraded Credicorp’s Long-Term Foreign Currency rating at “BBB+” with stable Outlook, and the Short-Term IDR was affirmed.</w:t>
      </w:r>
    </w:p>
    <w:p>
      <w:pPr>
        <w:spacing w:after="0" w:line="13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The information contained in this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regarding the rating of Fitch Ratings has been disclosed in Peru in accordance with applicable Peruvian regulations (Article 30 of the Securities Market Law, approved by Supreme Decree No. 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 and the Regulation on Disclosure of Material Events and Reserved Information approved by Resolution No. 005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SMV/01 of the Peruvian Securities Market Superintendency). The credit ratings assigned by Fitch Ratings reflect its opinion on Credicorp’s creditworthiness and do not necessarily represent the opinion of Credicorp. Such ratings should not be construed as a recommendation to purchase, hold, or sell Credicorp’s shares or any other securities. Credicorp does not accept any responsibility for the accuracy, completeness, timeliness, or selection of the information contained in such ratings.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in this Form 6-K (including any </w:t>
      </w:r>
      <w:r>
        <w:rPr>
          <w:rFonts w:ascii="Times New Roman" w:cs="Times New Roman" w:eastAsia="Times New Roman" w:hAnsi="Times New Roman"/>
          <w:sz w:val="18"/>
          <w:szCs w:val="18"/>
          <w:u w:val="single" w:color="auto"/>
          <w:color w:val="0000EE"/>
        </w:rPr>
        <w:t>exhibit</w:t>
      </w:r>
      <w:r>
        <w:rPr>
          <w:rFonts w:ascii="Times New Roman" w:cs="Times New Roman" w:eastAsia="Times New Roman" w:hAnsi="Times New Roman"/>
          <w:sz w:val="18"/>
          <w:szCs w:val="18"/>
          <w:color w:val="auto"/>
        </w:rPr>
        <w:t xml:space="preserve">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Milagros Cigüeñas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June 24, 2026</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3749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Milagros Cigüeñas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551305" cy="40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02590"/>
                    </a:xfrm>
                    <a:prstGeom prst="rect">
                      <a:avLst/>
                    </a:prstGeom>
                    <a:noFill/>
                  </pic:spPr>
                </pic:pic>
              </a:graphicData>
            </a:graphic>
          </wp:anchor>
        </w:drawing>
      </w:r>
    </w:p>
    <w:p>
      <w:pPr>
        <w:spacing w:after="0" w:line="250"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333333"/>
        </w:rPr>
        <w:t>Banks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3"/>
          <w:szCs w:val="13"/>
          <w:color w:val="333333"/>
        </w:rPr>
        <w:t>Bank Holding Companies</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C32337"/>
        </w:rPr>
        <w:t>Bermuda</w:t>
      </w:r>
    </w:p>
    <w:p>
      <w:pPr>
        <w:spacing w:after="0" w:line="253" w:lineRule="exact"/>
        <w:rPr>
          <w:sz w:val="20"/>
          <w:szCs w:val="20"/>
          <w:color w:val="auto"/>
        </w:rPr>
      </w:pPr>
    </w:p>
    <w:p>
      <w:pPr>
        <w:spacing w:after="0"/>
        <w:rPr>
          <w:sz w:val="20"/>
          <w:szCs w:val="20"/>
          <w:color w:val="auto"/>
        </w:rPr>
      </w:pPr>
      <w:r>
        <w:rPr>
          <w:rFonts w:ascii="Arial" w:cs="Arial" w:eastAsia="Arial" w:hAnsi="Arial"/>
          <w:sz w:val="32"/>
          <w:szCs w:val="32"/>
          <w:b w:val="1"/>
          <w:bCs w:val="1"/>
          <w:color w:val="333333"/>
        </w:rPr>
        <w:t>Credicorp Ltd.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C32337"/>
        </w:rPr>
        <w:t>Key Rating Drivers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333333"/>
        </w:rPr>
        <w:t xml:space="preserve">IDRs Driven by Those of Main Subsidiary: </w:t>
      </w:r>
      <w:r>
        <w:rPr>
          <w:rFonts w:ascii="Arial" w:cs="Arial" w:eastAsia="Arial" w:hAnsi="Arial"/>
          <w:sz w:val="13"/>
          <w:szCs w:val="13"/>
          <w:color w:val="333333"/>
        </w:rPr>
        <w:t>Credicorp Ltd.’s Issuer Default Ratings (IDRs) were upgraded to ‘BBB+’ from ‘BBB’, as they are driven primarily by the IDRs of its main</w:t>
      </w:r>
      <w:r>
        <w:rPr>
          <w:rFonts w:ascii="Arial" w:cs="Arial" w:eastAsia="Arial" w:hAnsi="Arial"/>
          <w:sz w:val="13"/>
          <w:szCs w:val="13"/>
          <w:b w:val="1"/>
          <w:bCs w:val="1"/>
          <w:color w:val="333333"/>
        </w:rPr>
        <w:t xml:space="preserve"> </w:t>
      </w:r>
      <w:r>
        <w:rPr>
          <w:rFonts w:ascii="Arial" w:cs="Arial" w:eastAsia="Arial" w:hAnsi="Arial"/>
          <w:sz w:val="13"/>
          <w:szCs w:val="13"/>
          <w:color w:val="333333"/>
        </w:rPr>
        <w:t>subsidiary, Banco de Crédito del Perú (BCP; BBB+/Stable), which has a strong business and financial profile. Credicorp’s Foreign-Currency, Long-Term IDR of ‘BBB+’ with a Stable Outlook is equalized with BCP’s rating, mainly due to Credicorp’s low double leverage and strong liquidity management.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color w:val="333333"/>
        </w:rPr>
        <w:t xml:space="preserve">Largest Peruvian Financial Holding Company: </w:t>
      </w:r>
      <w:r>
        <w:rPr>
          <w:rFonts w:ascii="Arial" w:cs="Arial" w:eastAsia="Arial" w:hAnsi="Arial"/>
          <w:sz w:val="13"/>
          <w:szCs w:val="13"/>
          <w:color w:val="333333"/>
        </w:rPr>
        <w:t>Credicorp is the largest financial holding company in Peru. While domiciled in Bermuda for strategic reasons, the group operates primarily</w:t>
      </w:r>
      <w:r>
        <w:rPr>
          <w:rFonts w:ascii="Arial" w:cs="Arial" w:eastAsia="Arial" w:hAnsi="Arial"/>
          <w:sz w:val="13"/>
          <w:szCs w:val="13"/>
          <w:b w:val="1"/>
          <w:bCs w:val="1"/>
          <w:color w:val="333333"/>
        </w:rPr>
        <w:t xml:space="preserve"> </w:t>
      </w:r>
      <w:r>
        <w:rPr>
          <w:rFonts w:ascii="Arial" w:cs="Arial" w:eastAsia="Arial" w:hAnsi="Arial"/>
          <w:sz w:val="13"/>
          <w:szCs w:val="13"/>
          <w:color w:val="333333"/>
        </w:rPr>
        <w:t>through its main subsidiaries, including BCP, the largest bank in Peru, Banco de Crédito de Bolivia, Grupo Pacífico, Prima AFP, Atlantic Security Bank, Credicorp Capital, and Mibanco in Peru and Colombia. The group maintains leading positions across banking, insurance, pensions, wealth and asset management, and microfinance, which support earnings diversification and franchise strength.</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color w:val="333333"/>
        </w:rPr>
        <w:t xml:space="preserve">Strong Corporate Strategy: </w:t>
      </w:r>
      <w:r>
        <w:rPr>
          <w:rFonts w:ascii="Arial" w:cs="Arial" w:eastAsia="Arial" w:hAnsi="Arial"/>
          <w:sz w:val="13"/>
          <w:szCs w:val="13"/>
          <w:color w:val="333333"/>
        </w:rPr>
        <w:t>Credicorp is a non-operating holding company with an integrated business platform that includes leading banking, insurance, pension, asset and wealth</w:t>
      </w:r>
      <w:r>
        <w:rPr>
          <w:rFonts w:ascii="Arial" w:cs="Arial" w:eastAsia="Arial" w:hAnsi="Arial"/>
          <w:sz w:val="13"/>
          <w:szCs w:val="13"/>
          <w:b w:val="1"/>
          <w:bCs w:val="1"/>
          <w:color w:val="333333"/>
        </w:rPr>
        <w:t xml:space="preserve"> </w:t>
      </w:r>
      <w:r>
        <w:rPr>
          <w:rFonts w:ascii="Arial" w:cs="Arial" w:eastAsia="Arial" w:hAnsi="Arial"/>
          <w:sz w:val="13"/>
          <w:szCs w:val="13"/>
          <w:color w:val="333333"/>
        </w:rPr>
        <w:t>management, and microfinance franchises in Peru and other selected markets in the region. Fitch Ratings views the group’s strategy as supportive of its business profile, given its focus on financial inclusion, risk and capital discipline, digital transformation, and operational execution across its core and disruptive businesses. The strategy focuses on prioritizing leading market positions in an under-penetrated region with clear growth avenues, scaling an integrated digital ecosystem, unlocking synergies by leveraging shared capabilities across the ecosystem, and delivering strong, resilient results across economic cycles.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color w:val="333333"/>
        </w:rPr>
        <w:t xml:space="preserve">Low Double Leverage: </w:t>
      </w:r>
      <w:r>
        <w:rPr>
          <w:rFonts w:ascii="Arial" w:cs="Arial" w:eastAsia="Arial" w:hAnsi="Arial"/>
          <w:sz w:val="13"/>
          <w:szCs w:val="13"/>
          <w:color w:val="333333"/>
        </w:rPr>
        <w:t>Credicorp’s double leverage remained low at 99.6% at YE 2025, compared with 99.2% in 2024. This was consistently well below the threshold of 120% at which</w:t>
      </w:r>
      <w:r>
        <w:rPr>
          <w:rFonts w:ascii="Arial" w:cs="Arial" w:eastAsia="Arial" w:hAnsi="Arial"/>
          <w:sz w:val="13"/>
          <w:szCs w:val="13"/>
          <w:b w:val="1"/>
          <w:bCs w:val="1"/>
          <w:color w:val="333333"/>
        </w:rPr>
        <w:t xml:space="preserve"> </w:t>
      </w:r>
      <w:r>
        <w:rPr>
          <w:rFonts w:ascii="Arial" w:cs="Arial" w:eastAsia="Arial" w:hAnsi="Arial"/>
          <w:sz w:val="13"/>
          <w:szCs w:val="13"/>
          <w:color w:val="333333"/>
        </w:rPr>
        <w:t>Fitch would typically start to notch down a bank holding company’s ratings. Fitch does not expect double leverage to change materially over the rating horizon. Debt incurred at the holding company level was maintained as a conservative liquidity backstop for use during periods of stress, particularly during the pandemic. However, the senior debt has already matured, and there has been no need to refinance or replace it.</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333333"/>
        </w:rPr>
        <w:t xml:space="preserve">Strong Liquidity Management: </w:t>
      </w:r>
      <w:r>
        <w:rPr>
          <w:rFonts w:ascii="Arial" w:cs="Arial" w:eastAsia="Arial" w:hAnsi="Arial"/>
          <w:sz w:val="13"/>
          <w:szCs w:val="13"/>
          <w:color w:val="333333"/>
        </w:rPr>
        <w:t>Credicorp’s liquidity management is prudent, supported by good access to capital markets and a diversified mix of funding and liquidity sources. The group</w:t>
      </w:r>
      <w:r>
        <w:rPr>
          <w:rFonts w:ascii="Arial" w:cs="Arial" w:eastAsia="Arial" w:hAnsi="Arial"/>
          <w:sz w:val="13"/>
          <w:szCs w:val="13"/>
          <w:b w:val="1"/>
          <w:bCs w:val="1"/>
          <w:color w:val="333333"/>
        </w:rPr>
        <w:t xml:space="preserve"> </w:t>
      </w:r>
      <w:r>
        <w:rPr>
          <w:rFonts w:ascii="Arial" w:cs="Arial" w:eastAsia="Arial" w:hAnsi="Arial"/>
          <w:sz w:val="13"/>
          <w:szCs w:val="13"/>
          <w:color w:val="333333"/>
        </w:rPr>
        <w:t>continues to benefit from a structurally efficient low-cost funding base and an improved funding mix, while more expensive funding sources declined, aside from a subordinated bond issuance at BCP.</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color w:val="333333"/>
        </w:rPr>
        <w:t xml:space="preserve">Capital Fungibility: </w:t>
      </w:r>
      <w:r>
        <w:rPr>
          <w:rFonts w:ascii="Arial" w:cs="Arial" w:eastAsia="Arial" w:hAnsi="Arial"/>
          <w:sz w:val="13"/>
          <w:szCs w:val="13"/>
          <w:color w:val="333333"/>
        </w:rPr>
        <w:t>Credicorp’s financial flexibility at the holding company level is supported by recurring up-streaming of excess capital from its operating subsidiaries. Excess capital is</w:t>
      </w:r>
      <w:r>
        <w:rPr>
          <w:rFonts w:ascii="Arial" w:cs="Arial" w:eastAsia="Arial" w:hAnsi="Arial"/>
          <w:sz w:val="13"/>
          <w:szCs w:val="13"/>
          <w:b w:val="1"/>
          <w:bCs w:val="1"/>
          <w:color w:val="333333"/>
        </w:rPr>
        <w:t xml:space="preserve"> </w:t>
      </w:r>
      <w:r>
        <w:rPr>
          <w:rFonts w:ascii="Arial" w:cs="Arial" w:eastAsia="Arial" w:hAnsi="Arial"/>
          <w:sz w:val="13"/>
          <w:szCs w:val="13"/>
          <w:color w:val="333333"/>
        </w:rPr>
        <w:t>typically transferred to the holding company in March, after which Credicorp may propose an ordinary dividend, with the potential for an extraordinary dividend, depending on business conditions. In Fitch’s view, the group’s diversified earnings base across banking, microfinance, insurance, pensions, asset management and digital businesses supports internal capital generation and enhances the holding company’s capacity to meet its financial commitments. However, the extent of upstream distributions remains linked to the performance, capitalization and regulatory requirements of its main subsidiaries.</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color w:val="333333"/>
        </w:rPr>
        <w:t xml:space="preserve">Consistent Subsidiary Performance: </w:t>
      </w:r>
      <w:r>
        <w:rPr>
          <w:rFonts w:ascii="Arial" w:cs="Arial" w:eastAsia="Arial" w:hAnsi="Arial"/>
          <w:sz w:val="13"/>
          <w:szCs w:val="13"/>
          <w:color w:val="000000"/>
        </w:rPr>
        <w:t>Credicorp’s capital structure benefits from the strong and consistent performance of its core subsidiaries, particularly BCP, which remains the</w:t>
      </w:r>
      <w:r>
        <w:rPr>
          <w:rFonts w:ascii="Arial" w:cs="Arial" w:eastAsia="Arial" w:hAnsi="Arial"/>
          <w:sz w:val="13"/>
          <w:szCs w:val="13"/>
          <w:b w:val="1"/>
          <w:bCs w:val="1"/>
          <w:color w:val="333333"/>
        </w:rPr>
        <w:t xml:space="preserve"> </w:t>
      </w:r>
      <w:r>
        <w:rPr>
          <w:rFonts w:ascii="Arial" w:cs="Arial" w:eastAsia="Arial" w:hAnsi="Arial"/>
          <w:sz w:val="13"/>
          <w:szCs w:val="13"/>
          <w:color w:val="000000"/>
        </w:rPr>
        <w:t xml:space="preserve">group’s main earnings generator and a key source of financial flexibility. In 2025, BCP’s </w:t>
      </w:r>
      <w:r>
        <w:rPr>
          <w:rFonts w:ascii="Arial" w:cs="Arial" w:eastAsia="Arial" w:hAnsi="Arial"/>
          <w:sz w:val="13"/>
          <w:szCs w:val="13"/>
          <w:color w:val="333333"/>
        </w:rPr>
        <w:t>operating profit-to-risk-weighted asset (RWA) ratio improved to 5.19% at YE 2025 from 4.32% at YE</w:t>
      </w:r>
      <w:r>
        <w:rPr>
          <w:rFonts w:ascii="Arial" w:cs="Arial" w:eastAsia="Arial" w:hAnsi="Arial"/>
          <w:sz w:val="13"/>
          <w:szCs w:val="13"/>
          <w:color w:val="000000"/>
        </w:rPr>
        <w:t xml:space="preserve"> </w:t>
      </w:r>
      <w:r>
        <w:rPr>
          <w:rFonts w:ascii="Arial" w:cs="Arial" w:eastAsia="Arial" w:hAnsi="Arial"/>
          <w:sz w:val="13"/>
          <w:szCs w:val="13"/>
          <w:color w:val="333333"/>
        </w:rPr>
        <w:t>2024, mainly driven by a stronger financial margin and lower credit costs, supported by improved asset quality. Fitch expects BCP’s profitability to remain strong, although it could decline slightly from its exceptionally strong level in 2025 due to margin compression, somewhat higher credit costs, external risks and the bank’s planned growth in riskier but more profitable retail segments.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C32337"/>
        </w:rPr>
        <w:t>Rating Sensitivities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Factors that Could, Individually or Collectively, Lead to Negative Rating Action/Downgrade</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333333"/>
        </w:rPr>
        <w:t>Credicorp’s IDRs are at the same level as BCP’s, and would move in tandem with any rating action on its main operating subsidiary. However, Fitch could also downgrade Credicorp’s ratings (separately from any action on BCP) if there is a material and sustained increase of its double leverage metrics (above 1.2x) and if there is a material weakening of the holding company’s liquidity position and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333333"/>
        </w:rPr>
        <w:t>A change in the dividend flows from the operating companies or debt levels at the holding company that affects its debt coverage ratio could also be detrimental to Credicorp’s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spacing w:after="0"/>
        <w:tabs>
          <w:tab w:leader="none" w:pos="10060" w:val="left"/>
        </w:tabs>
        <w:rPr>
          <w:sz w:val="20"/>
          <w:szCs w:val="20"/>
          <w:color w:val="auto"/>
        </w:rPr>
      </w:pPr>
      <w:r>
        <w:rPr>
          <w:rFonts w:ascii="Arial" w:cs="Arial" w:eastAsia="Arial" w:hAnsi="Arial"/>
          <w:sz w:val="14"/>
          <w:szCs w:val="14"/>
          <w:color w:val="auto"/>
        </w:rPr>
        <w:t>Rating Report | 23 June 2026</w:t>
      </w:r>
      <w:r>
        <w:rPr>
          <w:sz w:val="20"/>
          <w:szCs w:val="20"/>
          <w:color w:val="auto"/>
        </w:rPr>
        <w:tab/>
      </w:r>
      <w:r>
        <w:rPr>
          <w:rFonts w:ascii="Arial" w:cs="Arial" w:eastAsia="Arial" w:hAnsi="Arial"/>
          <w:sz w:val="14"/>
          <w:szCs w:val="14"/>
          <w:color w:val="auto"/>
        </w:rPr>
        <w:t>fitchratings.com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jc w:val="right"/>
        <w:ind w:right="20"/>
        <w:spacing w:after="0"/>
        <w:rPr>
          <w:sz w:val="20"/>
          <w:szCs w:val="20"/>
          <w:color w:val="auto"/>
        </w:rPr>
      </w:pPr>
      <w:r>
        <w:rPr>
          <w:rFonts w:ascii="Arial" w:cs="Arial" w:eastAsia="Arial" w:hAnsi="Arial"/>
          <w:sz w:val="16"/>
          <w:szCs w:val="16"/>
          <w:b w:val="1"/>
          <w:bCs w:val="1"/>
          <w:color w:val="333333"/>
        </w:rPr>
        <w:drawing>
          <wp:anchor simplePos="0" relativeHeight="251657728" behindDoc="1" locked="0" layoutInCell="0" allowOverlap="1">
            <wp:simplePos x="0" y="0"/>
            <wp:positionH relativeFrom="page">
              <wp:posOffset>208280</wp:posOffset>
            </wp:positionH>
            <wp:positionV relativeFrom="page">
              <wp:posOffset>106045</wp:posOffset>
            </wp:positionV>
            <wp:extent cx="1551305"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51305" cy="402590"/>
                    </a:xfrm>
                    <a:prstGeom prst="rect">
                      <a:avLst/>
                    </a:prstGeom>
                    <a:noFill/>
                  </pic:spPr>
                </pic:pic>
              </a:graphicData>
            </a:graphic>
          </wp:anchor>
        </w:drawing>
        <w:t>Banks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3"/>
          <w:szCs w:val="13"/>
          <w:color w:val="333333"/>
        </w:rPr>
        <w:t>Bank Holding Companies</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C32337"/>
        </w:rPr>
        <w:t>Bermuda</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Factors that Could, Individually or Collectively, Lead to Positive Rating Action/Upgrade</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333333"/>
        </w:rPr>
        <w:t>Credicorp Ltd.’s ratings would move in tandem with positive rating actions on its main operating subsidiary, BCP.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spacing w:after="0"/>
        <w:tabs>
          <w:tab w:leader="none" w:pos="10060" w:val="left"/>
        </w:tabs>
        <w:rPr>
          <w:sz w:val="20"/>
          <w:szCs w:val="20"/>
          <w:color w:val="auto"/>
        </w:rPr>
      </w:pPr>
      <w:r>
        <w:rPr>
          <w:rFonts w:ascii="Arial" w:cs="Arial" w:eastAsia="Arial" w:hAnsi="Arial"/>
          <w:sz w:val="14"/>
          <w:szCs w:val="14"/>
          <w:color w:val="auto"/>
        </w:rPr>
        <w:t>Rating Report | 23 June 2026</w:t>
      </w:r>
      <w:r>
        <w:rPr>
          <w:sz w:val="20"/>
          <w:szCs w:val="20"/>
          <w:color w:val="auto"/>
        </w:rPr>
        <w:tab/>
      </w:r>
      <w:r>
        <w:rPr>
          <w:rFonts w:ascii="Arial" w:cs="Arial" w:eastAsia="Arial" w:hAnsi="Arial"/>
          <w:sz w:val="14"/>
          <w:szCs w:val="14"/>
          <w:color w:val="auto"/>
        </w:rPr>
        <w:t>fitchratings.com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 w:name="page6"/>
    <w:bookmarkEnd w:id="5"/>
    <w:p>
      <w:pPr>
        <w:jc w:val="right"/>
        <w:ind w:right="20"/>
        <w:spacing w:after="0"/>
        <w:rPr>
          <w:sz w:val="20"/>
          <w:szCs w:val="20"/>
          <w:color w:val="auto"/>
        </w:rPr>
      </w:pPr>
      <w:r>
        <w:rPr>
          <w:rFonts w:ascii="Arial" w:cs="Arial" w:eastAsia="Arial" w:hAnsi="Arial"/>
          <w:sz w:val="16"/>
          <w:szCs w:val="16"/>
          <w:b w:val="1"/>
          <w:bCs w:val="1"/>
          <w:color w:val="333333"/>
        </w:rPr>
        <w:drawing>
          <wp:anchor simplePos="0" relativeHeight="251657728" behindDoc="1" locked="0" layoutInCell="0" allowOverlap="1">
            <wp:simplePos x="0" y="0"/>
            <wp:positionH relativeFrom="page">
              <wp:posOffset>208280</wp:posOffset>
            </wp:positionH>
            <wp:positionV relativeFrom="page">
              <wp:posOffset>106045</wp:posOffset>
            </wp:positionV>
            <wp:extent cx="1551305" cy="402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51305" cy="402590"/>
                    </a:xfrm>
                    <a:prstGeom prst="rect">
                      <a:avLst/>
                    </a:prstGeom>
                    <a:noFill/>
                  </pic:spPr>
                </pic:pic>
              </a:graphicData>
            </a:graphic>
          </wp:anchor>
        </w:drawing>
        <w:t>Banks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3"/>
          <w:szCs w:val="13"/>
          <w:color w:val="333333"/>
        </w:rPr>
        <w:t>Bank Holding Companies</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C32337"/>
        </w:rPr>
        <w:t>Bermuda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C32337"/>
        </w:rPr>
        <w:t>Financials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333333"/>
        </w:rPr>
        <w:t>Financial Statements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02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333333"/>
              </w:rPr>
              <w:t>Dec. 31, 2023</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333333"/>
              </w:rPr>
              <w:t>Dec. 31, 2024</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333333"/>
              </w:rPr>
              <w:t>Dec. 31, 2025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333333"/>
              </w:rPr>
              <w:t>Mar. 31, 2026</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333333"/>
              </w:rPr>
              <w:t>12 months</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333333"/>
              </w:rPr>
              <w:t>12 months</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333333"/>
              </w:rPr>
              <w:t>12 months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333333"/>
              </w:rPr>
              <w:t>1st quarter</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333333"/>
              </w:rPr>
              <w:t>(PEN mil.)</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333333"/>
              </w:rPr>
              <w:t>(PEN mil.)</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333333"/>
              </w:rPr>
              <w:t>(PEN mil.)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333333"/>
              </w:rPr>
              <w:t>(PEN mil.)</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333333"/>
              </w:rPr>
              <w:t>Summary income statement</w:t>
            </w:r>
          </w:p>
        </w:tc>
        <w:tc>
          <w:tcPr>
            <w:tcW w:w="3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Net interest and dividend income</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12,938</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14,115</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14,716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3,963</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Net fees and commissions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3,805</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4,052</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4,200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1,149</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Other operating income</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3,065</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3,338</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4,252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1,130</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Total operating income</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19,808</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21,505</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23,168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6,242</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Operating costs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9,263</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10,196</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10,799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2,841</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Pre-impairment operating profit</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10,545</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11,309</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12,369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3,401</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Loan and other impairment charges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3,627</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3,547</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2,460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482</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Operating profit</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6,919</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7,762</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9,909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2,919</w:t>
            </w:r>
          </w:p>
        </w:tc>
        <w:tc>
          <w:tcPr>
            <w:tcW w:w="0" w:type="dxa"/>
            <w:vAlign w:val="bottom"/>
          </w:tcPr>
          <w:p>
            <w:pPr>
              <w:spacing w:after="0"/>
              <w:rPr>
                <w:sz w:val="1"/>
                <w:szCs w:val="1"/>
                <w:color w:val="auto"/>
              </w:rPr>
            </w:pPr>
          </w:p>
        </w:tc>
      </w:tr>
      <w:tr>
        <w:trPr>
          <w:trHeight w:val="182"/>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Other non-operating items (net)</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-70</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63</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39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Tax</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1,888</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2,201</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2,865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809</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Net income</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4,960</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5,623</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7,083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2,110</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Other comprehensive income</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582</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-77</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342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Fitch comprehensive income</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5,542</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5,546</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7,425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2,110</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333333"/>
              </w:rPr>
              <w:t>Summary balance sheet</w:t>
            </w:r>
          </w:p>
        </w:tc>
        <w:tc>
          <w:tcPr>
            <w:tcW w:w="3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333333"/>
              </w:rPr>
              <w:t>Assets</w:t>
            </w:r>
          </w:p>
        </w:tc>
        <w:tc>
          <w:tcPr>
            <w:tcW w:w="3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Gross loans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144,976</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145,732</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149,985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152,825</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 of which impaired</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4,674</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4,384</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8,882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6,524</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Loan loss allowances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8,278</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7,995</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7,670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7,425</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Net loans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136,698</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137,737</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142,315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145,399</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Interbank</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3,622</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40,120</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41,395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42,980</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Derivatives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988</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905</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1,232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Other securities and earning assets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56,015</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57,659</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56,767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61,634</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Total earning assets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197,323</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236,421</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241,709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250,013</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Cash and due from banks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30,309</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7,535</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7,650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7,709</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Other assets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11,208</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12,132</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18,004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20,793</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Total assets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238,840</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256,089</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267,363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278,514</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333333"/>
              </w:rPr>
              <w:t>Liabilities</w:t>
            </w:r>
          </w:p>
        </w:tc>
        <w:tc>
          <w:tcPr>
            <w:tcW w:w="3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Customer deposits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146,510</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160,741</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169,420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178,628</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Interbank and other short-term funding</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17,724</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16,436</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15,611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5,872</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Other long-term funding</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21,155</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21,901</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19,371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26,416</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Trading liabilities and derivatives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892</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820</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1,048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Total funding and derivatives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186,281</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199,897</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205,450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210,916</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Other liabilities</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19,452</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21,215</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22,816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26,949</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Preference shares and hybrid capital</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Total equity</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33,107</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34,977</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39,096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40,648</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Total liabilities and equity</w:t>
            </w:r>
          </w:p>
        </w:tc>
        <w:tc>
          <w:tcPr>
            <w:tcW w:w="32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333333"/>
              </w:rPr>
              <w:t>238,840</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256,089</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333333"/>
              </w:rPr>
              <w:t>267,363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278,514</w:t>
            </w:r>
          </w:p>
        </w:tc>
        <w:tc>
          <w:tcPr>
            <w:tcW w:w="0" w:type="dxa"/>
            <w:vAlign w:val="bottom"/>
          </w:tcPr>
          <w:p>
            <w:pPr>
              <w:spacing w:after="0"/>
              <w:rPr>
                <w:sz w:val="1"/>
                <w:szCs w:val="1"/>
                <w:color w:val="auto"/>
              </w:rPr>
            </w:pPr>
          </w:p>
        </w:tc>
      </w:tr>
      <w:tr>
        <w:trPr>
          <w:trHeight w:val="129"/>
        </w:trPr>
        <w:tc>
          <w:tcPr>
            <w:tcW w:w="4020" w:type="dxa"/>
            <w:vAlign w:val="bottom"/>
            <w:vMerge w:val="restart"/>
          </w:tcPr>
          <w:p>
            <w:pPr>
              <w:spacing w:after="0"/>
              <w:rPr>
                <w:sz w:val="20"/>
                <w:szCs w:val="20"/>
                <w:color w:val="auto"/>
              </w:rPr>
            </w:pPr>
            <w:r>
              <w:rPr>
                <w:rFonts w:ascii="Arial" w:cs="Arial" w:eastAsia="Arial" w:hAnsi="Arial"/>
                <w:sz w:val="11"/>
                <w:szCs w:val="11"/>
                <w:color w:val="333333"/>
              </w:rPr>
              <w:t>Exchange rate</w:t>
            </w:r>
          </w:p>
        </w:tc>
        <w:tc>
          <w:tcPr>
            <w:tcW w:w="3200" w:type="dxa"/>
            <w:vAlign w:val="bottom"/>
          </w:tcPr>
          <w:p>
            <w:pPr>
              <w:jc w:val="right"/>
              <w:ind w:right="386"/>
              <w:spacing w:after="0"/>
              <w:rPr>
                <w:sz w:val="20"/>
                <w:szCs w:val="20"/>
                <w:color w:val="auto"/>
              </w:rPr>
            </w:pPr>
            <w:r>
              <w:rPr>
                <w:rFonts w:ascii="Arial" w:cs="Arial" w:eastAsia="Arial" w:hAnsi="Arial"/>
                <w:sz w:val="11"/>
                <w:szCs w:val="11"/>
                <w:color w:val="333333"/>
              </w:rPr>
              <w:t>USD1=</w:t>
            </w:r>
          </w:p>
        </w:tc>
        <w:tc>
          <w:tcPr>
            <w:tcW w:w="1520" w:type="dxa"/>
            <w:vAlign w:val="bottom"/>
          </w:tcPr>
          <w:p>
            <w:pPr>
              <w:jc w:val="right"/>
              <w:ind w:right="366"/>
              <w:spacing w:after="0"/>
              <w:rPr>
                <w:sz w:val="20"/>
                <w:szCs w:val="20"/>
                <w:color w:val="auto"/>
              </w:rPr>
            </w:pPr>
            <w:r>
              <w:rPr>
                <w:rFonts w:ascii="Arial" w:cs="Arial" w:eastAsia="Arial" w:hAnsi="Arial"/>
                <w:sz w:val="11"/>
                <w:szCs w:val="11"/>
                <w:color w:val="333333"/>
              </w:rPr>
              <w:t>USD1=</w:t>
            </w:r>
          </w:p>
        </w:tc>
        <w:tc>
          <w:tcPr>
            <w:tcW w:w="1480" w:type="dxa"/>
            <w:vAlign w:val="bottom"/>
          </w:tcPr>
          <w:p>
            <w:pPr>
              <w:jc w:val="right"/>
              <w:ind w:right="326"/>
              <w:spacing w:after="0"/>
              <w:rPr>
                <w:sz w:val="20"/>
                <w:szCs w:val="20"/>
                <w:color w:val="auto"/>
              </w:rPr>
            </w:pPr>
            <w:r>
              <w:rPr>
                <w:rFonts w:ascii="Arial" w:cs="Arial" w:eastAsia="Arial" w:hAnsi="Arial"/>
                <w:sz w:val="11"/>
                <w:szCs w:val="11"/>
                <w:color w:val="333333"/>
              </w:rPr>
              <w:t>USD1=</w:t>
            </w:r>
          </w:p>
        </w:tc>
        <w:tc>
          <w:tcPr>
            <w:tcW w:w="1020" w:type="dxa"/>
            <w:vAlign w:val="bottom"/>
          </w:tcPr>
          <w:p>
            <w:pPr>
              <w:jc w:val="right"/>
              <w:spacing w:after="0"/>
              <w:rPr>
                <w:sz w:val="20"/>
                <w:szCs w:val="20"/>
                <w:color w:val="auto"/>
              </w:rPr>
            </w:pPr>
            <w:r>
              <w:rPr>
                <w:rFonts w:ascii="Arial" w:cs="Arial" w:eastAsia="Arial" w:hAnsi="Arial"/>
                <w:sz w:val="11"/>
                <w:szCs w:val="11"/>
                <w:color w:val="333333"/>
              </w:rPr>
              <w:t>USD1=</w:t>
            </w:r>
          </w:p>
        </w:tc>
        <w:tc>
          <w:tcPr>
            <w:tcW w:w="0" w:type="dxa"/>
            <w:vAlign w:val="bottom"/>
          </w:tcPr>
          <w:p>
            <w:pPr>
              <w:spacing w:after="0"/>
              <w:rPr>
                <w:sz w:val="1"/>
                <w:szCs w:val="1"/>
                <w:color w:val="auto"/>
              </w:rPr>
            </w:pPr>
          </w:p>
        </w:tc>
      </w:tr>
      <w:tr>
        <w:trPr>
          <w:trHeight w:val="61"/>
        </w:trPr>
        <w:tc>
          <w:tcPr>
            <w:tcW w:w="4020" w:type="dxa"/>
            <w:vAlign w:val="bottom"/>
            <w:vMerge w:val="continue"/>
          </w:tcPr>
          <w:p>
            <w:pPr>
              <w:spacing w:after="0"/>
              <w:rPr>
                <w:sz w:val="5"/>
                <w:szCs w:val="5"/>
                <w:color w:val="auto"/>
              </w:rPr>
            </w:pPr>
          </w:p>
        </w:tc>
        <w:tc>
          <w:tcPr>
            <w:tcW w:w="3200" w:type="dxa"/>
            <w:vAlign w:val="bottom"/>
            <w:vMerge w:val="restart"/>
          </w:tcPr>
          <w:p>
            <w:pPr>
              <w:jc w:val="right"/>
              <w:ind w:right="386"/>
              <w:spacing w:after="0" w:line="122" w:lineRule="exact"/>
              <w:rPr>
                <w:sz w:val="20"/>
                <w:szCs w:val="20"/>
                <w:color w:val="auto"/>
              </w:rPr>
            </w:pPr>
            <w:r>
              <w:rPr>
                <w:rFonts w:ascii="Arial" w:cs="Arial" w:eastAsia="Arial" w:hAnsi="Arial"/>
                <w:sz w:val="11"/>
                <w:szCs w:val="11"/>
                <w:color w:val="333333"/>
              </w:rPr>
              <w:t>PEN3.7260</w:t>
            </w:r>
          </w:p>
        </w:tc>
        <w:tc>
          <w:tcPr>
            <w:tcW w:w="1520" w:type="dxa"/>
            <w:vAlign w:val="bottom"/>
            <w:vMerge w:val="restart"/>
          </w:tcPr>
          <w:p>
            <w:pPr>
              <w:jc w:val="right"/>
              <w:ind w:right="366"/>
              <w:spacing w:after="0" w:line="122" w:lineRule="exact"/>
              <w:rPr>
                <w:sz w:val="20"/>
                <w:szCs w:val="20"/>
                <w:color w:val="auto"/>
              </w:rPr>
            </w:pPr>
            <w:r>
              <w:rPr>
                <w:rFonts w:ascii="Arial" w:cs="Arial" w:eastAsia="Arial" w:hAnsi="Arial"/>
                <w:sz w:val="11"/>
                <w:szCs w:val="11"/>
                <w:color w:val="333333"/>
              </w:rPr>
              <w:t>PEN3.7340</w:t>
            </w:r>
          </w:p>
        </w:tc>
        <w:tc>
          <w:tcPr>
            <w:tcW w:w="1480" w:type="dxa"/>
            <w:vAlign w:val="bottom"/>
            <w:vMerge w:val="restart"/>
          </w:tcPr>
          <w:p>
            <w:pPr>
              <w:jc w:val="right"/>
              <w:ind w:right="326"/>
              <w:spacing w:after="0" w:line="122" w:lineRule="exact"/>
              <w:rPr>
                <w:sz w:val="20"/>
                <w:szCs w:val="20"/>
                <w:color w:val="auto"/>
              </w:rPr>
            </w:pPr>
            <w:r>
              <w:rPr>
                <w:rFonts w:ascii="Arial" w:cs="Arial" w:eastAsia="Arial" w:hAnsi="Arial"/>
                <w:sz w:val="11"/>
                <w:szCs w:val="11"/>
                <w:color w:val="333333"/>
              </w:rPr>
              <w:t>PEN3.3600</w:t>
            </w:r>
          </w:p>
        </w:tc>
        <w:tc>
          <w:tcPr>
            <w:tcW w:w="1020" w:type="dxa"/>
            <w:vAlign w:val="bottom"/>
            <w:vMerge w:val="restart"/>
          </w:tcPr>
          <w:p>
            <w:pPr>
              <w:jc w:val="right"/>
              <w:spacing w:after="0" w:line="122" w:lineRule="exact"/>
              <w:rPr>
                <w:sz w:val="20"/>
                <w:szCs w:val="20"/>
                <w:color w:val="auto"/>
              </w:rPr>
            </w:pPr>
            <w:r>
              <w:rPr>
                <w:rFonts w:ascii="Arial" w:cs="Arial" w:eastAsia="Arial" w:hAnsi="Arial"/>
                <w:sz w:val="11"/>
                <w:szCs w:val="11"/>
                <w:color w:val="333333"/>
              </w:rPr>
              <w:t>PEN3.4800</w:t>
            </w:r>
          </w:p>
        </w:tc>
        <w:tc>
          <w:tcPr>
            <w:tcW w:w="0" w:type="dxa"/>
            <w:vAlign w:val="bottom"/>
          </w:tcPr>
          <w:p>
            <w:pPr>
              <w:spacing w:after="0"/>
              <w:rPr>
                <w:sz w:val="1"/>
                <w:szCs w:val="1"/>
                <w:color w:val="auto"/>
              </w:rPr>
            </w:pPr>
          </w:p>
        </w:tc>
      </w:tr>
      <w:tr>
        <w:trPr>
          <w:trHeight w:val="60"/>
        </w:trPr>
        <w:tc>
          <w:tcPr>
            <w:tcW w:w="4020" w:type="dxa"/>
            <w:vAlign w:val="bottom"/>
            <w:tcBorders>
              <w:bottom w:val="single" w:sz="8" w:color="auto"/>
            </w:tcBorders>
          </w:tcPr>
          <w:p>
            <w:pPr>
              <w:spacing w:after="0"/>
              <w:rPr>
                <w:sz w:val="5"/>
                <w:szCs w:val="5"/>
                <w:color w:val="auto"/>
              </w:rPr>
            </w:pPr>
          </w:p>
        </w:tc>
        <w:tc>
          <w:tcPr>
            <w:tcW w:w="3200" w:type="dxa"/>
            <w:vAlign w:val="bottom"/>
            <w:tcBorders>
              <w:bottom w:val="single" w:sz="8" w:color="auto"/>
            </w:tcBorders>
            <w:vMerge w:val="continue"/>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20" w:type="dxa"/>
            <w:vAlign w:val="bottom"/>
            <w:tcBorders>
              <w:bottom w:val="single" w:sz="8" w:color="auto"/>
            </w:tcBorders>
          </w:tcPr>
          <w:p>
            <w:pPr>
              <w:spacing w:after="0"/>
              <w:rPr>
                <w:sz w:val="20"/>
                <w:szCs w:val="20"/>
                <w:color w:val="auto"/>
              </w:rPr>
            </w:pPr>
            <w:r>
              <w:rPr>
                <w:rFonts w:ascii="Arial" w:cs="Arial" w:eastAsia="Arial" w:hAnsi="Arial"/>
                <w:sz w:val="9"/>
                <w:szCs w:val="9"/>
                <w:color w:val="333333"/>
              </w:rPr>
              <w:t>Source: Fitch Ratings, Fitch Solutions, Credicorp</w:t>
            </w:r>
          </w:p>
        </w:tc>
        <w:tc>
          <w:tcPr>
            <w:tcW w:w="3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p>
      <w:pPr>
        <w:spacing w:after="0"/>
        <w:tabs>
          <w:tab w:leader="none" w:pos="10060" w:val="left"/>
        </w:tabs>
        <w:rPr>
          <w:sz w:val="20"/>
          <w:szCs w:val="20"/>
          <w:color w:val="auto"/>
        </w:rPr>
      </w:pPr>
      <w:r>
        <w:rPr>
          <w:rFonts w:ascii="Arial" w:cs="Arial" w:eastAsia="Arial" w:hAnsi="Arial"/>
          <w:sz w:val="14"/>
          <w:szCs w:val="14"/>
          <w:color w:val="auto"/>
        </w:rPr>
        <w:t>Rating Report | 23 June 2026</w:t>
      </w:r>
      <w:r>
        <w:rPr>
          <w:sz w:val="20"/>
          <w:szCs w:val="20"/>
          <w:color w:val="auto"/>
        </w:rPr>
        <w:tab/>
      </w:r>
      <w:r>
        <w:rPr>
          <w:rFonts w:ascii="Arial" w:cs="Arial" w:eastAsia="Arial" w:hAnsi="Arial"/>
          <w:sz w:val="14"/>
          <w:szCs w:val="14"/>
          <w:color w:val="auto"/>
        </w:rPr>
        <w:t>fitchratings.com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jc w:val="right"/>
        <w:ind w:right="20"/>
        <w:spacing w:after="0"/>
        <w:rPr>
          <w:sz w:val="20"/>
          <w:szCs w:val="20"/>
          <w:color w:val="auto"/>
        </w:rPr>
      </w:pPr>
      <w:r>
        <w:rPr>
          <w:rFonts w:ascii="Arial" w:cs="Arial" w:eastAsia="Arial" w:hAnsi="Arial"/>
          <w:sz w:val="16"/>
          <w:szCs w:val="16"/>
          <w:b w:val="1"/>
          <w:bCs w:val="1"/>
          <w:color w:val="333333"/>
        </w:rPr>
        <w:drawing>
          <wp:anchor simplePos="0" relativeHeight="251657728" behindDoc="1" locked="0" layoutInCell="0" allowOverlap="1">
            <wp:simplePos x="0" y="0"/>
            <wp:positionH relativeFrom="page">
              <wp:posOffset>208280</wp:posOffset>
            </wp:positionH>
            <wp:positionV relativeFrom="page">
              <wp:posOffset>106045</wp:posOffset>
            </wp:positionV>
            <wp:extent cx="1551305" cy="402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551305" cy="402590"/>
                    </a:xfrm>
                    <a:prstGeom prst="rect">
                      <a:avLst/>
                    </a:prstGeom>
                    <a:noFill/>
                  </pic:spPr>
                </pic:pic>
              </a:graphicData>
            </a:graphic>
          </wp:anchor>
        </w:drawing>
        <w:t>Banks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3"/>
          <w:szCs w:val="13"/>
          <w:color w:val="333333"/>
        </w:rPr>
        <w:t>Bank Holding Companies</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C32337"/>
        </w:rPr>
        <w:t>Bermuda</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333333"/>
        </w:rPr>
        <w:t>Key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4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333333"/>
              </w:rPr>
              <w:t>Dec. 31, 2023</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333333"/>
              </w:rPr>
              <w:t>Dec. 31, 2024</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333333"/>
              </w:rPr>
              <w:t>Dec. 31, 2025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333333"/>
              </w:rPr>
              <w:t>Mar. 31, 2026</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333333"/>
              </w:rPr>
              <w:t>Ratios (%; annualized as appropriate)</w:t>
            </w:r>
          </w:p>
        </w:tc>
        <w:tc>
          <w:tcPr>
            <w:tcW w:w="1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333333"/>
              </w:rPr>
              <w:t>Profitability</w:t>
            </w:r>
          </w:p>
        </w:tc>
        <w:tc>
          <w:tcPr>
            <w:tcW w:w="1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400" w:type="dxa"/>
            <w:vAlign w:val="bottom"/>
            <w:vMerge w:val="restart"/>
          </w:tcPr>
          <w:p>
            <w:pPr>
              <w:spacing w:after="0"/>
              <w:rPr>
                <w:sz w:val="20"/>
                <w:szCs w:val="20"/>
                <w:color w:val="auto"/>
              </w:rPr>
            </w:pPr>
            <w:r>
              <w:rPr>
                <w:rFonts w:ascii="Arial" w:cs="Arial" w:eastAsia="Arial" w:hAnsi="Arial"/>
                <w:sz w:val="11"/>
                <w:szCs w:val="11"/>
                <w:color w:val="333333"/>
              </w:rPr>
              <w:t>Operating profit/risk-weighted assets</w:t>
            </w:r>
          </w:p>
        </w:tc>
        <w:tc>
          <w:tcPr>
            <w:tcW w:w="1800" w:type="dxa"/>
            <w:vAlign w:val="bottom"/>
          </w:tcPr>
          <w:p>
            <w:pPr>
              <w:jc w:val="right"/>
              <w:ind w:right="366"/>
              <w:spacing w:after="0"/>
              <w:rPr>
                <w:sz w:val="20"/>
                <w:szCs w:val="20"/>
                <w:color w:val="auto"/>
              </w:rPr>
            </w:pPr>
            <w:r>
              <w:rPr>
                <w:rFonts w:ascii="Arial" w:cs="Arial" w:eastAsia="Arial" w:hAnsi="Arial"/>
                <w:sz w:val="11"/>
                <w:szCs w:val="11"/>
                <w:color w:val="333333"/>
              </w:rPr>
              <w:t>-</w:t>
            </w:r>
          </w:p>
        </w:tc>
        <w:tc>
          <w:tcPr>
            <w:tcW w:w="1520" w:type="dxa"/>
            <w:vAlign w:val="bottom"/>
            <w:vMerge w:val="restart"/>
          </w:tcPr>
          <w:p>
            <w:pPr>
              <w:jc w:val="right"/>
              <w:ind w:right="366"/>
              <w:spacing w:after="0"/>
              <w:rPr>
                <w:sz w:val="20"/>
                <w:szCs w:val="20"/>
                <w:color w:val="auto"/>
              </w:rPr>
            </w:pPr>
            <w:r>
              <w:rPr>
                <w:rFonts w:ascii="Arial" w:cs="Arial" w:eastAsia="Arial" w:hAnsi="Arial"/>
                <w:sz w:val="11"/>
                <w:szCs w:val="11"/>
                <w:color w:val="333333"/>
              </w:rPr>
              <w:t>-</w:t>
            </w:r>
          </w:p>
        </w:tc>
        <w:tc>
          <w:tcPr>
            <w:tcW w:w="1240" w:type="dxa"/>
            <w:vAlign w:val="bottom"/>
            <w:vMerge w:val="restart"/>
          </w:tcPr>
          <w:p>
            <w:pPr>
              <w:jc w:val="right"/>
              <w:ind w:right="66"/>
              <w:spacing w:after="0"/>
              <w:rPr>
                <w:sz w:val="20"/>
                <w:szCs w:val="20"/>
                <w:color w:val="auto"/>
              </w:rPr>
            </w:pPr>
            <w:r>
              <w:rPr>
                <w:rFonts w:ascii="Arial" w:cs="Arial" w:eastAsia="Arial" w:hAnsi="Arial"/>
                <w:sz w:val="11"/>
                <w:szCs w:val="11"/>
                <w:color w:val="333333"/>
              </w:rPr>
              <w:t>-</w:t>
            </w:r>
          </w:p>
        </w:tc>
        <w:tc>
          <w:tcPr>
            <w:tcW w:w="1280" w:type="dxa"/>
            <w:vAlign w:val="bottom"/>
            <w:vMerge w:val="restart"/>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47"/>
        </w:trPr>
        <w:tc>
          <w:tcPr>
            <w:tcW w:w="5400" w:type="dxa"/>
            <w:vAlign w:val="bottom"/>
            <w:tcBorders>
              <w:bottom w:val="single" w:sz="8" w:color="auto"/>
            </w:tcBorders>
            <w:vMerge w:val="continue"/>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1240" w:type="dxa"/>
            <w:vAlign w:val="bottom"/>
            <w:tcBorders>
              <w:bottom w:val="single" w:sz="8" w:color="auto"/>
            </w:tcBorders>
            <w:vMerge w:val="continue"/>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Net interest income/average earning assets</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6.5</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6.5</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6.3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6.5</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Non-interest expense/gross revenue</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47.0</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47.7</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46.7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45.6</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Net income/average equity</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15.9</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16.6</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19.4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21.5</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333333"/>
              </w:rPr>
              <w:t>Asset quality</w:t>
            </w:r>
          </w:p>
        </w:tc>
        <w:tc>
          <w:tcPr>
            <w:tcW w:w="1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Impaired loans ratio</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3.2</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3.0</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5.9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4.3</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Growth in gross loans</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-2.5</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0.5</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2.9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1.9</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Loan loss allowances/impaired loans</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177.1</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182.4</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86.4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113.8</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Loan impairment charges/average gross loans</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2.5</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2.4</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1.7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1.3</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333333"/>
              </w:rPr>
              <w:t>Capitalization</w:t>
            </w:r>
          </w:p>
        </w:tc>
        <w:tc>
          <w:tcPr>
            <w:tcW w:w="1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Common equity Tier 1 ratio</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Fully loaded common equity Tier 1 ratio</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Fitch Core Capital ratio</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Tangible common equity/tangible assets</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12.7</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12.5</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12.7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13.1</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Basel leverage ratio</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Net impaired loans/common equity Tier 1</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-20.2</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-11.6</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3.5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-2.6</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Net impaired loans/Fitch Core Capital</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-12.1</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333333"/>
              </w:rPr>
              <w:t>Funding and liquidity</w:t>
            </w:r>
          </w:p>
        </w:tc>
        <w:tc>
          <w:tcPr>
            <w:tcW w:w="1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Gross loans/customer deposits</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99.0</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90.7</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88.5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85.6</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Gross loans/customer deposits + covered bonds</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Liquidity coverage ratio</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color w:val="333333"/>
              </w:rPr>
              <w:t>Customer deposits/total non-equity funding</w:t>
            </w:r>
          </w:p>
        </w:tc>
        <w:tc>
          <w:tcPr>
            <w:tcW w:w="1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79.0</w:t>
            </w: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333333"/>
              </w:rPr>
              <w:t>80.7</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333333"/>
              </w:rPr>
              <w:t>82.9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33333"/>
              </w:rPr>
              <w:t>84.7</w:t>
            </w:r>
          </w:p>
        </w:tc>
        <w:tc>
          <w:tcPr>
            <w:tcW w:w="0" w:type="dxa"/>
            <w:vAlign w:val="bottom"/>
          </w:tcPr>
          <w:p>
            <w:pPr>
              <w:spacing w:after="0"/>
              <w:rPr>
                <w:sz w:val="1"/>
                <w:szCs w:val="1"/>
                <w:color w:val="auto"/>
              </w:rPr>
            </w:pPr>
          </w:p>
        </w:tc>
      </w:tr>
      <w:tr>
        <w:trPr>
          <w:trHeight w:val="135"/>
        </w:trPr>
        <w:tc>
          <w:tcPr>
            <w:tcW w:w="5400" w:type="dxa"/>
            <w:vAlign w:val="bottom"/>
            <w:vMerge w:val="restart"/>
          </w:tcPr>
          <w:p>
            <w:pPr>
              <w:spacing w:after="0"/>
              <w:rPr>
                <w:sz w:val="20"/>
                <w:szCs w:val="20"/>
                <w:color w:val="auto"/>
              </w:rPr>
            </w:pPr>
            <w:r>
              <w:rPr>
                <w:rFonts w:ascii="Arial" w:cs="Arial" w:eastAsia="Arial" w:hAnsi="Arial"/>
                <w:sz w:val="11"/>
                <w:szCs w:val="11"/>
                <w:color w:val="333333"/>
              </w:rPr>
              <w:t>Net stable funding ratio</w:t>
            </w:r>
          </w:p>
        </w:tc>
        <w:tc>
          <w:tcPr>
            <w:tcW w:w="1800" w:type="dxa"/>
            <w:vAlign w:val="bottom"/>
          </w:tcPr>
          <w:p>
            <w:pPr>
              <w:jc w:val="right"/>
              <w:ind w:right="366"/>
              <w:spacing w:after="0"/>
              <w:rPr>
                <w:sz w:val="20"/>
                <w:szCs w:val="20"/>
                <w:color w:val="auto"/>
              </w:rPr>
            </w:pPr>
            <w:r>
              <w:rPr>
                <w:rFonts w:ascii="Arial" w:cs="Arial" w:eastAsia="Arial" w:hAnsi="Arial"/>
                <w:sz w:val="11"/>
                <w:szCs w:val="11"/>
                <w:color w:val="333333"/>
              </w:rPr>
              <w:t>-</w:t>
            </w:r>
          </w:p>
        </w:tc>
        <w:tc>
          <w:tcPr>
            <w:tcW w:w="1520" w:type="dxa"/>
            <w:vAlign w:val="bottom"/>
            <w:vMerge w:val="restart"/>
          </w:tcPr>
          <w:p>
            <w:pPr>
              <w:jc w:val="right"/>
              <w:ind w:right="366"/>
              <w:spacing w:after="0"/>
              <w:rPr>
                <w:sz w:val="20"/>
                <w:szCs w:val="20"/>
                <w:color w:val="auto"/>
              </w:rPr>
            </w:pPr>
            <w:r>
              <w:rPr>
                <w:rFonts w:ascii="Arial" w:cs="Arial" w:eastAsia="Arial" w:hAnsi="Arial"/>
                <w:sz w:val="11"/>
                <w:szCs w:val="11"/>
                <w:color w:val="333333"/>
              </w:rPr>
              <w:t>-</w:t>
            </w:r>
          </w:p>
        </w:tc>
        <w:tc>
          <w:tcPr>
            <w:tcW w:w="1240" w:type="dxa"/>
            <w:vAlign w:val="bottom"/>
            <w:vMerge w:val="restart"/>
          </w:tcPr>
          <w:p>
            <w:pPr>
              <w:jc w:val="right"/>
              <w:ind w:right="66"/>
              <w:spacing w:after="0"/>
              <w:rPr>
                <w:sz w:val="20"/>
                <w:szCs w:val="20"/>
                <w:color w:val="auto"/>
              </w:rPr>
            </w:pPr>
            <w:r>
              <w:rPr>
                <w:rFonts w:ascii="Arial" w:cs="Arial" w:eastAsia="Arial" w:hAnsi="Arial"/>
                <w:sz w:val="11"/>
                <w:szCs w:val="11"/>
                <w:color w:val="333333"/>
              </w:rPr>
              <w:t>-</w:t>
            </w:r>
          </w:p>
        </w:tc>
        <w:tc>
          <w:tcPr>
            <w:tcW w:w="1280" w:type="dxa"/>
            <w:vAlign w:val="bottom"/>
            <w:vMerge w:val="restart"/>
          </w:tcPr>
          <w:p>
            <w:pPr>
              <w:jc w:val="right"/>
              <w:spacing w:after="0"/>
              <w:rPr>
                <w:sz w:val="20"/>
                <w:szCs w:val="20"/>
                <w:color w:val="auto"/>
              </w:rPr>
            </w:pPr>
            <w:r>
              <w:rPr>
                <w:rFonts w:ascii="Arial" w:cs="Arial" w:eastAsia="Arial" w:hAnsi="Arial"/>
                <w:sz w:val="11"/>
                <w:szCs w:val="11"/>
                <w:color w:val="333333"/>
              </w:rPr>
              <w:t>-</w:t>
            </w:r>
          </w:p>
        </w:tc>
        <w:tc>
          <w:tcPr>
            <w:tcW w:w="0" w:type="dxa"/>
            <w:vAlign w:val="bottom"/>
          </w:tcPr>
          <w:p>
            <w:pPr>
              <w:spacing w:after="0"/>
              <w:rPr>
                <w:sz w:val="1"/>
                <w:szCs w:val="1"/>
                <w:color w:val="auto"/>
              </w:rPr>
            </w:pPr>
          </w:p>
        </w:tc>
      </w:tr>
      <w:tr>
        <w:trPr>
          <w:trHeight w:val="47"/>
        </w:trPr>
        <w:tc>
          <w:tcPr>
            <w:tcW w:w="5400" w:type="dxa"/>
            <w:vAlign w:val="bottom"/>
            <w:tcBorders>
              <w:bottom w:val="single" w:sz="8" w:color="auto"/>
            </w:tcBorders>
            <w:vMerge w:val="continue"/>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1240" w:type="dxa"/>
            <w:vAlign w:val="bottom"/>
            <w:tcBorders>
              <w:bottom w:val="single" w:sz="8" w:color="auto"/>
            </w:tcBorders>
            <w:vMerge w:val="continue"/>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9"/>
                <w:szCs w:val="9"/>
                <w:color w:val="333333"/>
              </w:rPr>
              <w:t>Source: Fitch Ratings, Fitch Solutions, Credicorp</w:t>
            </w:r>
          </w:p>
        </w:tc>
        <w:tc>
          <w:tcPr>
            <w:tcW w:w="1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C32337"/>
              </w:rPr>
              <w:t>Environmental, Social and Governance Considerations</w:t>
            </w:r>
          </w:p>
        </w:tc>
        <w:tc>
          <w:tcPr>
            <w:tcW w:w="18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400" w:type="dxa"/>
            <w:vAlign w:val="bottom"/>
            <w:tcBorders>
              <w:bottom w:val="single" w:sz="8" w:color="DFDFDF"/>
            </w:tcBorders>
          </w:tcPr>
          <w:p>
            <w:pPr>
              <w:spacing w:after="0"/>
              <w:rPr>
                <w:sz w:val="24"/>
                <w:szCs w:val="24"/>
                <w:color w:val="auto"/>
              </w:rPr>
            </w:pPr>
          </w:p>
        </w:tc>
        <w:tc>
          <w:tcPr>
            <w:tcW w:w="1800" w:type="dxa"/>
            <w:vAlign w:val="bottom"/>
            <w:tcBorders>
              <w:bottom w:val="single" w:sz="8" w:color="DFDFDF"/>
            </w:tcBorders>
          </w:tcPr>
          <w:p>
            <w:pPr>
              <w:spacing w:after="0"/>
              <w:rPr>
                <w:sz w:val="24"/>
                <w:szCs w:val="24"/>
                <w:color w:val="auto"/>
              </w:rPr>
            </w:pPr>
          </w:p>
        </w:tc>
        <w:tc>
          <w:tcPr>
            <w:tcW w:w="1520" w:type="dxa"/>
            <w:vAlign w:val="bottom"/>
            <w:tcBorders>
              <w:bottom w:val="single" w:sz="8" w:color="DFDFDF"/>
            </w:tcBorders>
          </w:tcPr>
          <w:p>
            <w:pPr>
              <w:spacing w:after="0"/>
              <w:rPr>
                <w:sz w:val="24"/>
                <w:szCs w:val="24"/>
                <w:color w:val="auto"/>
              </w:rPr>
            </w:pPr>
          </w:p>
        </w:tc>
        <w:tc>
          <w:tcPr>
            <w:tcW w:w="1240" w:type="dxa"/>
            <w:vAlign w:val="bottom"/>
            <w:tcBorders>
              <w:bottom w:val="single" w:sz="8" w:color="DFDFDF"/>
            </w:tcBorders>
          </w:tcPr>
          <w:p>
            <w:pPr>
              <w:spacing w:after="0"/>
              <w:rPr>
                <w:sz w:val="24"/>
                <w:szCs w:val="24"/>
                <w:color w:val="auto"/>
              </w:rPr>
            </w:pPr>
          </w:p>
        </w:tc>
        <w:tc>
          <w:tcPr>
            <w:tcW w:w="1280" w:type="dxa"/>
            <w:vAlign w:val="bottom"/>
            <w:tcBorders>
              <w:bottom w:val="single" w:sz="8" w:color="DFDFDF"/>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rPr>
                <w:sz w:val="20"/>
                <w:szCs w:val="20"/>
                <w:color w:val="auto"/>
              </w:rPr>
            </w:pPr>
            <w:r>
              <w:rPr>
                <w:rFonts w:ascii="Arial" w:cs="Arial" w:eastAsia="Arial" w:hAnsi="Arial"/>
                <w:sz w:val="14"/>
                <w:szCs w:val="14"/>
                <w:color w:val="auto"/>
              </w:rPr>
              <w:t>Rating Report | 23 June 2026</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fitchratings.com 4</w:t>
            </w:r>
          </w:p>
        </w:tc>
        <w:tc>
          <w:tcPr>
            <w:tcW w:w="0" w:type="dxa"/>
            <w:vAlign w:val="bottom"/>
          </w:tcPr>
          <w:p>
            <w:pPr>
              <w:spacing w:after="0"/>
              <w:rPr>
                <w:sz w:val="1"/>
                <w:szCs w:val="1"/>
                <w:color w:val="auto"/>
              </w:rPr>
            </w:pPr>
          </w:p>
        </w:tc>
      </w:tr>
      <w:tr>
        <w:trPr>
          <w:trHeight w:val="29"/>
        </w:trPr>
        <w:tc>
          <w:tcPr>
            <w:tcW w:w="5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9" w:right="339" w:bottom="1440" w:gutter="0" w:footer="0" w:header="0"/>
        </w:sectPr>
      </w:pPr>
    </w:p>
    <w:bookmarkStart w:id="7" w:name="page8"/>
    <w:bookmarkEnd w:id="7"/>
    <w:p>
      <w:pPr>
        <w:jc w:val="right"/>
        <w:ind w:right="20"/>
        <w:spacing w:after="0"/>
        <w:rPr>
          <w:sz w:val="20"/>
          <w:szCs w:val="20"/>
          <w:color w:val="auto"/>
        </w:rPr>
      </w:pPr>
      <w:r>
        <w:rPr>
          <w:rFonts w:ascii="Arial" w:cs="Arial" w:eastAsia="Arial" w:hAnsi="Arial"/>
          <w:sz w:val="16"/>
          <w:szCs w:val="16"/>
          <w:b w:val="1"/>
          <w:bCs w:val="1"/>
          <w:color w:val="333333"/>
        </w:rPr>
        <w:drawing>
          <wp:anchor simplePos="0" relativeHeight="251657728" behindDoc="1" locked="0" layoutInCell="0" allowOverlap="1">
            <wp:simplePos x="0" y="0"/>
            <wp:positionH relativeFrom="page">
              <wp:posOffset>208280</wp:posOffset>
            </wp:positionH>
            <wp:positionV relativeFrom="page">
              <wp:posOffset>106045</wp:posOffset>
            </wp:positionV>
            <wp:extent cx="1551305" cy="402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551305" cy="402590"/>
                    </a:xfrm>
                    <a:prstGeom prst="rect">
                      <a:avLst/>
                    </a:prstGeom>
                    <a:noFill/>
                  </pic:spPr>
                </pic:pic>
              </a:graphicData>
            </a:graphic>
          </wp:anchor>
        </w:drawing>
        <w:t>Banks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3"/>
          <w:szCs w:val="13"/>
          <w:color w:val="333333"/>
        </w:rPr>
        <w:t>Bank Holding Companies</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C32337"/>
        </w:rPr>
        <w:t>Bermuda</w:t>
      </w:r>
    </w:p>
    <w:p>
      <w:pPr>
        <w:spacing w:after="0" w:line="356" w:lineRule="exact"/>
        <w:rPr>
          <w:sz w:val="20"/>
          <w:szCs w:val="20"/>
          <w:color w:val="auto"/>
        </w:rPr>
      </w:pPr>
    </w:p>
    <w:p>
      <w:pPr>
        <w:ind w:left="80"/>
        <w:spacing w:after="0"/>
        <w:tabs>
          <w:tab w:leader="none" w:pos="6420" w:val="left"/>
        </w:tabs>
        <w:rPr>
          <w:sz w:val="20"/>
          <w:szCs w:val="20"/>
          <w:color w:val="auto"/>
        </w:rPr>
      </w:pPr>
      <w:r>
        <w:rPr>
          <w:rFonts w:ascii="Arial" w:cs="Arial" w:eastAsia="Arial" w:hAnsi="Arial"/>
          <w:sz w:val="12"/>
          <w:szCs w:val="12"/>
          <w:color w:val="333333"/>
        </w:rPr>
        <w:t>ESG Scoring</w:t>
      </w:r>
      <w:r>
        <w:rPr>
          <w:sz w:val="20"/>
          <w:szCs w:val="20"/>
          <w:color w:val="auto"/>
        </w:rPr>
        <w:tab/>
      </w:r>
      <w:r>
        <w:rPr>
          <w:rFonts w:ascii="Arial" w:cs="Arial" w:eastAsia="Arial" w:hAnsi="Arial"/>
          <w:sz w:val="11"/>
          <w:szCs w:val="11"/>
          <w:color w:val="333333"/>
        </w:rPr>
        <w:t>Credit-Relevant ESG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140335</wp:posOffset>
            </wp:positionV>
            <wp:extent cx="28321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210" cy="24003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294" w:lineRule="exact"/>
        <w:rPr>
          <w:sz w:val="20"/>
          <w:szCs w:val="20"/>
          <w:color w:val="auto"/>
        </w:rPr>
      </w:pPr>
    </w:p>
    <w:p>
      <w:pPr>
        <w:ind w:left="80" w:right="577"/>
        <w:spacing w:after="0" w:line="258" w:lineRule="auto"/>
        <w:rPr>
          <w:sz w:val="20"/>
          <w:szCs w:val="20"/>
          <w:color w:val="auto"/>
        </w:rPr>
      </w:pPr>
      <w:r>
        <w:rPr>
          <w:rFonts w:ascii="Arial" w:cs="Arial" w:eastAsia="Arial" w:hAnsi="Arial"/>
          <w:sz w:val="12"/>
          <w:szCs w:val="12"/>
          <w:color w:val="333333"/>
        </w:rPr>
        <w:t>ESG relevance scores range from ‘1’ to ‘5’ based on a 15-level colour gradation. Red (5) is most relevant to the credit rating and green (1) is least relevant.</w:t>
      </w:r>
    </w:p>
    <w:p>
      <w:pPr>
        <w:spacing w:after="0" w:line="284" w:lineRule="exact"/>
        <w:rPr>
          <w:sz w:val="20"/>
          <w:szCs w:val="20"/>
          <w:color w:val="auto"/>
        </w:rPr>
      </w:pPr>
    </w:p>
    <w:p>
      <w:pPr>
        <w:ind w:left="80" w:right="437"/>
        <w:spacing w:after="0" w:line="272" w:lineRule="auto"/>
        <w:rPr>
          <w:sz w:val="20"/>
          <w:szCs w:val="20"/>
          <w:color w:val="auto"/>
        </w:rPr>
      </w:pPr>
      <w:r>
        <w:rPr>
          <w:rFonts w:ascii="Arial" w:cs="Arial" w:eastAsia="Arial" w:hAnsi="Arial"/>
          <w:sz w:val="11"/>
          <w:szCs w:val="11"/>
          <w:color w:val="333333"/>
        </w:rPr>
        <w:t>The Environmental (E), Social (S) and Governance (G) tables break out the general and the sector-specific issues that are most relevant to each industry group. Relevance scores are assigned to each sector-specific issue, signalling the credit relevance of the sector-specific issues to an issuer’s overall credit rating. The Reference column highlights the factor(s) within which the corresponding ESG issues are captured in Fitch’s credit analysis.</w:t>
      </w:r>
    </w:p>
    <w:p>
      <w:pPr>
        <w:spacing w:after="0" w:line="169" w:lineRule="exact"/>
        <w:rPr>
          <w:sz w:val="20"/>
          <w:szCs w:val="20"/>
          <w:color w:val="auto"/>
        </w:rPr>
      </w:pPr>
    </w:p>
    <w:p>
      <w:pPr>
        <w:ind w:left="80" w:right="377"/>
        <w:spacing w:after="0" w:line="268" w:lineRule="auto"/>
        <w:rPr>
          <w:sz w:val="20"/>
          <w:szCs w:val="20"/>
          <w:color w:val="auto"/>
        </w:rPr>
      </w:pPr>
      <w:r>
        <w:rPr>
          <w:rFonts w:ascii="Arial" w:cs="Arial" w:eastAsia="Arial" w:hAnsi="Arial"/>
          <w:sz w:val="11"/>
          <w:szCs w:val="11"/>
          <w:color w:val="333333"/>
        </w:rPr>
        <w:t>The panels underneath the relevance scores tables are visualisations of the frequency of occurrence of the highest ESG relevance scores across the combined E, S and G categories. The Score columns summarise rating relevance and impact to credit from ESG issues. The column on the far left identifies any ESG relevance sub-factor issues that are drivers or potential drivers of an issuer’s credit rating (corresponding with scores of ‘3’, ‘4’ or ‘5’). All scores of ‘4’ and ‘5’ are assumed to reflect a negative impact unless indicated with a ‘+’ sign for positive impact.</w:t>
      </w:r>
    </w:p>
    <w:p>
      <w:pPr>
        <w:spacing w:after="0" w:line="144" w:lineRule="exact"/>
        <w:rPr>
          <w:sz w:val="20"/>
          <w:szCs w:val="20"/>
          <w:color w:val="auto"/>
        </w:rPr>
      </w:pPr>
    </w:p>
    <w:p>
      <w:pPr>
        <w:ind w:left="80" w:right="497"/>
        <w:spacing w:after="0" w:line="246" w:lineRule="auto"/>
        <w:rPr>
          <w:sz w:val="20"/>
          <w:szCs w:val="20"/>
          <w:color w:val="auto"/>
        </w:rPr>
      </w:pPr>
      <w:r>
        <w:rPr>
          <w:rFonts w:ascii="Arial" w:cs="Arial" w:eastAsia="Arial" w:hAnsi="Arial"/>
          <w:sz w:val="12"/>
          <w:szCs w:val="12"/>
          <w:color w:val="333333"/>
        </w:rPr>
        <w:t>Classification of ESG issues has been developed from Fitch’s sector ratings criteria. The general and sector-specific issues draw on the classification standards published by the UN Principles for Responsible Investing, the Sustainability Accounting Standards Board and the World Bank.</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263"/>
        <w:spacing w:after="0"/>
        <w:rPr>
          <w:sz w:val="20"/>
          <w:szCs w:val="20"/>
          <w:color w:val="auto"/>
        </w:rPr>
      </w:pPr>
      <w:r>
        <w:rPr>
          <w:rFonts w:ascii="Arial" w:cs="Arial" w:eastAsia="Arial" w:hAnsi="Arial"/>
          <w:sz w:val="12"/>
          <w:szCs w:val="12"/>
          <w:color w:val="333333"/>
        </w:rPr>
        <w:t>Highly relevant, a key rating driver that hasa significant impact on the</w:t>
      </w:r>
    </w:p>
    <w:p>
      <w:pPr>
        <w:spacing w:after="0" w:line="17" w:lineRule="exact"/>
        <w:rPr>
          <w:sz w:val="20"/>
          <w:szCs w:val="20"/>
          <w:color w:val="auto"/>
        </w:rPr>
      </w:pPr>
    </w:p>
    <w:p>
      <w:pPr>
        <w:ind w:left="263" w:right="1240" w:hanging="263"/>
        <w:spacing w:after="0" w:line="181" w:lineRule="auto"/>
        <w:tabs>
          <w:tab w:leader="none" w:pos="263" w:val="left"/>
        </w:tabs>
        <w:numPr>
          <w:ilvl w:val="0"/>
          <w:numId w:val="1"/>
        </w:numPr>
        <w:rPr>
          <w:rFonts w:ascii="Arial" w:cs="Arial" w:eastAsia="Arial" w:hAnsi="Arial"/>
          <w:sz w:val="22"/>
          <w:szCs w:val="22"/>
          <w:color w:val="333333"/>
          <w:vertAlign w:val="superscript"/>
        </w:rPr>
      </w:pPr>
      <w:r>
        <w:rPr>
          <w:rFonts w:ascii="Arial" w:cs="Arial" w:eastAsia="Arial" w:hAnsi="Arial"/>
          <w:sz w:val="11"/>
          <w:szCs w:val="11"/>
          <w:color w:val="333333"/>
        </w:rPr>
        <w:t>rating on an individual basis. Equivalent to ‘Higher’ relative importance within the Navigator.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46355</wp:posOffset>
            </wp:positionV>
            <wp:extent cx="30943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7" w:lineRule="exact"/>
        <w:rPr>
          <w:sz w:val="20"/>
          <w:szCs w:val="20"/>
          <w:color w:val="auto"/>
        </w:rPr>
      </w:pPr>
    </w:p>
    <w:p>
      <w:pPr>
        <w:ind w:left="263"/>
        <w:spacing w:after="0"/>
        <w:rPr>
          <w:sz w:val="20"/>
          <w:szCs w:val="20"/>
          <w:color w:val="auto"/>
        </w:rPr>
      </w:pPr>
      <w:r>
        <w:rPr>
          <w:rFonts w:ascii="Arial" w:cs="Arial" w:eastAsia="Arial" w:hAnsi="Arial"/>
          <w:sz w:val="11"/>
          <w:szCs w:val="11"/>
          <w:color w:val="333333"/>
        </w:rPr>
        <w:t>Relevant to rating, not a key rating driver but has an impact on the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-48895</wp:posOffset>
            </wp:positionV>
            <wp:extent cx="28321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3210" cy="222885"/>
                    </a:xfrm>
                    <a:prstGeom prst="rect">
                      <a:avLst/>
                    </a:prstGeom>
                    <a:noFill/>
                  </pic:spPr>
                </pic:pic>
              </a:graphicData>
            </a:graphic>
          </wp:anchor>
        </w:drawing>
      </w:r>
    </w:p>
    <w:p>
      <w:pPr>
        <w:ind w:left="263" w:hanging="259"/>
        <w:spacing w:after="0" w:line="188" w:lineRule="auto"/>
        <w:tabs>
          <w:tab w:leader="none" w:pos="263" w:val="left"/>
        </w:tabs>
        <w:numPr>
          <w:ilvl w:val="0"/>
          <w:numId w:val="2"/>
        </w:numPr>
        <w:rPr>
          <w:rFonts w:ascii="Arial" w:cs="Arial" w:eastAsia="Arial" w:hAnsi="Arial"/>
          <w:sz w:val="17"/>
          <w:szCs w:val="17"/>
          <w:color w:val="auto"/>
          <w:vertAlign w:val="subscript"/>
        </w:rPr>
      </w:pPr>
      <w:r>
        <w:rPr>
          <w:rFonts w:ascii="Arial" w:cs="Arial" w:eastAsia="Arial" w:hAnsi="Arial"/>
          <w:sz w:val="9"/>
          <w:szCs w:val="9"/>
          <w:color w:val="333333"/>
        </w:rPr>
        <w:t>in</w:t>
      </w:r>
    </w:p>
    <w:p>
      <w:pPr>
        <w:ind w:left="263" w:right="560"/>
        <w:spacing w:after="0" w:line="241" w:lineRule="auto"/>
        <w:rPr>
          <w:rFonts w:ascii="Arial" w:cs="Arial" w:eastAsia="Arial" w:hAnsi="Arial"/>
          <w:sz w:val="17"/>
          <w:szCs w:val="17"/>
          <w:color w:val="auto"/>
          <w:vertAlign w:val="subscript"/>
        </w:rPr>
      </w:pPr>
      <w:r>
        <w:rPr>
          <w:rFonts w:ascii="Arial" w:cs="Arial" w:eastAsia="Arial" w:hAnsi="Arial"/>
          <w:sz w:val="12"/>
          <w:szCs w:val="12"/>
          <w:color w:val="333333"/>
        </w:rPr>
        <w:t>combination with other factors. Equivalent to ‘Moderate’ relative importance within the Navigator.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45720</wp:posOffset>
            </wp:positionV>
            <wp:extent cx="30943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60" w:lineRule="exact"/>
        <w:rPr>
          <w:sz w:val="20"/>
          <w:szCs w:val="20"/>
          <w:color w:val="auto"/>
        </w:rPr>
      </w:pPr>
    </w:p>
    <w:p>
      <w:pPr>
        <w:ind w:left="263"/>
        <w:spacing w:after="0"/>
        <w:rPr>
          <w:sz w:val="20"/>
          <w:szCs w:val="20"/>
          <w:color w:val="auto"/>
        </w:rPr>
      </w:pPr>
      <w:r>
        <w:rPr>
          <w:rFonts w:ascii="Arial" w:cs="Arial" w:eastAsia="Arial" w:hAnsi="Arial"/>
          <w:sz w:val="11"/>
          <w:szCs w:val="11"/>
          <w:color w:val="333333"/>
        </w:rPr>
        <w:t>Minimally relevant to rating, either very low impact or actively managed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-6350</wp:posOffset>
            </wp:positionV>
            <wp:extent cx="291465" cy="248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1465" cy="248285"/>
                    </a:xfrm>
                    <a:prstGeom prst="rect">
                      <a:avLst/>
                    </a:prstGeom>
                    <a:noFill/>
                  </pic:spPr>
                </pic:pic>
              </a:graphicData>
            </a:graphic>
          </wp:anchor>
        </w:drawing>
      </w:r>
    </w:p>
    <w:p>
      <w:pPr>
        <w:ind w:left="263" w:right="100" w:hanging="263"/>
        <w:spacing w:after="0" w:line="241" w:lineRule="auto"/>
        <w:tabs>
          <w:tab w:leader="none" w:pos="263" w:val="left"/>
        </w:tabs>
        <w:numPr>
          <w:ilvl w:val="0"/>
          <w:numId w:val="3"/>
        </w:numPr>
        <w:rPr>
          <w:rFonts w:ascii="Arial" w:cs="Arial" w:eastAsia="Arial" w:hAnsi="Arial"/>
          <w:sz w:val="12"/>
          <w:szCs w:val="12"/>
          <w:color w:val="auto"/>
        </w:rPr>
      </w:pPr>
      <w:r>
        <w:rPr>
          <w:rFonts w:ascii="Arial" w:cs="Arial" w:eastAsia="Arial" w:hAnsi="Arial"/>
          <w:sz w:val="12"/>
          <w:szCs w:val="12"/>
          <w:color w:val="333333"/>
        </w:rPr>
        <w:t>in a way that results in no impact on the entity rating. Equivalent to ‘Lower’ relative importance within the Navigator.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131445</wp:posOffset>
            </wp:positionV>
            <wp:extent cx="30943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94355" cy="8255"/>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191135</wp:posOffset>
            </wp:positionV>
            <wp:extent cx="27432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4320"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63" w:hanging="263"/>
        <w:spacing w:after="0"/>
        <w:tabs>
          <w:tab w:leader="none" w:pos="263" w:val="left"/>
        </w:tabs>
        <w:numPr>
          <w:ilvl w:val="0"/>
          <w:numId w:val="4"/>
        </w:numPr>
        <w:rPr>
          <w:rFonts w:ascii="Arial" w:cs="Arial" w:eastAsia="Arial" w:hAnsi="Arial"/>
          <w:sz w:val="12"/>
          <w:szCs w:val="12"/>
          <w:color w:val="auto"/>
        </w:rPr>
      </w:pPr>
      <w:r>
        <w:rPr>
          <w:rFonts w:ascii="Arial" w:cs="Arial" w:eastAsia="Arial" w:hAnsi="Arial"/>
          <w:sz w:val="12"/>
          <w:szCs w:val="12"/>
          <w:color w:val="333333"/>
        </w:rPr>
        <w:t>Irrelevant to the entity rating but relevant to the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148590</wp:posOffset>
            </wp:positionV>
            <wp:extent cx="30943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9435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208915</wp:posOffset>
            </wp:positionV>
            <wp:extent cx="274320"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4320" cy="222885"/>
                    </a:xfrm>
                    <a:prstGeom prst="rect">
                      <a:avLst/>
                    </a:prstGeom>
                    <a:noFill/>
                  </pic:spPr>
                </pic:pic>
              </a:graphicData>
            </a:graphic>
          </wp:anchor>
        </w:drawing>
      </w:r>
    </w:p>
    <w:p>
      <w:pPr>
        <w:spacing w:after="0" w:line="364" w:lineRule="exact"/>
        <w:rPr>
          <w:sz w:val="20"/>
          <w:szCs w:val="20"/>
          <w:color w:val="auto"/>
        </w:rPr>
      </w:pPr>
    </w:p>
    <w:p>
      <w:pPr>
        <w:sectPr>
          <w:pgSz w:w="11900" w:h="16838" w:orient="portrait"/>
          <w:cols w:equalWidth="0" w:num="2">
            <w:col w:w="6417" w:space="720"/>
            <w:col w:w="4103"/>
          </w:cols>
          <w:pgMar w:left="320" w:top="179" w:right="339" w:bottom="1440" w:gutter="0" w:footer="0" w:header="0"/>
          <w:type w:val="continuous"/>
        </w:sectPr>
      </w:pPr>
    </w:p>
    <w:p>
      <w:pPr>
        <w:spacing w:after="0" w:line="64" w:lineRule="exact"/>
        <w:rPr>
          <w:sz w:val="20"/>
          <w:szCs w:val="20"/>
          <w:color w:val="auto"/>
        </w:rPr>
      </w:pPr>
    </w:p>
    <w:p>
      <w:pPr>
        <w:ind w:left="7160"/>
        <w:spacing w:after="0"/>
        <w:tabs>
          <w:tab w:leader="none" w:pos="7380" w:val="left"/>
        </w:tabs>
        <w:rPr>
          <w:sz w:val="20"/>
          <w:szCs w:val="20"/>
          <w:color w:val="auto"/>
        </w:rPr>
      </w:pPr>
      <w:r>
        <w:rPr>
          <w:rFonts w:ascii="Arial" w:cs="Arial" w:eastAsia="Arial" w:hAnsi="Arial"/>
          <w:sz w:val="12"/>
          <w:szCs w:val="12"/>
          <w:color w:val="auto"/>
        </w:rPr>
        <w:t>1</w:t>
      </w:r>
      <w:r>
        <w:rPr>
          <w:rFonts w:ascii="Arial" w:cs="Arial" w:eastAsia="Arial" w:hAnsi="Arial"/>
          <w:sz w:val="12"/>
          <w:szCs w:val="12"/>
          <w:color w:val="333333"/>
        </w:rPr>
        <w:tab/>
        <w:t>Irrelevant to the entity rating and irrelevant to the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620" w:type="dxa"/>
            <w:vAlign w:val="bottom"/>
          </w:tcPr>
          <w:p>
            <w:pPr>
              <w:ind w:left="60"/>
              <w:spacing w:after="0"/>
              <w:rPr>
                <w:sz w:val="20"/>
                <w:szCs w:val="20"/>
                <w:color w:val="auto"/>
              </w:rPr>
            </w:pPr>
            <w:r>
              <w:rPr>
                <w:rFonts w:ascii="Arial" w:cs="Arial" w:eastAsia="Arial" w:hAnsi="Arial"/>
                <w:sz w:val="18"/>
                <w:szCs w:val="18"/>
                <w:b w:val="1"/>
                <w:bCs w:val="1"/>
                <w:color w:val="C32337"/>
              </w:rPr>
              <w:t>Ratings</w:t>
            </w:r>
          </w:p>
        </w:tc>
        <w:tc>
          <w:tcPr>
            <w:tcW w:w="6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620" w:type="dxa"/>
            <w:vAlign w:val="bottom"/>
          </w:tcPr>
          <w:p>
            <w:pPr>
              <w:ind w:left="60"/>
              <w:spacing w:after="0"/>
              <w:rPr>
                <w:sz w:val="20"/>
                <w:szCs w:val="20"/>
                <w:color w:val="auto"/>
              </w:rPr>
            </w:pPr>
            <w:r>
              <w:rPr>
                <w:rFonts w:ascii="Arial" w:cs="Arial" w:eastAsia="Arial" w:hAnsi="Arial"/>
                <w:sz w:val="12"/>
                <w:szCs w:val="12"/>
                <w:b w:val="1"/>
                <w:bCs w:val="1"/>
                <w:color w:val="333333"/>
              </w:rPr>
              <w:t>Foreign Currency</w:t>
            </w:r>
          </w:p>
        </w:tc>
        <w:tc>
          <w:tcPr>
            <w:tcW w:w="6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
        </w:trPr>
        <w:tc>
          <w:tcPr>
            <w:tcW w:w="4620" w:type="dxa"/>
            <w:vAlign w:val="bottom"/>
            <w:tcBorders>
              <w:bottom w:val="single" w:sz="8" w:color="DFDFDF"/>
            </w:tcBorders>
          </w:tcPr>
          <w:p>
            <w:pPr>
              <w:spacing w:after="0"/>
              <w:rPr>
                <w:sz w:val="5"/>
                <w:szCs w:val="5"/>
                <w:color w:val="auto"/>
              </w:rPr>
            </w:pPr>
          </w:p>
        </w:tc>
        <w:tc>
          <w:tcPr>
            <w:tcW w:w="6620" w:type="dxa"/>
            <w:vAlign w:val="bottom"/>
            <w:tcBorders>
              <w:bottom w:val="single" w:sz="8" w:color="DFDFDF"/>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4620" w:type="dxa"/>
            <w:vAlign w:val="bottom"/>
          </w:tcPr>
          <w:p>
            <w:pPr>
              <w:ind w:left="60"/>
              <w:spacing w:after="0"/>
              <w:rPr>
                <w:sz w:val="20"/>
                <w:szCs w:val="20"/>
                <w:color w:val="auto"/>
              </w:rPr>
            </w:pPr>
            <w:r>
              <w:rPr>
                <w:rFonts w:ascii="Arial" w:cs="Arial" w:eastAsia="Arial" w:hAnsi="Arial"/>
                <w:sz w:val="12"/>
                <w:szCs w:val="12"/>
                <w:color w:val="auto"/>
              </w:rPr>
              <w:t>Long-Term IDR</w:t>
            </w:r>
          </w:p>
        </w:tc>
        <w:tc>
          <w:tcPr>
            <w:tcW w:w="6620" w:type="dxa"/>
            <w:vAlign w:val="bottom"/>
            <w:vMerge w:val="restart"/>
          </w:tcPr>
          <w:p>
            <w:pPr>
              <w:ind w:left="2740"/>
              <w:spacing w:after="0"/>
              <w:rPr>
                <w:sz w:val="20"/>
                <w:szCs w:val="20"/>
                <w:color w:val="auto"/>
              </w:rPr>
            </w:pPr>
            <w:r>
              <w:rPr>
                <w:rFonts w:ascii="Arial" w:cs="Arial" w:eastAsia="Arial" w:hAnsi="Arial"/>
                <w:sz w:val="12"/>
                <w:szCs w:val="12"/>
                <w:color w:val="auto"/>
              </w:rPr>
              <w:t>BBB+</w:t>
            </w:r>
          </w:p>
        </w:tc>
        <w:tc>
          <w:tcPr>
            <w:tcW w:w="0" w:type="dxa"/>
            <w:vAlign w:val="bottom"/>
          </w:tcPr>
          <w:p>
            <w:pPr>
              <w:spacing w:after="0"/>
              <w:rPr>
                <w:sz w:val="1"/>
                <w:szCs w:val="1"/>
                <w:color w:val="auto"/>
              </w:rPr>
            </w:pPr>
          </w:p>
        </w:tc>
      </w:tr>
      <w:tr>
        <w:trPr>
          <w:trHeight w:val="41"/>
        </w:trPr>
        <w:tc>
          <w:tcPr>
            <w:tcW w:w="4620" w:type="dxa"/>
            <w:vAlign w:val="bottom"/>
          </w:tcPr>
          <w:p>
            <w:pPr>
              <w:spacing w:after="0"/>
              <w:rPr>
                <w:sz w:val="3"/>
                <w:szCs w:val="3"/>
                <w:color w:val="auto"/>
              </w:rPr>
            </w:pPr>
          </w:p>
        </w:tc>
        <w:tc>
          <w:tcPr>
            <w:tcW w:w="6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4620" w:type="dxa"/>
            <w:vAlign w:val="bottom"/>
            <w:tcBorders>
              <w:bottom w:val="single" w:sz="8" w:color="DFDFDF"/>
            </w:tcBorders>
          </w:tcPr>
          <w:p>
            <w:pPr>
              <w:spacing w:after="0"/>
              <w:rPr>
                <w:sz w:val="3"/>
                <w:szCs w:val="3"/>
                <w:color w:val="auto"/>
              </w:rPr>
            </w:pPr>
          </w:p>
        </w:tc>
        <w:tc>
          <w:tcPr>
            <w:tcW w:w="662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620" w:type="dxa"/>
            <w:vAlign w:val="bottom"/>
          </w:tcPr>
          <w:p>
            <w:pPr>
              <w:ind w:left="60"/>
              <w:spacing w:after="0"/>
              <w:rPr>
                <w:sz w:val="20"/>
                <w:szCs w:val="20"/>
                <w:color w:val="auto"/>
              </w:rPr>
            </w:pPr>
            <w:r>
              <w:rPr>
                <w:rFonts w:ascii="Arial" w:cs="Arial" w:eastAsia="Arial" w:hAnsi="Arial"/>
                <w:sz w:val="12"/>
                <w:szCs w:val="12"/>
                <w:color w:val="auto"/>
              </w:rPr>
              <w:t>Short-Term IDR</w:t>
            </w:r>
          </w:p>
        </w:tc>
        <w:tc>
          <w:tcPr>
            <w:tcW w:w="6620" w:type="dxa"/>
            <w:vAlign w:val="bottom"/>
            <w:vMerge w:val="restart"/>
          </w:tcPr>
          <w:p>
            <w:pPr>
              <w:ind w:left="2740"/>
              <w:spacing w:after="0"/>
              <w:rPr>
                <w:sz w:val="20"/>
                <w:szCs w:val="20"/>
                <w:color w:val="auto"/>
              </w:rPr>
            </w:pPr>
            <w:r>
              <w:rPr>
                <w:rFonts w:ascii="Arial" w:cs="Arial" w:eastAsia="Arial" w:hAnsi="Arial"/>
                <w:sz w:val="12"/>
                <w:szCs w:val="12"/>
                <w:color w:val="auto"/>
              </w:rPr>
              <w:t>F2</w:t>
            </w:r>
          </w:p>
        </w:tc>
        <w:tc>
          <w:tcPr>
            <w:tcW w:w="0" w:type="dxa"/>
            <w:vAlign w:val="bottom"/>
          </w:tcPr>
          <w:p>
            <w:pPr>
              <w:spacing w:after="0"/>
              <w:rPr>
                <w:sz w:val="1"/>
                <w:szCs w:val="1"/>
                <w:color w:val="auto"/>
              </w:rPr>
            </w:pPr>
          </w:p>
        </w:tc>
      </w:tr>
      <w:tr>
        <w:trPr>
          <w:trHeight w:val="41"/>
        </w:trPr>
        <w:tc>
          <w:tcPr>
            <w:tcW w:w="4620" w:type="dxa"/>
            <w:vAlign w:val="bottom"/>
          </w:tcPr>
          <w:p>
            <w:pPr>
              <w:spacing w:after="0"/>
              <w:rPr>
                <w:sz w:val="3"/>
                <w:szCs w:val="3"/>
                <w:color w:val="auto"/>
              </w:rPr>
            </w:pPr>
          </w:p>
        </w:tc>
        <w:tc>
          <w:tcPr>
            <w:tcW w:w="6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4620" w:type="dxa"/>
            <w:vAlign w:val="bottom"/>
            <w:tcBorders>
              <w:bottom w:val="single" w:sz="8" w:color="DFDFDF"/>
            </w:tcBorders>
          </w:tcPr>
          <w:p>
            <w:pPr>
              <w:spacing w:after="0"/>
              <w:rPr>
                <w:sz w:val="3"/>
                <w:szCs w:val="3"/>
                <w:color w:val="auto"/>
              </w:rPr>
            </w:pPr>
          </w:p>
        </w:tc>
        <w:tc>
          <w:tcPr>
            <w:tcW w:w="662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4620" w:type="dxa"/>
            <w:vAlign w:val="bottom"/>
            <w:tcBorders>
              <w:bottom w:val="single" w:sz="8" w:color="DFDFDF"/>
            </w:tcBorders>
          </w:tcPr>
          <w:p>
            <w:pPr>
              <w:spacing w:after="0"/>
              <w:rPr>
                <w:sz w:val="24"/>
                <w:szCs w:val="24"/>
                <w:color w:val="auto"/>
              </w:rPr>
            </w:pPr>
          </w:p>
        </w:tc>
        <w:tc>
          <w:tcPr>
            <w:tcW w:w="6620" w:type="dxa"/>
            <w:vAlign w:val="bottom"/>
            <w:tcBorders>
              <w:bottom w:val="single" w:sz="8" w:color="DFDFDF"/>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620" w:type="dxa"/>
            <w:vAlign w:val="bottom"/>
          </w:tcPr>
          <w:p>
            <w:pPr>
              <w:ind w:left="60"/>
              <w:spacing w:after="0"/>
              <w:rPr>
                <w:sz w:val="20"/>
                <w:szCs w:val="20"/>
                <w:color w:val="auto"/>
              </w:rPr>
            </w:pPr>
            <w:r>
              <w:rPr>
                <w:rFonts w:ascii="Arial" w:cs="Arial" w:eastAsia="Arial" w:hAnsi="Arial"/>
                <w:sz w:val="12"/>
                <w:szCs w:val="12"/>
                <w:b w:val="1"/>
                <w:bCs w:val="1"/>
                <w:color w:val="333333"/>
              </w:rPr>
              <w:t>Outlooks</w:t>
            </w:r>
          </w:p>
        </w:tc>
        <w:tc>
          <w:tcPr>
            <w:tcW w:w="6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4620" w:type="dxa"/>
            <w:vAlign w:val="bottom"/>
            <w:tcBorders>
              <w:bottom w:val="single" w:sz="8" w:color="DFDFDF"/>
            </w:tcBorders>
          </w:tcPr>
          <w:p>
            <w:pPr>
              <w:spacing w:after="0"/>
              <w:rPr>
                <w:sz w:val="3"/>
                <w:szCs w:val="3"/>
                <w:color w:val="auto"/>
              </w:rPr>
            </w:pPr>
          </w:p>
        </w:tc>
        <w:tc>
          <w:tcPr>
            <w:tcW w:w="662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620" w:type="dxa"/>
            <w:vAlign w:val="bottom"/>
          </w:tcPr>
          <w:p>
            <w:pPr>
              <w:ind w:left="60"/>
              <w:spacing w:after="0"/>
              <w:rPr>
                <w:sz w:val="20"/>
                <w:szCs w:val="20"/>
                <w:color w:val="auto"/>
              </w:rPr>
            </w:pPr>
            <w:r>
              <w:rPr>
                <w:rFonts w:ascii="Arial" w:cs="Arial" w:eastAsia="Arial" w:hAnsi="Arial"/>
                <w:sz w:val="12"/>
                <w:szCs w:val="12"/>
                <w:color w:val="auto"/>
              </w:rPr>
              <w:t>Long-Term Foreign-Currency IDR</w:t>
            </w:r>
          </w:p>
        </w:tc>
        <w:tc>
          <w:tcPr>
            <w:tcW w:w="6620" w:type="dxa"/>
            <w:vAlign w:val="bottom"/>
            <w:vMerge w:val="restart"/>
          </w:tcPr>
          <w:p>
            <w:pPr>
              <w:ind w:left="2740"/>
              <w:spacing w:after="0"/>
              <w:rPr>
                <w:sz w:val="20"/>
                <w:szCs w:val="20"/>
                <w:color w:val="auto"/>
              </w:rPr>
            </w:pPr>
            <w:r>
              <w:rPr>
                <w:rFonts w:ascii="Arial" w:cs="Arial" w:eastAsia="Arial" w:hAnsi="Arial"/>
                <w:sz w:val="12"/>
                <w:szCs w:val="12"/>
                <w:color w:val="auto"/>
              </w:rPr>
              <w:t>Stable</w:t>
            </w: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6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4620" w:type="dxa"/>
            <w:vAlign w:val="bottom"/>
            <w:tcBorders>
              <w:bottom w:val="single" w:sz="8" w:color="DFDFDF"/>
            </w:tcBorders>
          </w:tcPr>
          <w:p>
            <w:pPr>
              <w:spacing w:after="0"/>
              <w:rPr>
                <w:sz w:val="3"/>
                <w:szCs w:val="3"/>
                <w:color w:val="auto"/>
              </w:rPr>
            </w:pPr>
          </w:p>
        </w:tc>
        <w:tc>
          <w:tcPr>
            <w:tcW w:w="662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4620" w:type="dxa"/>
            <w:vAlign w:val="bottom"/>
            <w:tcBorders>
              <w:bottom w:val="single" w:sz="8" w:color="DFDFDF"/>
            </w:tcBorders>
          </w:tcPr>
          <w:p>
            <w:pPr>
              <w:spacing w:after="0"/>
              <w:rPr>
                <w:sz w:val="24"/>
                <w:szCs w:val="24"/>
                <w:color w:val="auto"/>
              </w:rPr>
            </w:pPr>
          </w:p>
        </w:tc>
        <w:tc>
          <w:tcPr>
            <w:tcW w:w="6620" w:type="dxa"/>
            <w:vAlign w:val="bottom"/>
            <w:tcBorders>
              <w:bottom w:val="single" w:sz="8" w:color="DFDFDF"/>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20" w:type="dxa"/>
            <w:vAlign w:val="bottom"/>
            <w:tcBorders>
              <w:bottom w:val="single" w:sz="8" w:color="DFDFDF"/>
            </w:tcBorders>
          </w:tcPr>
          <w:p>
            <w:pPr>
              <w:spacing w:after="0"/>
              <w:rPr>
                <w:sz w:val="24"/>
                <w:szCs w:val="24"/>
                <w:color w:val="auto"/>
              </w:rPr>
            </w:pPr>
          </w:p>
        </w:tc>
        <w:tc>
          <w:tcPr>
            <w:tcW w:w="6620" w:type="dxa"/>
            <w:vAlign w:val="bottom"/>
            <w:tcBorders>
              <w:bottom w:val="single" w:sz="8" w:color="DFDFDF"/>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620" w:type="dxa"/>
            <w:vAlign w:val="bottom"/>
          </w:tcPr>
          <w:p>
            <w:pPr>
              <w:spacing w:after="0"/>
              <w:rPr>
                <w:sz w:val="20"/>
                <w:szCs w:val="20"/>
                <w:color w:val="auto"/>
              </w:rPr>
            </w:pPr>
            <w:r>
              <w:rPr>
                <w:rFonts w:ascii="Arial" w:cs="Arial" w:eastAsia="Arial" w:hAnsi="Arial"/>
                <w:sz w:val="14"/>
                <w:szCs w:val="14"/>
                <w:color w:val="auto"/>
              </w:rPr>
              <w:t>Rating Report | 23 June 2026</w:t>
            </w:r>
          </w:p>
        </w:tc>
        <w:tc>
          <w:tcPr>
            <w:tcW w:w="6620" w:type="dxa"/>
            <w:vAlign w:val="bottom"/>
          </w:tcPr>
          <w:p>
            <w:pPr>
              <w:ind w:left="5460"/>
              <w:spacing w:after="0"/>
              <w:rPr>
                <w:sz w:val="20"/>
                <w:szCs w:val="20"/>
                <w:color w:val="auto"/>
              </w:rPr>
            </w:pPr>
            <w:r>
              <w:rPr>
                <w:rFonts w:ascii="Arial" w:cs="Arial" w:eastAsia="Arial" w:hAnsi="Arial"/>
                <w:sz w:val="14"/>
                <w:szCs w:val="14"/>
                <w:color w:val="auto"/>
              </w:rPr>
              <w:t>fitchratings.com 5</w:t>
            </w:r>
          </w:p>
        </w:tc>
        <w:tc>
          <w:tcPr>
            <w:tcW w:w="0" w:type="dxa"/>
            <w:vAlign w:val="bottom"/>
          </w:tcPr>
          <w:p>
            <w:pPr>
              <w:spacing w:after="0"/>
              <w:rPr>
                <w:sz w:val="1"/>
                <w:szCs w:val="1"/>
                <w:color w:val="auto"/>
              </w:rPr>
            </w:pPr>
          </w:p>
        </w:tc>
      </w:tr>
      <w:tr>
        <w:trPr>
          <w:trHeight w:val="29"/>
        </w:trPr>
        <w:tc>
          <w:tcPr>
            <w:tcW w:w="462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9" w:right="339" w:bottom="1440" w:gutter="0" w:footer="0" w:header="0"/>
          <w:type w:val="continuous"/>
        </w:sectPr>
      </w:pPr>
    </w:p>
    <w:bookmarkStart w:id="8" w:name="page9"/>
    <w:bookmarkEnd w:id="8"/>
    <w:p>
      <w:pPr>
        <w:jc w:val="right"/>
        <w:ind w:right="20"/>
        <w:spacing w:after="0"/>
        <w:rPr>
          <w:sz w:val="20"/>
          <w:szCs w:val="20"/>
          <w:color w:val="auto"/>
        </w:rPr>
      </w:pPr>
      <w:r>
        <w:rPr>
          <w:rFonts w:ascii="Arial" w:cs="Arial" w:eastAsia="Arial" w:hAnsi="Arial"/>
          <w:sz w:val="16"/>
          <w:szCs w:val="16"/>
          <w:b w:val="1"/>
          <w:bCs w:val="1"/>
          <w:color w:val="333333"/>
        </w:rPr>
        <w:drawing>
          <wp:anchor simplePos="0" relativeHeight="251657728" behindDoc="1" locked="0" layoutInCell="0" allowOverlap="1">
            <wp:simplePos x="0" y="0"/>
            <wp:positionH relativeFrom="page">
              <wp:posOffset>208280</wp:posOffset>
            </wp:positionH>
            <wp:positionV relativeFrom="page">
              <wp:posOffset>106045</wp:posOffset>
            </wp:positionV>
            <wp:extent cx="1551305" cy="402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551305" cy="402590"/>
                    </a:xfrm>
                    <a:prstGeom prst="rect">
                      <a:avLst/>
                    </a:prstGeom>
                    <a:noFill/>
                  </pic:spPr>
                </pic:pic>
              </a:graphicData>
            </a:graphic>
          </wp:anchor>
        </w:drawing>
        <w:t>Banks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3"/>
          <w:szCs w:val="13"/>
          <w:color w:val="333333"/>
        </w:rPr>
        <w:t>Bank Holding Companies</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C32337"/>
        </w:rPr>
        <w:t>Bermuda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C32337"/>
        </w:rPr>
        <w:t>Applicable Criteria</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1A6AB4"/>
        </w:rPr>
        <w:t>Bank Rating Criteria (May 2026)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C32337"/>
        </w:rPr>
        <w:t>Related Research</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1A6AB4"/>
        </w:rPr>
        <w:t>Fitch Upgrades Banco de Credito del Peru and Credicorp to ‘BBB+’; Outlook Stable (June 2026)</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1A6AB4"/>
        </w:rPr>
        <w:t>Latin American Banks Outlook 2026</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1A6AB4"/>
        </w:rPr>
        <w:t>(December 2025)</w:t>
      </w:r>
    </w:p>
    <w:p>
      <w:pPr>
        <w:spacing w:after="0"/>
        <w:rPr>
          <w:sz w:val="20"/>
          <w:szCs w:val="20"/>
          <w:color w:val="auto"/>
        </w:rPr>
      </w:pPr>
      <w:r>
        <w:rPr>
          <w:rFonts w:ascii="Arial" w:cs="Arial" w:eastAsia="Arial" w:hAnsi="Arial"/>
          <w:sz w:val="13"/>
          <w:szCs w:val="13"/>
          <w:color w:val="1B5DCD"/>
        </w:rPr>
        <w:t>Global Banks Mid-Year 2026 Outlook Compendium (June 2026)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C32337"/>
        </w:rPr>
        <w:t>Analysts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Larisa Arteaga</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+52 55 5955 1621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1A6AB4"/>
        </w:rPr>
        <w:t>larisa.arteaga@fitchratings.com</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auto"/>
        </w:rPr>
        <w:t>Abraham Martinez</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+56 2 3321 2901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1A6AB4"/>
        </w:rPr>
        <w:t>abraham.martinez@fitchratings.com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tabs>
          <w:tab w:leader="none" w:pos="10060" w:val="left"/>
        </w:tabs>
        <w:rPr>
          <w:sz w:val="20"/>
          <w:szCs w:val="20"/>
          <w:color w:val="auto"/>
        </w:rPr>
      </w:pPr>
      <w:r>
        <w:rPr>
          <w:rFonts w:ascii="Arial" w:cs="Arial" w:eastAsia="Arial" w:hAnsi="Arial"/>
          <w:sz w:val="14"/>
          <w:szCs w:val="14"/>
          <w:color w:val="auto"/>
        </w:rPr>
        <w:t>Rating Report | 23 June 2026</w:t>
      </w:r>
      <w:r>
        <w:rPr>
          <w:sz w:val="20"/>
          <w:szCs w:val="20"/>
          <w:color w:val="auto"/>
        </w:rPr>
        <w:tab/>
      </w:r>
      <w:r>
        <w:rPr>
          <w:rFonts w:ascii="Arial" w:cs="Arial" w:eastAsia="Arial" w:hAnsi="Arial"/>
          <w:sz w:val="14"/>
          <w:szCs w:val="14"/>
          <w:color w:val="auto"/>
        </w:rPr>
        <w:t>fitchratings.com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jc w:val="right"/>
        <w:ind w:right="20"/>
        <w:spacing w:after="0"/>
        <w:rPr>
          <w:sz w:val="20"/>
          <w:szCs w:val="20"/>
          <w:color w:val="auto"/>
        </w:rPr>
      </w:pPr>
      <w:r>
        <w:rPr>
          <w:rFonts w:ascii="Arial" w:cs="Arial" w:eastAsia="Arial" w:hAnsi="Arial"/>
          <w:sz w:val="16"/>
          <w:szCs w:val="16"/>
          <w:b w:val="1"/>
          <w:bCs w:val="1"/>
          <w:color w:val="333333"/>
        </w:rPr>
        <w:drawing>
          <wp:anchor simplePos="0" relativeHeight="251657728" behindDoc="1" locked="0" layoutInCell="0" allowOverlap="1">
            <wp:simplePos x="0" y="0"/>
            <wp:positionH relativeFrom="page">
              <wp:posOffset>208280</wp:posOffset>
            </wp:positionH>
            <wp:positionV relativeFrom="page">
              <wp:posOffset>106045</wp:posOffset>
            </wp:positionV>
            <wp:extent cx="1551305" cy="402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551305" cy="402590"/>
                    </a:xfrm>
                    <a:prstGeom prst="rect">
                      <a:avLst/>
                    </a:prstGeom>
                    <a:noFill/>
                  </pic:spPr>
                </pic:pic>
              </a:graphicData>
            </a:graphic>
          </wp:anchor>
        </w:drawing>
        <w:t>Banks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3"/>
          <w:szCs w:val="13"/>
          <w:color w:val="333333"/>
        </w:rPr>
        <w:t>Bank Holding Companies</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C32337"/>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SOLICITATION &amp; PARTICIPATION STATUS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For information on the solicitation status of the ratings included within this report, please refer to the solicitation status shown in the relevant entity’s summary page of the Fitch Ratings website.</w:t>
      </w:r>
    </w:p>
    <w:p>
      <w:pPr>
        <w:spacing w:after="0" w:line="284"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For information on the participation status in the rating process of an issuer listed in this report, please refer to the most recent rating action commentary for the relevant issuer, available on the Fitch Ratings website.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FORECAST DISCLAIMER FOR FINANCIAL INSTITUTIONS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Any forecast(s) in this report reflect Fitch’s forward view on the issuer’s financial metrics. They are constructed using a proprietary internal forecasting tool and based on a combination of Fitch’s own performance assumptions, macroeconomic forecasts, sector-level outlook and issuer-specific considerations. As a result, Fitch’s forecasts may differ materially from the rated entity’s forecasts or guidance and may not reflect the assumptions that other market participants may make. To the extent Fitch is aware of material non-public information with respect to future events, such as planned recapitalisations or merger and acquisition activity, Fitch may not reflect these non-public future events in its published forecasts. However, where relevant, such information is considered by Fitch as part of the rating process.</w:t>
      </w:r>
    </w:p>
    <w:p>
      <w:pPr>
        <w:spacing w:after="0" w:line="102"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Fitch may update the forecasts in future reports but assumes no responsibility to do so. Original financial statement data for historical periods may be processed by affiliates of Fitch, together with certain outsourcing services. Key financial adjustments and all financial forecasts credited to Fitch Ratings are generated by its employees.</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Fitch’s forecasts are one component used by the agency to assign a rating or determine an Outlook. The information in the forecasts reflects material but not exhaustive elements of Fitch’s rating assumptions for the issuer’s financial performance. It cannot be used to establish a rating, and it should not be relied on for that purpose.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DISCLAIMER &amp; DISCLOSURES</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All Fitch Ratings (Fitch) credit ratings are subject to certain limitations and disclaimers. Please read these limitations and disclaimers by following this link: https://www.fitchratings.com/understandingcreditratings. In addition, the following https://www.fitchratings.com/rating-definitions-document details Fitch’s rating definitions for each rating scale and rating categories, including definitions relating to default. Published ratings, criteria, and methodologies are available from this site at all times. Fitch’s code of conduct, confidentiality, conflicts of interest, affiliate firewall, compliance, and other relevant policies and procedures are also available from the Code of Conduct section of this site. Directors and shareholders’ relevant interests are available at https://www.fitchratings.com/site/regulatory. Fitch may have provided another permissible or ancillary service to the rated entity or its related third parties. Details of permissible or ancillary service(s) for which the lead analyst is based in an ESMA- or FCA-registered Fitch Ratings company (or branch of such a company) can be found on the entity summary page for this issuer on the Fitch Ratings website.</w:t>
      </w:r>
    </w:p>
    <w:p>
      <w:pPr>
        <w:spacing w:after="0" w:line="92" w:lineRule="exact"/>
        <w:rPr>
          <w:sz w:val="20"/>
          <w:szCs w:val="20"/>
          <w:color w:val="auto"/>
        </w:rPr>
      </w:pPr>
    </w:p>
    <w:p>
      <w:pPr>
        <w:jc w:val="both"/>
        <w:spacing w:after="0" w:line="233" w:lineRule="auto"/>
        <w:rPr>
          <w:sz w:val="20"/>
          <w:szCs w:val="20"/>
          <w:color w:val="auto"/>
        </w:rPr>
      </w:pPr>
      <w:r>
        <w:rPr>
          <w:rFonts w:ascii="Arial" w:cs="Arial" w:eastAsia="Arial" w:hAnsi="Arial"/>
          <w:sz w:val="11"/>
          <w:szCs w:val="11"/>
          <w:color w:val="auto"/>
        </w:rPr>
        <w:t>In issuing and maintaining its ratings and in making other reports (including forecast information), Fitch relies on factual information it receives from issuers and underwriters and from other sources Fitch believes to be credible. Fitch conducts a reasonable investigation of the factual information relied upon by it in accordance with its ratings methodology, and obtains reasonable verification of that information from independent sources, to the extent such sources are available for a given security or in a given jurisdiction. The manner of Fitch’s factual investigation and the scope of the third-party verification it obtains will vary depending on the nature of the rated security and its issuer, the requirements and practices in the jurisdiction in which the rated security is offered and sold and/or the issuer is located, the availability and nature of relevant public information, access to the management of the issuer and its advisers, the availability of pre-existing third-party verifications such as audit reports, agreed-upon procedures letters, appraisals, actuarial reports, engineering reports, legal opinions and other reports provided by third parties, the availability of independent and competent third- party verification sources with respect to the particular security or in the particular jurisdiction of the issuer, and a variety of other factors. Users of Fitch’s ratings and reports should understand that neither an enhanced factual investigation nor any third-party verification can ensure that all of the information Fitch relies on in connection with a rating or a report will be accurate and complete. Ultimately, the issuer and its advisers are responsible for the accuracy of the information they provide to Fitch and to the market in offering documents and other reports. In issuing its ratings and its reports, Fitch must rely on the work of experts, including independent auditors with respect to financial statements and attorneys with respect to legal and tax matters. Further, ratings and forecasts of financial and other information are inherently forward-looking and embody assumptions and predictions about future events that by their nature cannot be verified as facts. As a result, despite any verification of current facts, ratings and forecasts can be affected by future events or conditions that were not anticipated at the time a rating or forecast was issued or affirmed. Fitch Ratings makes routine, commonly-accepted adjustments to reported financial data in accordance with the relevant criteria and/or industry standards to provide financial metric consistency for entities in the same sector or asset class.</w:t>
      </w:r>
    </w:p>
    <w:p>
      <w:pPr>
        <w:spacing w:after="0" w:line="106" w:lineRule="exact"/>
        <w:rPr>
          <w:sz w:val="20"/>
          <w:szCs w:val="20"/>
          <w:color w:val="auto"/>
        </w:rPr>
      </w:pPr>
    </w:p>
    <w:p>
      <w:pPr>
        <w:jc w:val="both"/>
        <w:spacing w:after="0" w:line="233" w:lineRule="auto"/>
        <w:rPr>
          <w:sz w:val="20"/>
          <w:szCs w:val="20"/>
          <w:color w:val="auto"/>
        </w:rPr>
      </w:pPr>
      <w:r>
        <w:rPr>
          <w:rFonts w:ascii="Arial" w:cs="Arial" w:eastAsia="Arial" w:hAnsi="Arial"/>
          <w:sz w:val="11"/>
          <w:szCs w:val="11"/>
          <w:color w:val="auto"/>
        </w:rPr>
        <w:t>The information in this report is provided “as is” without any representation or warranty of any kind, and Fitch does not represent or warrant that the report or any of its contents will meet any of the requirements of a recipient of the report. A Fitch rating is an opinion as to the creditworthiness of a security. This opinion and reports made by Fitch are based on established criteria and methodologies that Fitch is continuously evaluating and updating. Therefore, ratings and reports are the collective work product of Fitch and no individual, or group of individuals, is solely responsible for a rating or a report. The rating does not address the risk of loss due to risks other than credit risk, unless such risk is specifically mentioned. Fitch is not engaged in the offer or sale of any security. All Fitch reports have shared authorship. Individuals identified in a Fitch report were involved in, but are not solely responsible for, the opinions stated therein. The individuals are named for contact purposes only. A report providing a Fitch rating is neither a prospectus nor a substitute for the information assembled, verified and presented to investors by the issuer and its agents in connection with the sale of the securities. Ratings may be changed or withdrawn at any time for any reason in the sole discretion of Fitch. Fitch does not provide investment advice of any sort. Ratings are not a recommendation to buy, sell, or hold any security. Ratings do not comment on the adequacy of market price, the suitability of any security for a particular investor, or the tax-exempt nature or taxability of payments made in respect to any security. Fitch receives fees from issuers, insurers, guarantors, other obligors, and underwriters for rating securities. Such fees generally vary from US$1,000 to US$750,000 (or the applicable currency equivalent) per issue. In certain cases, Fitch will rate all or a number of issues issued by a particular issuer, or insured or guaranteed by a particular insurer or guarantor, for a single annual fee. Such fees are expected to vary from US$10,000 to US$1,500,000 (or the applicable currency equivalent). The assignment, publication, or dissemination of a rating by Fitch shall not constitute a consent by Fitch to use its name as an expert in connection with any registration statement filed under the United States securities laws, the Financial Services and Markets Act of 2000 of the United Kingdom, or the securities laws of any particular jurisdiction. Due to the relative efficiency of electronic publishing and distribution, Fitch research may be available to electronic subscribers up to three days earlier than to print subscribers.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1"/>
          <w:szCs w:val="11"/>
          <w:color w:val="auto"/>
        </w:rPr>
        <w:t>For Australia, New Zealand, Taiwan and South Korea only: Fitch Australia Pty Ltd holds an Australian financial services license (AFS license no. 337123) which authorizes it to provide credit ratings to wholesale clients only. Credit ratings information published by Fitch is not intended to be used by persons who are retail clients within the meaning of the Corporations Act 2001.</w:t>
      </w:r>
    </w:p>
    <w:p>
      <w:pPr>
        <w:spacing w:after="0" w:line="92"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Fitch Ratings, Inc. is registered with the U.S. Securities and Exchange Commission as a Nationally Recognized Statistical Rating Organization (the “NRSRO”). While certain of the NRSRO’s credit rating subsidiaries are listed on Item 3 of Form NRSRO and as such are authorized to issue credit ratings on behalf of the NRSRO (see https://www.fitchratings.com/site/regulatory), other credit rating subsidiaries are not listed on Form NRSRO (the “non-NRSROs”) and therefore credit ratings issued by those subsidiaries are not issued on behalf of the NRSRO. However, non-NRSRO personnel may participate in determining credit ratings issued by or on behalf of the NRSRO.</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1"/>
          <w:szCs w:val="11"/>
          <w:color w:val="auto"/>
        </w:rPr>
        <w:t>Copyright © 2026 by Fitch Ratings, Inc., Fitch Ratings Ltd. and its subsidiaries. 33 Whitehall Street, NY, NY 10004. Telephone: 1-800-753-4824, (212) 908-0500. Reproduction or retransmission in whole or in part is prohibited except by permission.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p>
      <w:pPr>
        <w:spacing w:after="0"/>
        <w:tabs>
          <w:tab w:leader="none" w:pos="10060" w:val="left"/>
        </w:tabs>
        <w:rPr>
          <w:sz w:val="20"/>
          <w:szCs w:val="20"/>
          <w:color w:val="auto"/>
        </w:rPr>
      </w:pPr>
      <w:r>
        <w:rPr>
          <w:rFonts w:ascii="Arial" w:cs="Arial" w:eastAsia="Arial" w:hAnsi="Arial"/>
          <w:sz w:val="14"/>
          <w:szCs w:val="14"/>
          <w:color w:val="auto"/>
        </w:rPr>
        <w:t>Rating Report | 23 June 2026</w:t>
      </w:r>
      <w:r>
        <w:rPr>
          <w:sz w:val="20"/>
          <w:szCs w:val="20"/>
          <w:color w:val="auto"/>
        </w:rPr>
        <w:tab/>
      </w:r>
      <w:r>
        <w:rPr>
          <w:rFonts w:ascii="Arial" w:cs="Arial" w:eastAsia="Arial" w:hAnsi="Arial"/>
          <w:sz w:val="14"/>
          <w:szCs w:val="14"/>
          <w:color w:val="auto"/>
        </w:rPr>
        <w:t>fitchratings.com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5"/>
      <w:numFmt w:val="bullet"/>
      <w:start w:val="1"/>
    </w:lvl>
  </w:abstractNum>
  <w:abstractNum w:abstractNumId="1">
    <w:nsid w:val="19495CFF"/>
    <w:multiLevelType w:val="hybridMultilevel"/>
    <w:lvl w:ilvl="0">
      <w:lvlJc w:val="left"/>
      <w:lvlText w:val="4"/>
      <w:numFmt w:val="bullet"/>
      <w:start w:val="1"/>
    </w:lvl>
  </w:abstractNum>
  <w:abstractNum w:abstractNumId="2">
    <w:nsid w:val="2AE8944A"/>
    <w:multiLevelType w:val="hybridMultilevel"/>
    <w:lvl w:ilvl="0">
      <w:lvlJc w:val="left"/>
      <w:lvlText w:val="3"/>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2026-06-24T15:07:49Z</dcterms:created>
  <dcterms:modified xsi:type="dcterms:W3CDTF">2026-06-24T15:07:49Z</dcterms:modified>
</cp:coreProperties>
</file>