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6-K/A</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April,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CREDICORP LTD.</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(Address of principal executive office)</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3660"/>
        <w:spacing w:after="0"/>
        <w:tabs>
          <w:tab w:leader="none" w:pos="4800" w:val="left"/>
          <w:tab w:leader="none" w:pos="5940" w:val="left"/>
          <w:tab w:leader="none" w:pos="708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Form 40-F</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4000"/>
        <w:spacing w:after="0"/>
        <w:tabs>
          <w:tab w:leader="none" w:pos="4800" w:val="left"/>
          <w:tab w:leader="none" w:pos="594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294765" cy="6534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94765" cy="6534785"/>
                    </a:xfrm>
                    <a:prstGeom prst="rect">
                      <a:avLst/>
                    </a:prstGeom>
                    <a:noFill/>
                  </pic:spPr>
                </pic:pic>
              </a:graphicData>
            </a:graphic>
          </wp:anchor>
        </w:drawing>
        <w:drawing>
          <wp:anchor simplePos="0" relativeHeight="251657728" behindDoc="1" locked="0" layoutInCell="0" allowOverlap="1">
            <wp:simplePos x="0" y="0"/>
            <wp:positionH relativeFrom="page">
              <wp:posOffset>5791835</wp:posOffset>
            </wp:positionH>
            <wp:positionV relativeFrom="page">
              <wp:posOffset>243205</wp:posOffset>
            </wp:positionV>
            <wp:extent cx="161226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left="3660"/>
        <w:spacing w:after="0"/>
        <w:rPr>
          <w:sz w:val="20"/>
          <w:szCs w:val="20"/>
          <w:color w:val="auto"/>
        </w:rPr>
      </w:pPr>
      <w:r>
        <w:rPr>
          <w:rFonts w:ascii="Arial" w:cs="Arial" w:eastAsia="Arial" w:hAnsi="Arial"/>
          <w:sz w:val="18"/>
          <w:szCs w:val="18"/>
          <w:b w:val="1"/>
          <w:bCs w:val="1"/>
          <w:color w:val="auto"/>
        </w:rPr>
        <w:t>CREDICORP Ltd. Reports First Quarter 2006 Earnings</w:t>
      </w:r>
    </w:p>
    <w:p>
      <w:pPr>
        <w:spacing w:after="0" w:line="239"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 xml:space="preserve">Lima, Peru, May 11, 2006 - </w:t>
      </w:r>
      <w:r>
        <w:rPr>
          <w:rFonts w:ascii="Arial" w:cs="Arial" w:eastAsia="Arial" w:hAnsi="Arial"/>
          <w:sz w:val="16"/>
          <w:szCs w:val="16"/>
          <w:color w:val="auto"/>
        </w:rPr>
        <w:t>Credicorp (NYSE:BAP) announced today its unaudited results for the first quarter of 2006.</w:t>
      </w:r>
    </w:p>
    <w:p>
      <w:pPr>
        <w:spacing w:after="0" w:line="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These results are reported on a consolidated basis in accordance with IFRS in nominal U.S. Dollars.</w:t>
      </w:r>
    </w:p>
    <w:p>
      <w:pPr>
        <w:spacing w:after="0" w:line="28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HIGHLIGHTS</w:t>
      </w:r>
    </w:p>
    <w:p>
      <w:pPr>
        <w:spacing w:after="0" w:line="245" w:lineRule="exact"/>
        <w:rPr>
          <w:sz w:val="20"/>
          <w:szCs w:val="20"/>
          <w:color w:val="auto"/>
        </w:rPr>
      </w:pPr>
    </w:p>
    <w:p>
      <w:pPr>
        <w:ind w:left="1920" w:right="4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1Q06 net income of US$51.2 million, continuing its earnings growth, despite the political uncertainties affecting the economic and business environment in which it operates, reaching 15.4% growth QoQ and 17.4% YoY.</w:t>
      </w:r>
    </w:p>
    <w:p>
      <w:pPr>
        <w:spacing w:after="0" w:line="126" w:lineRule="exact"/>
        <w:rPr>
          <w:rFonts w:ascii="Arial" w:cs="Arial" w:eastAsia="Arial" w:hAnsi="Arial"/>
          <w:sz w:val="18"/>
          <w:szCs w:val="18"/>
          <w:color w:val="auto"/>
        </w:rPr>
      </w:pPr>
    </w:p>
    <w:p>
      <w:pPr>
        <w:ind w:left="192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continues being the main driver of net income growth, with its earnings contribution to Credicorp up 25.2% QoQ as a result of solid business growth and an important currency exchange rate effect following the volatility in the soles versus the dollar.</w:t>
      </w:r>
    </w:p>
    <w:p>
      <w:pPr>
        <w:spacing w:after="0" w:line="126" w:lineRule="exact"/>
        <w:rPr>
          <w:rFonts w:ascii="Arial" w:cs="Arial" w:eastAsia="Arial" w:hAnsi="Arial"/>
          <w:sz w:val="18"/>
          <w:szCs w:val="18"/>
          <w:color w:val="auto"/>
        </w:rPr>
      </w:pPr>
    </w:p>
    <w:p>
      <w:pPr>
        <w:ind w:left="1920" w:right="60" w:hanging="573"/>
        <w:spacing w:after="0" w:line="268"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reports solid loan growth, which reached 4.3% QoQ or 24% YoY in the retail segment, its most dynamic area, a global QoQ net loans growth of 3%, and 10% growth in interest earning assets.</w:t>
      </w:r>
    </w:p>
    <w:p>
      <w:pPr>
        <w:spacing w:after="0" w:line="64" w:lineRule="exact"/>
        <w:rPr>
          <w:rFonts w:ascii="Arial" w:cs="Arial" w:eastAsia="Arial" w:hAnsi="Arial"/>
          <w:sz w:val="18"/>
          <w:szCs w:val="18"/>
          <w:color w:val="auto"/>
        </w:rPr>
      </w:pPr>
    </w:p>
    <w:p>
      <w:pPr>
        <w:ind w:left="1920" w:right="40" w:hanging="573"/>
        <w:spacing w:after="0" w:line="298" w:lineRule="auto"/>
        <w:tabs>
          <w:tab w:leader="none" w:pos="1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Interest income at BCP grew QoQ 2.5% to US$104 million. Transactional fee income though more dynamic, reflected some seasonal effects and a strategic move geared towards increasing bank penetration through a significant reduction in account maintenance fees, which led to a drop of fee income of 1.3% QoQ. Thus, core revenues, which at BCP include gains from FX-transactions, grew 2% QoQ and 17% YoY.</w:t>
      </w:r>
    </w:p>
    <w:p>
      <w:pPr>
        <w:spacing w:after="0" w:line="153" w:lineRule="exact"/>
        <w:rPr>
          <w:rFonts w:ascii="Arial" w:cs="Arial" w:eastAsia="Arial" w:hAnsi="Arial"/>
          <w:sz w:val="16"/>
          <w:szCs w:val="16"/>
          <w:color w:val="auto"/>
        </w:rPr>
      </w:pPr>
    </w:p>
    <w:p>
      <w:pPr>
        <w:ind w:left="1920" w:right="24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still largely unattended retail market has allowed for further growth without surrendering NIM for the banking products. However, the significantly stronger growth in low yielding investments compared to growth of the loan portfolio led to a drop of 7% in NIM which reached 5.1% in 1Q06.</w:t>
      </w:r>
    </w:p>
    <w:p>
      <w:pPr>
        <w:spacing w:after="0" w:line="126" w:lineRule="exact"/>
        <w:rPr>
          <w:rFonts w:ascii="Arial" w:cs="Arial" w:eastAsia="Arial" w:hAnsi="Arial"/>
          <w:sz w:val="18"/>
          <w:szCs w:val="18"/>
          <w:color w:val="auto"/>
        </w:rPr>
      </w:pPr>
    </w:p>
    <w:p>
      <w:pPr>
        <w:ind w:left="1920" w:right="120" w:hanging="573"/>
        <w:spacing w:after="0" w:line="259"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 Credicorp’s offshore banking operation also reported an improved contribution of US$4.9 million, reflecting growth of 40% QoQ as a result principally of an important growth in time deposits which ultimately result in an increased interest earning assets position and higher interest income.</w:t>
      </w:r>
    </w:p>
    <w:p>
      <w:pPr>
        <w:spacing w:after="0" w:line="126" w:lineRule="exact"/>
        <w:rPr>
          <w:rFonts w:ascii="Arial" w:cs="Arial" w:eastAsia="Arial" w:hAnsi="Arial"/>
          <w:sz w:val="18"/>
          <w:szCs w:val="18"/>
          <w:color w:val="auto"/>
        </w:rPr>
      </w:pPr>
    </w:p>
    <w:p>
      <w:pPr>
        <w:ind w:left="1920" w:right="100" w:hanging="573"/>
        <w:spacing w:after="0" w:line="298" w:lineRule="auto"/>
        <w:tabs>
          <w:tab w:leader="none" w:pos="1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After last year’s poor performance resulting from extraordinarily high claims, Credicorp’s insurance business at PPS reported improved earnings in 1Q06 in the troubled business segments reaching a total of US$3.8 million, of which US$2.7 represent PPS’s contribution to Credicorp’s total results. This reflects, after the poor results of the previous quarters, a 200% recovery in earnings contribution QoQ and 22.7% higher YoY.</w:t>
      </w:r>
    </w:p>
    <w:p>
      <w:pPr>
        <w:spacing w:after="0" w:line="153" w:lineRule="exact"/>
        <w:rPr>
          <w:rFonts w:ascii="Arial" w:cs="Arial" w:eastAsia="Arial" w:hAnsi="Arial"/>
          <w:sz w:val="16"/>
          <w:szCs w:val="16"/>
          <w:color w:val="auto"/>
        </w:rPr>
      </w:pPr>
    </w:p>
    <w:p>
      <w:pPr>
        <w:ind w:left="1920" w:right="60" w:hanging="573"/>
        <w:spacing w:after="0" w:line="335" w:lineRule="auto"/>
        <w:tabs>
          <w:tab w:leader="none" w:pos="1920" w:val="left"/>
        </w:tabs>
        <w:numPr>
          <w:ilvl w:val="0"/>
          <w:numId w:val="1"/>
        </w:numPr>
        <w:rPr>
          <w:rFonts w:ascii="Arial" w:cs="Arial" w:eastAsia="Arial" w:hAnsi="Arial"/>
          <w:sz w:val="15"/>
          <w:szCs w:val="15"/>
          <w:color w:val="auto"/>
        </w:rPr>
      </w:pPr>
      <w:r>
        <w:rPr>
          <w:rFonts w:ascii="Arial" w:cs="Arial" w:eastAsia="Arial" w:hAnsi="Arial"/>
          <w:sz w:val="15"/>
          <w:szCs w:val="15"/>
          <w:color w:val="auto"/>
        </w:rPr>
        <w:t>AFP Prima, the Pension Fund business is also successfully continuing its sales efforts, having grown around 108% in 1Q06 its managed Pension Fund portfolio and its number of affiliated clients by 42%. Results were therefore, better that expected, with losses for the quarter of US$2.7 million compared to losses of US$7.6 million for the 4Q05.</w:t>
      </w:r>
    </w:p>
    <w:p>
      <w:pPr>
        <w:spacing w:after="0" w:line="74" w:lineRule="exact"/>
        <w:rPr>
          <w:rFonts w:ascii="Arial" w:cs="Arial" w:eastAsia="Arial" w:hAnsi="Arial"/>
          <w:sz w:val="15"/>
          <w:szCs w:val="15"/>
          <w:color w:val="auto"/>
        </w:rPr>
      </w:pPr>
    </w:p>
    <w:p>
      <w:pPr>
        <w:ind w:left="1920" w:right="140" w:hanging="573"/>
        <w:spacing w:after="0" w:line="268" w:lineRule="auto"/>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higher earnings results, coupled with continuing cost controls, contributed to the improvement of Credicorp’s efficiency ratio, down to 42.5% in 1Q06 from 44.5% as of year end 2005.</w:t>
      </w:r>
    </w:p>
    <w:p>
      <w:pPr>
        <w:spacing w:after="0" w:line="64" w:lineRule="exact"/>
        <w:rPr>
          <w:rFonts w:ascii="Arial" w:cs="Arial" w:eastAsia="Arial" w:hAnsi="Arial"/>
          <w:sz w:val="18"/>
          <w:szCs w:val="18"/>
          <w:color w:val="auto"/>
        </w:rPr>
      </w:pPr>
    </w:p>
    <w:p>
      <w:pPr>
        <w:ind w:left="1920" w:hanging="573"/>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Furthermore, ROAE continues its recovery reaching 17.4% in 1Q06.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268605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Credicorp reported net income in 1Q06 attributable to the holding company [excluding minorities] of US$ 51.2 million or US$ 0.64 per common share, continuing the growth trend of 2005 and confirming the corporation’s recovered income generation capacity. This result is 15.4% higher QoQ [compared to the immediately preceding quarter] and 17.4% higher YoY [compared to the same quarter a year ago].</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should be noted that this significantly higher net income is reported even after the unusually high deduction of taxes on dividends paid by BCP to Credicorp which accounted for a charge of US$ 7.3 million corresponding to dividends paid for the year 2005, as well as an approximate US$ 2 million provision for 2006 taxes on future dividends.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[Note: the extraordinarily higher charge this quarter responds to a change in accounting principles for dividends paid to the holding corporation which from now on will require provisioning of taxes for expected dividends throughout the year]</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1700" w:type="dxa"/>
            <w:vAlign w:val="bottom"/>
          </w:tcPr>
          <w:p>
            <w:pPr>
              <w:spacing w:after="0"/>
              <w:rPr>
                <w:sz w:val="15"/>
                <w:szCs w:val="15"/>
                <w:color w:val="auto"/>
              </w:rPr>
            </w:pPr>
          </w:p>
        </w:tc>
        <w:tc>
          <w:tcPr>
            <w:tcW w:w="1160" w:type="dxa"/>
            <w:vAlign w:val="bottom"/>
          </w:tcPr>
          <w:p>
            <w:pPr>
              <w:jc w:val="right"/>
              <w:ind w:right="472"/>
              <w:spacing w:after="0"/>
              <w:rPr>
                <w:sz w:val="20"/>
                <w:szCs w:val="20"/>
                <w:color w:val="auto"/>
              </w:rPr>
            </w:pPr>
            <w:r>
              <w:rPr>
                <w:rFonts w:ascii="Arial" w:cs="Arial" w:eastAsia="Arial" w:hAnsi="Arial"/>
                <w:sz w:val="14"/>
                <w:szCs w:val="14"/>
                <w:b w:val="1"/>
                <w:bCs w:val="1"/>
                <w:color w:val="auto"/>
              </w:rPr>
              <w:t>Quarter</w:t>
            </w:r>
          </w:p>
        </w:tc>
        <w:tc>
          <w:tcPr>
            <w:tcW w:w="1020" w:type="dxa"/>
            <w:vAlign w:val="bottom"/>
          </w:tcPr>
          <w:p>
            <w:pPr>
              <w:spacing w:after="0"/>
              <w:rPr>
                <w:sz w:val="15"/>
                <w:szCs w:val="15"/>
                <w:color w:val="auto"/>
              </w:rPr>
            </w:pPr>
          </w:p>
        </w:tc>
        <w:tc>
          <w:tcPr>
            <w:tcW w:w="2220" w:type="dxa"/>
            <w:vAlign w:val="bottom"/>
            <w:gridSpan w:val="2"/>
          </w:tcPr>
          <w:p>
            <w:pPr>
              <w:jc w:val="right"/>
              <w:ind w:right="81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80" w:type="dxa"/>
            <w:vAlign w:val="bottom"/>
            <w:tcBorders>
              <w:bottom w:val="single" w:sz="8" w:color="auto"/>
            </w:tcBorders>
            <w:gridSpan w:val="2"/>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US$million</w:t>
            </w:r>
          </w:p>
        </w:tc>
        <w:tc>
          <w:tcPr>
            <w:tcW w:w="170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4Q05</w:t>
            </w: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1Q05</w:t>
            </w:r>
          </w:p>
        </w:tc>
        <w:tc>
          <w:tcPr>
            <w:tcW w:w="1160" w:type="dxa"/>
            <w:vAlign w:val="bottom"/>
          </w:tcPr>
          <w:p>
            <w:pPr>
              <w:jc w:val="right"/>
              <w:ind w:right="312"/>
              <w:spacing w:after="0"/>
              <w:rPr>
                <w:sz w:val="20"/>
                <w:szCs w:val="20"/>
                <w:color w:val="auto"/>
              </w:rPr>
            </w:pPr>
            <w:r>
              <w:rPr>
                <w:rFonts w:ascii="Arial" w:cs="Arial" w:eastAsia="Arial" w:hAnsi="Arial"/>
                <w:sz w:val="14"/>
                <w:szCs w:val="14"/>
                <w:b w:val="1"/>
                <w:bCs w:val="1"/>
                <w:color w:val="auto"/>
              </w:rPr>
              <w:t>1Q06/1Q05</w:t>
            </w: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114,788</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117,374</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103,915</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10.5%</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1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(3,547)</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(3,730)</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4,413</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-180.4%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78,814</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70,009</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60,137</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Insurance premiums and claims</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10,797</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8,716</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12,757</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-15.4%</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(124,249)</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(113,662)</w:t>
            </w: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(109,794)</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Tranlation results</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5,221</w:t>
            </w:r>
          </w:p>
        </w:tc>
        <w:tc>
          <w:tcPr>
            <w:tcW w:w="11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(5,931)</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774</w:t>
            </w:r>
          </w:p>
        </w:tc>
        <w:tc>
          <w:tcPr>
            <w:tcW w:w="11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574.9%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1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(27,228)</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(23,315)</w:t>
            </w: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(25,688)</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6.0%</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54,596</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49,461</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46,514</w:t>
            </w: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17.4%</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(3,411)</w:t>
            </w:r>
          </w:p>
        </w:tc>
        <w:tc>
          <w:tcPr>
            <w:tcW w:w="11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(5,124)</w:t>
            </w:r>
          </w:p>
        </w:tc>
        <w:tc>
          <w:tcPr>
            <w:tcW w:w="10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(2,910)</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17.2%</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700" w:type="dxa"/>
            <w:vAlign w:val="bottom"/>
          </w:tcPr>
          <w:p>
            <w:pPr>
              <w:jc w:val="right"/>
              <w:ind w:right="212"/>
              <w:spacing w:after="0"/>
              <w:rPr>
                <w:sz w:val="20"/>
                <w:szCs w:val="20"/>
                <w:color w:val="auto"/>
              </w:rPr>
            </w:pPr>
            <w:r>
              <w:rPr>
                <w:rFonts w:ascii="Arial" w:cs="Arial" w:eastAsia="Arial" w:hAnsi="Arial"/>
                <w:sz w:val="14"/>
                <w:szCs w:val="14"/>
                <w:b w:val="1"/>
                <w:bCs w:val="1"/>
                <w:color w:val="auto"/>
              </w:rPr>
              <w:t>51,185</w:t>
            </w: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44,337</w:t>
            </w: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rPr>
              <w:t>43,604</w:t>
            </w:r>
          </w:p>
        </w:tc>
        <w:tc>
          <w:tcPr>
            <w:tcW w:w="1160" w:type="dxa"/>
            <w:vAlign w:val="bottom"/>
          </w:tcPr>
          <w:p>
            <w:pPr>
              <w:jc w:val="right"/>
              <w:ind w:right="32"/>
              <w:spacing w:after="0"/>
              <w:rPr>
                <w:sz w:val="20"/>
                <w:szCs w:val="20"/>
                <w:color w:val="auto"/>
              </w:rPr>
            </w:pPr>
            <w:r>
              <w:rPr>
                <w:rFonts w:ascii="Arial" w:cs="Arial" w:eastAsia="Arial" w:hAnsi="Arial"/>
                <w:sz w:val="14"/>
                <w:szCs w:val="14"/>
                <w:b w:val="1"/>
                <w:bCs w:val="1"/>
                <w:color w:val="auto"/>
              </w:rPr>
              <w:t>17.4%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6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0.64</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0.56</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0.55</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17.4%</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5,146,709</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5,014,254</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4,559,045</w:t>
            </w:r>
          </w:p>
        </w:tc>
        <w:tc>
          <w:tcPr>
            <w:tcW w:w="11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12.9%</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7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7,317,432</w:t>
            </w:r>
          </w:p>
        </w:tc>
        <w:tc>
          <w:tcPr>
            <w:tcW w:w="11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7,093,428</w:t>
            </w:r>
          </w:p>
        </w:tc>
        <w:tc>
          <w:tcPr>
            <w:tcW w:w="10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6,526,367</w:t>
            </w: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12.1%</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 attributable to Credicorp´s equity holders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1,161,250</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1,190,440</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1,048,497</w:t>
            </w:r>
          </w:p>
        </w:tc>
        <w:tc>
          <w:tcPr>
            <w:tcW w:w="11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180" w:type="dxa"/>
            <w:vAlign w:val="bottom"/>
            <w:gridSpan w:val="2"/>
          </w:tcPr>
          <w:p>
            <w:pPr>
              <w:spacing w:after="0"/>
              <w:rPr>
                <w:sz w:val="9"/>
                <w:szCs w:val="9"/>
                <w:color w:val="auto"/>
              </w:rPr>
            </w:pPr>
          </w:p>
        </w:tc>
        <w:tc>
          <w:tcPr>
            <w:tcW w:w="1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Borders>
              <w:top w:val="single" w:sz="8" w:color="auto"/>
            </w:tcBorders>
          </w:tcPr>
          <w:p>
            <w:pPr>
              <w:spacing w:after="0"/>
              <w:rPr>
                <w:sz w:val="8"/>
                <w:szCs w:val="8"/>
                <w:color w:val="auto"/>
              </w:rPr>
            </w:pPr>
          </w:p>
        </w:tc>
        <w:tc>
          <w:tcPr>
            <w:tcW w:w="17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margin</w:t>
            </w:r>
          </w:p>
        </w:tc>
        <w:tc>
          <w:tcPr>
            <w:tcW w:w="1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1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42.5%</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44.5%</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43.5%</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1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15.0%</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16.5%</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1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1.94%</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1.94%</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3.33%</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17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199.3%</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202.8%</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161.6%</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17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17.0%</w:t>
            </w:r>
          </w:p>
        </w:tc>
        <w:tc>
          <w:tcPr>
            <w:tcW w:w="11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15.7%</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12.8%</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17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11,837</w:t>
            </w:r>
          </w:p>
        </w:tc>
        <w:tc>
          <w:tcPr>
            <w:tcW w:w="11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10,721</w:t>
            </w:r>
          </w:p>
        </w:tc>
        <w:tc>
          <w:tcPr>
            <w:tcW w:w="10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10,992</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These results reflect the growth of its banking business, primarily BCP, where the continuing expansion of the retail sector, retail services related fee income, a dynamic expansion of BCP’s interest earning assets in general as a result of the market’s high liquidity and continuing cost controls have led to growth in net earnings, despite a more regular provisioning level. In addition, the increase in volatility since year-end originated by the political uncertainties of the electoral process generated a currency translation effect which depressed earnings in 4Q05 and increased results in 1Q06. Thus, BCP reported US$ 59.9 million net earnings in 1Q06 and contributed US$ 57.6 million to Credicorp, raising its contribution by 25.2% QoQ and 31.8% YoY.</w:t>
      </w:r>
    </w:p>
    <w:p>
      <w:pPr>
        <w:spacing w:after="0" w:line="17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Though BCP makes up for the bulk of increased income and loan growth, Credicorp’s offshore private banking business at ASHC also contributed improved results this quarter. These improved results were driven by the important growth in deposits following the political instability in the country, which in turn led to growth of its interest earning assets. Thus, its 1Q06 contribution to Credicorp was US$ 4.9 million (excluding dividends on its Credicorp shareholdings), reflecting a 40% growth QoQ and 44% growth YoY.</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Credicorp’s main subsidiaries’ contribution:</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1260" w:type="dxa"/>
            <w:vAlign w:val="bottom"/>
          </w:tcPr>
          <w:p>
            <w:pPr>
              <w:jc w:val="right"/>
              <w:ind w:right="41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4Q05</w:t>
            </w: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1Q05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Banco de Crédito BCP(1)</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57.6</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46</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420"/>
              <w:spacing w:after="0" w:line="149" w:lineRule="exact"/>
              <w:rPr>
                <w:sz w:val="20"/>
                <w:szCs w:val="20"/>
                <w:color w:val="auto"/>
              </w:rPr>
            </w:pPr>
            <w:r>
              <w:rPr>
                <w:rFonts w:ascii="Arial" w:cs="Arial" w:eastAsia="Arial" w:hAnsi="Arial"/>
                <w:sz w:val="14"/>
                <w:szCs w:val="14"/>
                <w:color w:val="auto"/>
              </w:rPr>
              <w:t>BCB</w:t>
            </w:r>
          </w:p>
        </w:tc>
        <w:tc>
          <w:tcPr>
            <w:tcW w:w="12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3.8</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Atlantic</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line="149" w:lineRule="exact"/>
              <w:rPr>
                <w:sz w:val="20"/>
                <w:szCs w:val="20"/>
                <w:color w:val="auto"/>
              </w:rPr>
            </w:pPr>
            <w:r>
              <w:rPr>
                <w:rFonts w:ascii="Arial" w:cs="Arial" w:eastAsia="Arial" w:hAnsi="Arial"/>
                <w:sz w:val="14"/>
                <w:szCs w:val="14"/>
                <w:color w:val="auto"/>
              </w:rPr>
              <w:t>PPS</w:t>
            </w:r>
          </w:p>
        </w:tc>
        <w:tc>
          <w:tcPr>
            <w:tcW w:w="12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2.7</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0.9</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Credicorp and Grupo Credito (2)</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tcPr>
          <w:p>
            <w:pPr>
              <w:ind w:left="420"/>
              <w:spacing w:after="0"/>
              <w:rPr>
                <w:sz w:val="20"/>
                <w:szCs w:val="20"/>
                <w:color w:val="auto"/>
              </w:rPr>
            </w:pPr>
            <w:r>
              <w:rPr>
                <w:rFonts w:ascii="Arial" w:cs="Arial" w:eastAsia="Arial" w:hAnsi="Arial"/>
                <w:sz w:val="14"/>
                <w:szCs w:val="14"/>
                <w:color w:val="auto"/>
              </w:rPr>
              <w:t>Prima</w:t>
            </w:r>
          </w:p>
        </w:tc>
        <w:tc>
          <w:tcPr>
            <w:tcW w:w="1260" w:type="dxa"/>
            <w:vAlign w:val="bottom"/>
          </w:tcPr>
          <w:p>
            <w:pPr>
              <w:jc w:val="right"/>
              <w:ind w:right="152"/>
              <w:spacing w:after="0"/>
              <w:rPr>
                <w:sz w:val="20"/>
                <w:szCs w:val="20"/>
                <w:color w:val="auto"/>
              </w:rPr>
            </w:pPr>
            <w:r>
              <w:rPr>
                <w:rFonts w:ascii="Arial" w:cs="Arial" w:eastAsia="Arial" w:hAnsi="Arial"/>
                <w:sz w:val="14"/>
                <w:szCs w:val="14"/>
                <w:color w:val="auto"/>
              </w:rPr>
              <w:t>-2.7</w:t>
            </w:r>
          </w:p>
        </w:tc>
        <w:tc>
          <w:tcPr>
            <w:tcW w:w="1000" w:type="dxa"/>
            <w:vAlign w:val="bottom"/>
          </w:tcPr>
          <w:p>
            <w:pPr>
              <w:jc w:val="right"/>
              <w:ind w:right="152"/>
              <w:spacing w:after="0"/>
              <w:rPr>
                <w:sz w:val="20"/>
                <w:szCs w:val="20"/>
                <w:color w:val="auto"/>
              </w:rPr>
            </w:pPr>
            <w:r>
              <w:rPr>
                <w:rFonts w:ascii="Arial" w:cs="Arial" w:eastAsia="Arial" w:hAnsi="Arial"/>
                <w:sz w:val="14"/>
                <w:szCs w:val="14"/>
                <w:color w:val="auto"/>
              </w:rPr>
              <w:t>-3.7</w:t>
            </w:r>
          </w:p>
        </w:tc>
        <w:tc>
          <w:tcPr>
            <w:tcW w:w="8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9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attributable to Credicorp</w:t>
            </w:r>
          </w:p>
        </w:tc>
        <w:tc>
          <w:tcPr>
            <w:tcW w:w="12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51.2</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44.3</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43.6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Credicorp, Sec. and Others</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insurance business, PPS is in the process of stabilizing its income by improving its risk management and insurance underwriting capabilities. This process will require some time. Nevertheless, PPS is showing stronger results reporting net income of US$ 3.8 million, reflecting a 13.8% growth YoY. PPS’s contribution to Credicorp after minority interests reaches US$ 2.7 million for 1Q06.</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AFP Prima, the corporation’s pension fund business is on track, showing significant portfolio growth having captured more than 5% market share. Thus, its negative contribution to Credicorp is lower than expected for this first quarter at US$ -2.7 million. This negative contribution is however partially offset at Grupo Crédito by other income generated by investments booked at this entity, which reduced the negative contribution to US$ 0.5 million.</w:t>
      </w:r>
    </w:p>
    <w:p>
      <w:pPr>
        <w:spacing w:after="0" w:line="16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above mentioned US$ 9.3 million in taxes on dividends paid for 2005 and provisioned for 2006 are booked at Credicorp Holding in 1Q06, accounting for most of the US$ -13.5 million charge appearing on that line. The remainder is accounted for by the loss in a FX hedging position taken to protect Credicorp’s local currency dividends from BCP and PPS received early May 2006 from potentially high FX volatility because of the political instability.</w:t>
      </w:r>
    </w:p>
    <w:p>
      <w:pPr>
        <w:spacing w:after="0" w:line="16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This improved income generation throughout the Credicorp group of companies and the continuing control in costs at all levels of the corporation, have allowed Credicorp to report better efficiency ratios. Thus, operating expense as a percentage of total income dropped to 42.5% in 1Q06 from 44.5% in 4Q05.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Profitability also reflects this performance with ROAE improving to 17.4% from 15.0% the previous quarter.</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However, profitability measured by NIM is slightly distorted, since the drop to 4.85% in 1Q06 from 5.44% in 4Q05 is largely explained not by a reduction in the banking products’ margins, but rather a re-composition of interest earning assets at BCP with proportionately higher low yielding investments which has a negative effect on NIM. Furthermore, a loss generated by the FX hedging position mentioned above which is included in Credicorp’s consolidated net interest income affected this result.</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Notably, Credicorp achieves these results without concessions in the quality of loan portfolio. Thus, past due loans remain at 1.94%, the same ratio as of 4Q05, and its coverage ratio remains above the 200% level.</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Consolidated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earnings at BCP for 1Q06 reached US$ 59.9 million, reflecting growth of 25.3% QoQ and 31.9% YoY. This represents significantly higher earnings per share of US$ 0.047 compared to US$ 0.037 and US$ 0.035 reached in the 4Q05 and 1Q05 periods, respectively. With this performance, ROAE for BCP reached 29.2%, a record number which compares to 25.1% achieved in 1Q05.</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and Subsidiaries</w:t>
            </w:r>
          </w:p>
        </w:tc>
        <w:tc>
          <w:tcPr>
            <w:tcW w:w="2140" w:type="dxa"/>
            <w:vAlign w:val="bottom"/>
          </w:tcPr>
          <w:p>
            <w:pPr>
              <w:spacing w:after="0"/>
              <w:rPr>
                <w:sz w:val="15"/>
                <w:szCs w:val="15"/>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420" w:type="dxa"/>
            <w:vAlign w:val="bottom"/>
            <w:gridSpan w:val="2"/>
          </w:tcPr>
          <w:p>
            <w:pPr>
              <w:jc w:val="right"/>
              <w:ind w:right="93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40" w:type="dxa"/>
            <w:vAlign w:val="bottom"/>
            <w:tcBorders>
              <w:bottom w:val="single" w:sz="8" w:color="auto"/>
            </w:tcBorders>
            <w:gridSpan w:val="2"/>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140" w:type="dxa"/>
            <w:vAlign w:val="bottom"/>
          </w:tcPr>
          <w:p>
            <w:pPr>
              <w:jc w:val="right"/>
              <w:ind w:right="492"/>
              <w:spacing w:after="0"/>
              <w:rPr>
                <w:sz w:val="20"/>
                <w:szCs w:val="20"/>
                <w:color w:val="auto"/>
              </w:rPr>
            </w:pPr>
            <w:r>
              <w:rPr>
                <w:rFonts w:ascii="Arial" w:cs="Arial" w:eastAsia="Arial" w:hAnsi="Arial"/>
                <w:sz w:val="14"/>
                <w:szCs w:val="14"/>
                <w:b w:val="1"/>
                <w:bCs w:val="1"/>
                <w:color w:val="auto"/>
              </w:rPr>
              <w:t>1Q 2006</w:t>
            </w: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4Q 2005</w:t>
            </w:r>
          </w:p>
        </w:tc>
        <w:tc>
          <w:tcPr>
            <w:tcW w:w="1140" w:type="dxa"/>
            <w:vAlign w:val="bottom"/>
          </w:tcPr>
          <w:p>
            <w:pPr>
              <w:jc w:val="right"/>
              <w:ind w:right="412"/>
              <w:spacing w:after="0"/>
              <w:rPr>
                <w:sz w:val="20"/>
                <w:szCs w:val="20"/>
                <w:color w:val="auto"/>
              </w:rPr>
            </w:pPr>
            <w:r>
              <w:rPr>
                <w:rFonts w:ascii="Arial" w:cs="Arial" w:eastAsia="Arial" w:hAnsi="Arial"/>
                <w:sz w:val="14"/>
                <w:szCs w:val="14"/>
                <w:b w:val="1"/>
                <w:bCs w:val="1"/>
                <w:color w:val="auto"/>
              </w:rPr>
              <w:t>1Q 2005</w:t>
            </w:r>
          </w:p>
        </w:tc>
        <w:tc>
          <w:tcPr>
            <w:tcW w:w="1280" w:type="dxa"/>
            <w:vAlign w:val="bottom"/>
          </w:tcPr>
          <w:p>
            <w:pPr>
              <w:jc w:val="right"/>
              <w:ind w:right="392"/>
              <w:spacing w:after="0"/>
              <w:rPr>
                <w:sz w:val="20"/>
                <w:szCs w:val="20"/>
                <w:color w:val="auto"/>
              </w:rPr>
            </w:pPr>
            <w:r>
              <w:rPr>
                <w:rFonts w:ascii="Arial" w:cs="Arial" w:eastAsia="Arial" w:hAnsi="Arial"/>
                <w:sz w:val="14"/>
                <w:szCs w:val="14"/>
                <w:b w:val="1"/>
                <w:bCs w:val="1"/>
                <w:color w:val="auto"/>
              </w:rPr>
              <w:t>1Q06/1Q05</w:t>
            </w:r>
          </w:p>
        </w:tc>
        <w:tc>
          <w:tcPr>
            <w:tcW w:w="1140" w:type="dxa"/>
            <w:vAlign w:val="bottom"/>
          </w:tcPr>
          <w:p>
            <w:pPr>
              <w:jc w:val="right"/>
              <w:ind w:right="292"/>
              <w:spacing w:after="0"/>
              <w:rPr>
                <w:sz w:val="20"/>
                <w:szCs w:val="20"/>
                <w:color w:val="auto"/>
              </w:rPr>
            </w:pPr>
            <w:r>
              <w:rPr>
                <w:rFonts w:ascii="Arial" w:cs="Arial" w:eastAsia="Arial" w:hAnsi="Arial"/>
                <w:sz w:val="14"/>
                <w:szCs w:val="14"/>
                <w:b w:val="1"/>
                <w:bCs w:val="1"/>
                <w:color w:val="auto"/>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104,801</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102,267</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91,073</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(4,839)</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(5,316)</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3,125</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-254.8%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68,459</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68,421</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59,613</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(93,138)</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(87,658)</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(88,831)</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4.8%</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Tranlation results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4,732</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(5,345)</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343</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1281.4%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Worker’s profit sharing and income taxes</w:t>
            </w:r>
          </w:p>
        </w:tc>
        <w:tc>
          <w:tcPr>
            <w:tcW w:w="2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(20,134)</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(24,576)</w:t>
            </w: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(19,926)</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59,880</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47,793</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45,396</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31.9%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 (US$)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0.047</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0.037</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0.035</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5,005,176</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4,869,428</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4,398,746</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21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6,914,341</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6,676,245</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6,050,938</w:t>
            </w:r>
          </w:p>
        </w:tc>
        <w:tc>
          <w:tcPr>
            <w:tcW w:w="12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764,954</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877,418</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731,206</w:t>
            </w:r>
          </w:p>
        </w:tc>
        <w:tc>
          <w:tcPr>
            <w:tcW w:w="1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4.6%</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40" w:type="dxa"/>
            <w:vAlign w:val="bottom"/>
            <w:gridSpan w:val="2"/>
          </w:tcPr>
          <w:p>
            <w:pPr>
              <w:spacing w:after="0"/>
              <w:rPr>
                <w:sz w:val="9"/>
                <w:szCs w:val="9"/>
                <w:color w:val="auto"/>
              </w:rPr>
            </w:pPr>
          </w:p>
        </w:tc>
        <w:tc>
          <w:tcPr>
            <w:tcW w:w="2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20" w:type="dxa"/>
            <w:vAlign w:val="bottom"/>
            <w:tcBorders>
              <w:top w:val="single" w:sz="8" w:color="auto"/>
            </w:tcBorders>
          </w:tcPr>
          <w:p>
            <w:pPr>
              <w:spacing w:after="0"/>
              <w:rPr>
                <w:sz w:val="8"/>
                <w:szCs w:val="8"/>
                <w:color w:val="auto"/>
              </w:rPr>
            </w:pPr>
          </w:p>
        </w:tc>
        <w:tc>
          <w:tcPr>
            <w:tcW w:w="2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financial margin</w:t>
            </w:r>
          </w:p>
        </w:tc>
        <w:tc>
          <w:tcPr>
            <w:tcW w:w="21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51.7%</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56.8%</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21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29.2%</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22.3%</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25.1%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PDL/Total loans</w:t>
            </w:r>
          </w:p>
        </w:tc>
        <w:tc>
          <w:tcPr>
            <w:tcW w:w="2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1.91%</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1.92%</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3.37%</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PDLs</w:t>
            </w:r>
          </w:p>
        </w:tc>
        <w:tc>
          <w:tcPr>
            <w:tcW w:w="21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203.8%</w:t>
            </w:r>
          </w:p>
        </w:tc>
        <w:tc>
          <w:tcPr>
            <w:tcW w:w="12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207.7%</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163.6%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BIS ratio</w:t>
            </w:r>
          </w:p>
        </w:tc>
        <w:tc>
          <w:tcPr>
            <w:tcW w:w="2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13.9%</w:t>
            </w:r>
          </w:p>
        </w:tc>
        <w:tc>
          <w:tcPr>
            <w:tcW w:w="12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14.0%</w:t>
            </w:r>
          </w:p>
        </w:tc>
        <w:tc>
          <w:tcPr>
            <w:tcW w:w="11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15.6%</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221</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214</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21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578</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551</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531</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21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9,367</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9,146</w:t>
            </w:r>
          </w:p>
        </w:tc>
        <w:tc>
          <w:tcPr>
            <w:tcW w:w="11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9,477</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Though BCP’s results and business evolution continues its growth trend, this particularly high earnings result when compared to the previous quarter includes the significant effect generated by the soles/dollar exchange rate volatility that is resulting from the electoral process in the country and led to currency translation adjustments in the previous two quarters. Thus, a sudden politically related devaluation of the Peruvian Sol in 4Q05 led to a negative (loss) adjustment, and as the exchange rate corrected shortly thereafter during 1Q06, a positive currency translation (gain) was reported. This simple accounting adjustment marks a close to US$ 10 million difference between the net earnings results for the two consecutive quarters.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Excluding this effect, stable growth and earnings recovery continues to be evident when comparing the purely business indicators such as core earnings growth.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Core earnings at BCP, which include interest income, fee income and FX-transactions grew 16.6% YoY.</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Core Revenues</w:t>
            </w:r>
          </w:p>
        </w:tc>
        <w:tc>
          <w:tcPr>
            <w:tcW w:w="2060" w:type="dxa"/>
            <w:vAlign w:val="bottom"/>
          </w:tcPr>
          <w:p>
            <w:pPr>
              <w:spacing w:after="0"/>
              <w:rPr>
                <w:sz w:val="15"/>
                <w:szCs w:val="15"/>
                <w:color w:val="auto"/>
              </w:rPr>
            </w:pP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Quarter</w:t>
            </w:r>
          </w:p>
        </w:tc>
        <w:tc>
          <w:tcPr>
            <w:tcW w:w="1180" w:type="dxa"/>
            <w:vAlign w:val="bottom"/>
          </w:tcPr>
          <w:p>
            <w:pPr>
              <w:spacing w:after="0"/>
              <w:rPr>
                <w:sz w:val="15"/>
                <w:szCs w:val="15"/>
                <w:color w:val="auto"/>
              </w:rPr>
            </w:pPr>
          </w:p>
        </w:tc>
        <w:tc>
          <w:tcPr>
            <w:tcW w:w="1400" w:type="dxa"/>
            <w:vAlign w:val="bottom"/>
          </w:tcPr>
          <w:p>
            <w:pPr>
              <w:ind w:left="920"/>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60" w:type="dxa"/>
            <w:vAlign w:val="bottom"/>
            <w:tcBorders>
              <w:bottom w:val="single" w:sz="8" w:color="auto"/>
            </w:tcBorders>
            <w:gridSpan w:val="2"/>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060" w:type="dxa"/>
            <w:vAlign w:val="bottom"/>
          </w:tcPr>
          <w:p>
            <w:pPr>
              <w:jc w:val="right"/>
              <w:ind w:right="432"/>
              <w:spacing w:after="0"/>
              <w:rPr>
                <w:sz w:val="20"/>
                <w:szCs w:val="20"/>
                <w:color w:val="auto"/>
              </w:rPr>
            </w:pPr>
            <w:r>
              <w:rPr>
                <w:rFonts w:ascii="Arial" w:cs="Arial" w:eastAsia="Arial" w:hAnsi="Arial"/>
                <w:sz w:val="14"/>
                <w:szCs w:val="14"/>
                <w:b w:val="1"/>
                <w:bCs w:val="1"/>
                <w:color w:val="auto"/>
              </w:rPr>
              <w:t>1Q 2006</w:t>
            </w:r>
          </w:p>
        </w:tc>
        <w:tc>
          <w:tcPr>
            <w:tcW w:w="1240" w:type="dxa"/>
            <w:vAlign w:val="bottom"/>
          </w:tcPr>
          <w:p>
            <w:pPr>
              <w:jc w:val="right"/>
              <w:ind w:right="452"/>
              <w:spacing w:after="0"/>
              <w:rPr>
                <w:sz w:val="20"/>
                <w:szCs w:val="20"/>
                <w:color w:val="auto"/>
              </w:rPr>
            </w:pPr>
            <w:r>
              <w:rPr>
                <w:rFonts w:ascii="Arial" w:cs="Arial" w:eastAsia="Arial" w:hAnsi="Arial"/>
                <w:sz w:val="14"/>
                <w:szCs w:val="14"/>
                <w:b w:val="1"/>
                <w:bCs w:val="1"/>
                <w:color w:val="auto"/>
              </w:rPr>
              <w:t>4Q 2005</w:t>
            </w: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1Q 2005</w:t>
            </w:r>
          </w:p>
        </w:tc>
        <w:tc>
          <w:tcPr>
            <w:tcW w:w="1400" w:type="dxa"/>
            <w:vAlign w:val="bottom"/>
          </w:tcPr>
          <w:p>
            <w:pPr>
              <w:ind w:left="200"/>
              <w:spacing w:after="0"/>
              <w:rPr>
                <w:sz w:val="20"/>
                <w:szCs w:val="20"/>
                <w:color w:val="auto"/>
              </w:rPr>
            </w:pPr>
            <w:r>
              <w:rPr>
                <w:rFonts w:ascii="Arial" w:cs="Arial" w:eastAsia="Arial" w:hAnsi="Arial"/>
                <w:sz w:val="14"/>
                <w:szCs w:val="14"/>
                <w:b w:val="1"/>
                <w:bCs w:val="1"/>
                <w:color w:val="auto"/>
              </w:rPr>
              <w:t>1Q06/1Q05</w:t>
            </w:r>
          </w:p>
        </w:tc>
        <w:tc>
          <w:tcPr>
            <w:tcW w:w="1040" w:type="dxa"/>
            <w:vAlign w:val="bottom"/>
          </w:tcPr>
          <w:p>
            <w:pPr>
              <w:jc w:val="right"/>
              <w:ind w:right="29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and dividend income</w:t>
            </w:r>
          </w:p>
        </w:tc>
        <w:tc>
          <w:tcPr>
            <w:tcW w:w="2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104,801</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102,267</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91,073</w:t>
            </w:r>
          </w:p>
        </w:tc>
        <w:tc>
          <w:tcPr>
            <w:tcW w:w="14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15.1%</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line="149" w:lineRule="exact"/>
              <w:rPr>
                <w:sz w:val="20"/>
                <w:szCs w:val="20"/>
                <w:color w:val="auto"/>
              </w:rPr>
            </w:pPr>
            <w:r>
              <w:rPr>
                <w:rFonts w:ascii="Arial" w:cs="Arial" w:eastAsia="Arial" w:hAnsi="Arial"/>
                <w:sz w:val="14"/>
                <w:szCs w:val="14"/>
                <w:color w:val="auto"/>
              </w:rPr>
              <w:t>Fee income, net</w:t>
            </w:r>
          </w:p>
        </w:tc>
        <w:tc>
          <w:tcPr>
            <w:tcW w:w="20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55,308</w:t>
            </w:r>
          </w:p>
        </w:tc>
        <w:tc>
          <w:tcPr>
            <w:tcW w:w="12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56,023</w:t>
            </w:r>
          </w:p>
        </w:tc>
        <w:tc>
          <w:tcPr>
            <w:tcW w:w="11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48,959</w:t>
            </w:r>
          </w:p>
        </w:tc>
        <w:tc>
          <w:tcPr>
            <w:tcW w:w="1400" w:type="dxa"/>
            <w:vAlign w:val="bottom"/>
          </w:tcPr>
          <w:p>
            <w:pPr>
              <w:ind w:left="800"/>
              <w:spacing w:after="0" w:line="149" w:lineRule="exact"/>
              <w:rPr>
                <w:sz w:val="20"/>
                <w:szCs w:val="20"/>
                <w:color w:val="auto"/>
              </w:rPr>
            </w:pPr>
            <w:r>
              <w:rPr>
                <w:rFonts w:ascii="Arial" w:cs="Arial" w:eastAsia="Arial" w:hAnsi="Arial"/>
                <w:sz w:val="14"/>
                <w:szCs w:val="14"/>
                <w:color w:val="auto"/>
              </w:rPr>
              <w:t>13.0%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10,467</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9,165</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6230</w:t>
            </w:r>
          </w:p>
        </w:tc>
        <w:tc>
          <w:tcPr>
            <w:tcW w:w="14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color w:val="auto"/>
              </w:rPr>
              <w:t>68.0%</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0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170,576</w:t>
            </w:r>
          </w:p>
        </w:tc>
        <w:tc>
          <w:tcPr>
            <w:tcW w:w="12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167,455</w:t>
            </w:r>
          </w:p>
        </w:tc>
        <w:tc>
          <w:tcPr>
            <w:tcW w:w="1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146,262</w:t>
            </w:r>
          </w:p>
        </w:tc>
        <w:tc>
          <w:tcPr>
            <w:tcW w:w="1400" w:type="dxa"/>
            <w:vAlign w:val="bottom"/>
            <w:shd w:val="clear" w:color="auto" w:fill="CCEEFF"/>
          </w:tcPr>
          <w:p>
            <w:pPr>
              <w:ind w:left="800"/>
              <w:spacing w:after="0" w:line="149" w:lineRule="exact"/>
              <w:rPr>
                <w:sz w:val="20"/>
                <w:szCs w:val="20"/>
                <w:color w:val="auto"/>
              </w:rPr>
            </w:pPr>
            <w:r>
              <w:rPr>
                <w:rFonts w:ascii="Arial" w:cs="Arial" w:eastAsia="Arial" w:hAnsi="Arial"/>
                <w:sz w:val="14"/>
                <w:szCs w:val="14"/>
                <w:b w:val="1"/>
                <w:bCs w:val="1"/>
                <w:color w:val="auto"/>
              </w:rPr>
              <w:t>16.6%</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interest income, which results directly from loan portfolio growth, grew 2.5% QoQ and 15.2% YoY. Even though no lending margins were surrendered to competitive pressure, the proportionately stronger growth of low yielding interest earning assets (such as bank deposits) led to a drop in NIM to 5.06% in 1Q06 from 5.45% in 4Q05 and 5.62% in 1Q05.</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fact, total loans grew 2.8% QoQ and 13.8% YoY whereas total interest earning assets grew 5.1% QoQ and 26.3 % YoY, reflecting a shift in the composition of this portfolio and resulting in the drop in NIM mentioned above.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40"/>
        <w:spacing w:after="0" w:line="268" w:lineRule="auto"/>
        <w:rPr>
          <w:sz w:val="20"/>
          <w:szCs w:val="20"/>
          <w:color w:val="auto"/>
        </w:rPr>
      </w:pPr>
      <w:r>
        <w:rPr>
          <w:rFonts w:ascii="Arial" w:cs="Arial" w:eastAsia="Arial" w:hAnsi="Arial"/>
          <w:sz w:val="18"/>
          <w:szCs w:val="18"/>
          <w:color w:val="auto"/>
        </w:rPr>
        <w:t>The excellent earnings reported by BCP in 1Q06 led also to improved ratios, with its efficiency ratio dropping to 48.5%, and its ROAE improving significantly to 29.2%. Both levels surpassed the Bank’s expectations.</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Furthermore, these improved overall results have been achieved maintaining the already excellent levels of past due loans (1.9% flat vs. 4Q05) and coverage (over the 200% mark).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II.1 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high liquidity in the Peruvian Financial System has led to a noteworthy growth of interest earning assets.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320" w:type="dxa"/>
            <w:vAlign w:val="bottom"/>
          </w:tcPr>
          <w:p>
            <w:pPr>
              <w:spacing w:after="0"/>
              <w:rPr>
                <w:sz w:val="15"/>
                <w:szCs w:val="15"/>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rPr>
              <w:t>Quarter ended</w:t>
            </w:r>
          </w:p>
        </w:tc>
        <w:tc>
          <w:tcPr>
            <w:tcW w:w="1180" w:type="dxa"/>
            <w:vAlign w:val="bottom"/>
          </w:tcPr>
          <w:p>
            <w:pPr>
              <w:spacing w:after="0"/>
              <w:rPr>
                <w:sz w:val="15"/>
                <w:szCs w:val="15"/>
                <w:color w:val="auto"/>
              </w:rPr>
            </w:pPr>
          </w:p>
        </w:tc>
        <w:tc>
          <w:tcPr>
            <w:tcW w:w="2500" w:type="dxa"/>
            <w:vAlign w:val="bottom"/>
            <w:gridSpan w:val="2"/>
          </w:tcPr>
          <w:p>
            <w:pPr>
              <w:jc w:val="right"/>
              <w:ind w:right="1012"/>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0" w:type="dxa"/>
            <w:vAlign w:val="bottom"/>
            <w:tcBorders>
              <w:bottom w:val="single" w:sz="8" w:color="auto"/>
            </w:tcBorders>
            <w:gridSpan w:val="2"/>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320" w:type="dxa"/>
            <w:vAlign w:val="bottom"/>
          </w:tcPr>
          <w:p>
            <w:pPr>
              <w:jc w:val="right"/>
              <w:ind w:right="272"/>
              <w:spacing w:after="0"/>
              <w:rPr>
                <w:sz w:val="20"/>
                <w:szCs w:val="20"/>
                <w:color w:val="auto"/>
              </w:rPr>
            </w:pPr>
            <w:r>
              <w:rPr>
                <w:rFonts w:ascii="Arial" w:cs="Arial" w:eastAsia="Arial" w:hAnsi="Arial"/>
                <w:sz w:val="14"/>
                <w:szCs w:val="14"/>
                <w:b w:val="1"/>
                <w:bCs w:val="1"/>
                <w:color w:val="auto"/>
              </w:rPr>
              <w:t>31-Mar-06</w:t>
            </w:r>
          </w:p>
        </w:tc>
        <w:tc>
          <w:tcPr>
            <w:tcW w:w="1280" w:type="dxa"/>
            <w:vAlign w:val="bottom"/>
          </w:tcPr>
          <w:p>
            <w:pPr>
              <w:jc w:val="right"/>
              <w:ind w:right="352"/>
              <w:spacing w:after="0"/>
              <w:rPr>
                <w:sz w:val="20"/>
                <w:szCs w:val="20"/>
                <w:color w:val="auto"/>
              </w:rPr>
            </w:pPr>
            <w:r>
              <w:rPr>
                <w:rFonts w:ascii="Arial" w:cs="Arial" w:eastAsia="Arial" w:hAnsi="Arial"/>
                <w:sz w:val="14"/>
                <w:szCs w:val="14"/>
                <w:b w:val="1"/>
                <w:bCs w:val="1"/>
                <w:color w:val="auto"/>
              </w:rPr>
              <w:t>31-Dec-05</w:t>
            </w:r>
          </w:p>
        </w:tc>
        <w:tc>
          <w:tcPr>
            <w:tcW w:w="1180" w:type="dxa"/>
            <w:vAlign w:val="bottom"/>
          </w:tcPr>
          <w:p>
            <w:pPr>
              <w:jc w:val="right"/>
              <w:ind w:right="292"/>
              <w:spacing w:after="0"/>
              <w:rPr>
                <w:sz w:val="20"/>
                <w:szCs w:val="20"/>
                <w:color w:val="auto"/>
              </w:rPr>
            </w:pPr>
            <w:r>
              <w:rPr>
                <w:rFonts w:ascii="Arial" w:cs="Arial" w:eastAsia="Arial" w:hAnsi="Arial"/>
                <w:sz w:val="14"/>
                <w:szCs w:val="14"/>
                <w:b w:val="1"/>
                <w:bCs w:val="1"/>
                <w:color w:val="auto"/>
              </w:rPr>
              <w:t>31-Mar-05</w:t>
            </w:r>
          </w:p>
        </w:tc>
        <w:tc>
          <w:tcPr>
            <w:tcW w:w="1320" w:type="dxa"/>
            <w:vAlign w:val="bottom"/>
          </w:tcPr>
          <w:p>
            <w:pPr>
              <w:jc w:val="right"/>
              <w:ind w:right="252"/>
              <w:spacing w:after="0"/>
              <w:rPr>
                <w:sz w:val="20"/>
                <w:szCs w:val="20"/>
                <w:color w:val="auto"/>
              </w:rPr>
            </w:pPr>
            <w:r>
              <w:rPr>
                <w:rFonts w:ascii="Arial" w:cs="Arial" w:eastAsia="Arial" w:hAnsi="Arial"/>
                <w:sz w:val="14"/>
                <w:szCs w:val="14"/>
                <w:b w:val="1"/>
                <w:bCs w:val="1"/>
                <w:color w:val="auto"/>
              </w:rPr>
              <w:t>Mar.06/Mar.05</w:t>
            </w: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Mar.06/Dec.05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BCRP and Other Banks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2,533,394</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2,093,441</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1,310,443</w:t>
            </w: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93.30%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Interbank funds</w:t>
            </w:r>
          </w:p>
        </w:tc>
        <w:tc>
          <w:tcPr>
            <w:tcW w:w="2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58,151</w:t>
            </w:r>
          </w:p>
        </w:tc>
        <w:tc>
          <w:tcPr>
            <w:tcW w:w="12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146</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2,481</w:t>
            </w: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2244.20%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39791.90%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44,982</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21,149</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32,307</w:t>
            </w: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39.20%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Available For Sale Securities</w:t>
            </w:r>
          </w:p>
        </w:tc>
        <w:tc>
          <w:tcPr>
            <w:tcW w:w="23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939,399</w:t>
            </w:r>
          </w:p>
        </w:tc>
        <w:tc>
          <w:tcPr>
            <w:tcW w:w="12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1,179,376</w:t>
            </w:r>
          </w:p>
        </w:tc>
        <w:tc>
          <w:tcPr>
            <w:tcW w:w="11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1,120,050</w:t>
            </w: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-16.10%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-20.30%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Loans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4,909,363</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4,775,721</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4,250,641</w:t>
            </w: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15.50%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23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8,485,289</w:t>
            </w:r>
          </w:p>
        </w:tc>
        <w:tc>
          <w:tcPr>
            <w:tcW w:w="1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8,069,834</w:t>
            </w:r>
          </w:p>
        </w:tc>
        <w:tc>
          <w:tcPr>
            <w:tcW w:w="11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6,715,922</w:t>
            </w:r>
          </w:p>
        </w:tc>
        <w:tc>
          <w:tcPr>
            <w:tcW w:w="1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26.30%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earning assets grew 5.1% QoQ and 26.3% YoY. Nevertheless, the also liquid financial condition of the corporations and the solid but gradual growth of the high potential Retail &amp; SME market, led to a proportionately higher growth in low yielding investments (such as deposits with the Central Bank) which grew 21% QoQ and 93.3% YoY, whereas higher yielding loans grew by only 2.8% QoQ and 15.5%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128905</wp:posOffset>
            </wp:positionV>
            <wp:extent cx="6003290" cy="1534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329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Thus, the proportion of low yielding assets grew significantly throughout the year. Though this has a positive effect on absolute interest income, NIM is negatively affected and thus reflects a corresponding drop throughout the year.</w:t>
      </w:r>
    </w:p>
    <w:p>
      <w:pPr>
        <w:spacing w:after="0" w:line="18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Following average loan portfolio balances, the loan portfolio showed greater dynamism in the Retail &amp; SME sector, which grew 4.3% QoQ and 23.9% YoY. This growth was driven by consumer loans and mortgages, in line with the positive macroeconomic environment. SME loans grew 3.7% QoQ and 29.6% YoY, responding as well to this economic growth and from increased demand for working capital and investments in this sector which has scarce funding sources.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drawing>
          <wp:anchor simplePos="0" relativeHeight="251657728" behindDoc="1" locked="0" layoutInCell="0" allowOverlap="1">
            <wp:simplePos x="0" y="0"/>
            <wp:positionH relativeFrom="page">
              <wp:posOffset>2970530</wp:posOffset>
            </wp:positionH>
            <wp:positionV relativeFrom="page">
              <wp:posOffset>972185</wp:posOffset>
            </wp:positionV>
            <wp:extent cx="1629410" cy="1252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the Middle Market, expansion in export activity and investments in fixed assets (production capacity expansion responding to export activity and general economic growth) through leasing operations led to loan portfolio growth of 2.6% QoQ and 12.8% YoY. In the corporate sector, however, a slight drop of 0.1% in loan portfolio was recorded vis-à-vis the previous quarter, confirming the expectations for this highly liquid, well capitalized and de-intermediated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107315</wp:posOffset>
            </wp:positionV>
            <wp:extent cx="3507740" cy="2512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0774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Despite this positive business evolution, BCP’s market share in the different business segments was slightly erratic, and denotes the strong position of retail chains in the commercial financing business, which is particularly evident during the holiday season with high commercial credit and credit card usage at department stores. Thus, market share for Credit Cards was 16.1%, down 20 bps QoQ and 30 bps YoY; for consumer loans it was 14%, down 10 bps QoQ though up 60 bps YoY.</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Mortgage business BCP maintains its strong position YoY as its market share grows 270 bps in the Mivivienda segment up to 25% and drops only 100 bps in the traditional mortgage market to 43%.</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commercial loans, BCP reflects the shift in its orientation growing its profitable SME business by 240 bps to 20.2% market share, but giving up 198 bps in market share of corporate loans, at 31.9%</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Some progress in the de-dollarization process has also been observed. At the end of 1Q06, loan portfolio was split 25% in Soles and 75% in Dollars, which compares to 23% and 77% in 4Q05.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growth of deposits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Deposits and Obligations</w:t>
            </w:r>
          </w:p>
        </w:tc>
        <w:tc>
          <w:tcPr>
            <w:tcW w:w="2180" w:type="dxa"/>
            <w:vAlign w:val="bottom"/>
          </w:tcPr>
          <w:p>
            <w:pPr>
              <w:spacing w:after="0"/>
              <w:rPr>
                <w:sz w:val="15"/>
                <w:szCs w:val="15"/>
                <w:color w:val="auto"/>
              </w:rPr>
            </w:pPr>
          </w:p>
        </w:tc>
        <w:tc>
          <w:tcPr>
            <w:tcW w:w="164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Quarter ended</w:t>
            </w:r>
          </w:p>
        </w:tc>
        <w:tc>
          <w:tcPr>
            <w:tcW w:w="1340" w:type="dxa"/>
            <w:vAlign w:val="bottom"/>
          </w:tcPr>
          <w:p>
            <w:pPr>
              <w:spacing w:after="0"/>
              <w:rPr>
                <w:sz w:val="15"/>
                <w:szCs w:val="15"/>
                <w:color w:val="auto"/>
              </w:rPr>
            </w:pPr>
          </w:p>
        </w:tc>
        <w:tc>
          <w:tcPr>
            <w:tcW w:w="3200" w:type="dxa"/>
            <w:vAlign w:val="bottom"/>
            <w:gridSpan w:val="2"/>
          </w:tcPr>
          <w:p>
            <w:pPr>
              <w:jc w:val="right"/>
              <w:ind w:right="129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80" w:type="dxa"/>
            <w:vAlign w:val="bottom"/>
          </w:tcPr>
          <w:p>
            <w:pPr>
              <w:jc w:val="right"/>
              <w:ind w:right="592"/>
              <w:spacing w:after="0"/>
              <w:rPr>
                <w:sz w:val="20"/>
                <w:szCs w:val="20"/>
                <w:color w:val="auto"/>
              </w:rPr>
            </w:pPr>
            <w:r>
              <w:rPr>
                <w:rFonts w:ascii="Arial" w:cs="Arial" w:eastAsia="Arial" w:hAnsi="Arial"/>
                <w:sz w:val="14"/>
                <w:szCs w:val="14"/>
                <w:b w:val="1"/>
                <w:bCs w:val="1"/>
                <w:color w:val="auto"/>
              </w:rPr>
              <w:t>31-Mar</w:t>
            </w:r>
          </w:p>
        </w:tc>
        <w:tc>
          <w:tcPr>
            <w:tcW w:w="1640" w:type="dxa"/>
            <w:vAlign w:val="bottom"/>
          </w:tcPr>
          <w:p>
            <w:pPr>
              <w:jc w:val="center"/>
              <w:ind w:right="272"/>
              <w:spacing w:after="0"/>
              <w:rPr>
                <w:sz w:val="20"/>
                <w:szCs w:val="20"/>
                <w:color w:val="auto"/>
              </w:rPr>
            </w:pPr>
            <w:r>
              <w:rPr>
                <w:rFonts w:ascii="Arial" w:cs="Arial" w:eastAsia="Arial" w:hAnsi="Arial"/>
                <w:sz w:val="14"/>
                <w:szCs w:val="14"/>
                <w:b w:val="1"/>
                <w:bCs w:val="1"/>
                <w:color w:val="auto"/>
                <w:w w:val="82"/>
              </w:rPr>
              <w:t>31-Dec</w:t>
            </w: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31-Mar</w:t>
            </w: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180" w:type="dxa"/>
            <w:vAlign w:val="bottom"/>
          </w:tcPr>
          <w:p>
            <w:pPr>
              <w:jc w:val="right"/>
              <w:ind w:right="672"/>
              <w:spacing w:after="0"/>
              <w:rPr>
                <w:sz w:val="20"/>
                <w:szCs w:val="20"/>
                <w:color w:val="auto"/>
              </w:rPr>
            </w:pPr>
            <w:r>
              <w:rPr>
                <w:rFonts w:ascii="Arial" w:cs="Arial" w:eastAsia="Arial" w:hAnsi="Arial"/>
                <w:sz w:val="14"/>
                <w:szCs w:val="14"/>
                <w:b w:val="1"/>
                <w:bCs w:val="1"/>
                <w:color w:val="auto"/>
              </w:rPr>
              <w:t>2006</w:t>
            </w:r>
          </w:p>
        </w:tc>
        <w:tc>
          <w:tcPr>
            <w:tcW w:w="1640" w:type="dxa"/>
            <w:vAlign w:val="bottom"/>
          </w:tcPr>
          <w:p>
            <w:pPr>
              <w:jc w:val="center"/>
              <w:ind w:right="272"/>
              <w:spacing w:after="0"/>
              <w:rPr>
                <w:sz w:val="20"/>
                <w:szCs w:val="20"/>
                <w:color w:val="auto"/>
              </w:rPr>
            </w:pPr>
            <w:r>
              <w:rPr>
                <w:rFonts w:ascii="Arial" w:cs="Arial" w:eastAsia="Arial" w:hAnsi="Arial"/>
                <w:sz w:val="14"/>
                <w:szCs w:val="14"/>
                <w:b w:val="1"/>
                <w:bCs w:val="1"/>
                <w:color w:val="auto"/>
                <w:w w:val="83"/>
              </w:rPr>
              <w:t>2005</w:t>
            </w:r>
          </w:p>
        </w:tc>
        <w:tc>
          <w:tcPr>
            <w:tcW w:w="1340" w:type="dxa"/>
            <w:vAlign w:val="bottom"/>
          </w:tcPr>
          <w:p>
            <w:pPr>
              <w:jc w:val="right"/>
              <w:ind w:right="592"/>
              <w:spacing w:after="0"/>
              <w:rPr>
                <w:sz w:val="20"/>
                <w:szCs w:val="20"/>
                <w:color w:val="auto"/>
              </w:rPr>
            </w:pPr>
            <w:r>
              <w:rPr>
                <w:rFonts w:ascii="Arial" w:cs="Arial" w:eastAsia="Arial" w:hAnsi="Arial"/>
                <w:sz w:val="14"/>
                <w:szCs w:val="14"/>
                <w:b w:val="1"/>
                <w:bCs w:val="1"/>
                <w:color w:val="auto"/>
              </w:rPr>
              <w:t>2005</w:t>
            </w:r>
          </w:p>
        </w:tc>
        <w:tc>
          <w:tcPr>
            <w:tcW w:w="1640" w:type="dxa"/>
            <w:vAlign w:val="bottom"/>
          </w:tcPr>
          <w:p>
            <w:pPr>
              <w:jc w:val="right"/>
              <w:ind w:right="232"/>
              <w:spacing w:after="0"/>
              <w:rPr>
                <w:sz w:val="20"/>
                <w:szCs w:val="20"/>
                <w:color w:val="auto"/>
              </w:rPr>
            </w:pPr>
            <w:r>
              <w:rPr>
                <w:rFonts w:ascii="Arial" w:cs="Arial" w:eastAsia="Arial" w:hAnsi="Arial"/>
                <w:sz w:val="14"/>
                <w:szCs w:val="14"/>
                <w:b w:val="1"/>
                <w:bCs w:val="1"/>
                <w:color w:val="auto"/>
              </w:rPr>
              <w:t>Mar.2006/Mar. 2005</w:t>
            </w:r>
          </w:p>
        </w:tc>
        <w:tc>
          <w:tcPr>
            <w:tcW w:w="1560" w:type="dxa"/>
            <w:vAlign w:val="bottom"/>
          </w:tcPr>
          <w:p>
            <w:pPr>
              <w:jc w:val="right"/>
              <w:ind w:right="272"/>
              <w:spacing w:after="0"/>
              <w:rPr>
                <w:sz w:val="20"/>
                <w:szCs w:val="20"/>
                <w:color w:val="auto"/>
              </w:rPr>
            </w:pPr>
            <w:r>
              <w:rPr>
                <w:rFonts w:ascii="Arial" w:cs="Arial" w:eastAsia="Arial" w:hAnsi="Arial"/>
                <w:sz w:val="14"/>
                <w:szCs w:val="14"/>
                <w:b w:val="1"/>
                <w:bCs w:val="1"/>
                <w:color w:val="auto"/>
                <w:w w:val="93"/>
              </w:rPr>
              <w:t>Mar.2006/ Dec.2005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1,672,164</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1,673,941</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1,416,063</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18.1%</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470,315</w:t>
            </w:r>
          </w:p>
        </w:tc>
        <w:tc>
          <w:tcPr>
            <w:tcW w:w="16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512,333</w:t>
            </w:r>
          </w:p>
        </w:tc>
        <w:tc>
          <w:tcPr>
            <w:tcW w:w="13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574,765</w:t>
            </w:r>
          </w:p>
        </w:tc>
        <w:tc>
          <w:tcPr>
            <w:tcW w:w="1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-18.2%</w:t>
            </w:r>
          </w:p>
        </w:tc>
        <w:tc>
          <w:tcPr>
            <w:tcW w:w="1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deposits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1,763,128</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1,656,470</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1,542,382</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14.3%</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Time deposits</w:t>
            </w:r>
          </w:p>
        </w:tc>
        <w:tc>
          <w:tcPr>
            <w:tcW w:w="21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2,350,413</w:t>
            </w:r>
          </w:p>
        </w:tc>
        <w:tc>
          <w:tcPr>
            <w:tcW w:w="16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2,155,015</w:t>
            </w:r>
          </w:p>
        </w:tc>
        <w:tc>
          <w:tcPr>
            <w:tcW w:w="13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1,978,154</w:t>
            </w:r>
          </w:p>
        </w:tc>
        <w:tc>
          <w:tcPr>
            <w:tcW w:w="1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18.8%</w:t>
            </w:r>
          </w:p>
        </w:tc>
        <w:tc>
          <w:tcPr>
            <w:tcW w:w="1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631,796</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654,791</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517,544</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22.1%</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Interest payable</w:t>
            </w:r>
          </w:p>
        </w:tc>
        <w:tc>
          <w:tcPr>
            <w:tcW w:w="2180" w:type="dxa"/>
            <w:vAlign w:val="bottom"/>
          </w:tcPr>
          <w:p>
            <w:pPr>
              <w:jc w:val="right"/>
              <w:ind w:right="172"/>
              <w:spacing w:after="0"/>
              <w:rPr>
                <w:sz w:val="20"/>
                <w:szCs w:val="20"/>
                <w:color w:val="auto"/>
              </w:rPr>
            </w:pPr>
            <w:r>
              <w:rPr>
                <w:rFonts w:ascii="Arial" w:cs="Arial" w:eastAsia="Arial" w:hAnsi="Arial"/>
                <w:sz w:val="14"/>
                <w:szCs w:val="14"/>
                <w:color w:val="auto"/>
              </w:rPr>
              <w:t>26,525</w:t>
            </w:r>
          </w:p>
        </w:tc>
        <w:tc>
          <w:tcPr>
            <w:tcW w:w="1640" w:type="dxa"/>
            <w:vAlign w:val="bottom"/>
          </w:tcPr>
          <w:p>
            <w:pPr>
              <w:jc w:val="right"/>
              <w:ind w:right="272"/>
              <w:spacing w:after="0"/>
              <w:rPr>
                <w:sz w:val="20"/>
                <w:szCs w:val="20"/>
                <w:color w:val="auto"/>
              </w:rPr>
            </w:pPr>
            <w:r>
              <w:rPr>
                <w:rFonts w:ascii="Arial" w:cs="Arial" w:eastAsia="Arial" w:hAnsi="Arial"/>
                <w:sz w:val="14"/>
                <w:szCs w:val="14"/>
                <w:color w:val="auto"/>
              </w:rPr>
              <w:t>23,695</w:t>
            </w:r>
          </w:p>
        </w:tc>
        <w:tc>
          <w:tcPr>
            <w:tcW w:w="1340" w:type="dxa"/>
            <w:vAlign w:val="bottom"/>
          </w:tcPr>
          <w:p>
            <w:pPr>
              <w:jc w:val="right"/>
              <w:ind w:right="72"/>
              <w:spacing w:after="0"/>
              <w:rPr>
                <w:sz w:val="20"/>
                <w:szCs w:val="20"/>
                <w:color w:val="auto"/>
              </w:rPr>
            </w:pPr>
            <w:r>
              <w:rPr>
                <w:rFonts w:ascii="Arial" w:cs="Arial" w:eastAsia="Arial" w:hAnsi="Arial"/>
                <w:sz w:val="14"/>
                <w:szCs w:val="14"/>
                <w:color w:val="auto"/>
              </w:rPr>
              <w:t>22,031</w:t>
            </w:r>
          </w:p>
        </w:tc>
        <w:tc>
          <w:tcPr>
            <w:tcW w:w="1640" w:type="dxa"/>
            <w:vAlign w:val="bottom"/>
          </w:tcPr>
          <w:p>
            <w:pPr>
              <w:jc w:val="right"/>
              <w:ind w:right="52"/>
              <w:spacing w:after="0"/>
              <w:rPr>
                <w:sz w:val="20"/>
                <w:szCs w:val="20"/>
                <w:color w:val="auto"/>
              </w:rPr>
            </w:pPr>
            <w:r>
              <w:rPr>
                <w:rFonts w:ascii="Arial" w:cs="Arial" w:eastAsia="Arial" w:hAnsi="Arial"/>
                <w:sz w:val="14"/>
                <w:szCs w:val="14"/>
                <w:color w:val="auto"/>
              </w:rPr>
              <w:t>20.4%</w:t>
            </w:r>
          </w:p>
        </w:tc>
        <w:tc>
          <w:tcPr>
            <w:tcW w:w="1560" w:type="dxa"/>
            <w:vAlign w:val="bottom"/>
          </w:tcPr>
          <w:p>
            <w:pPr>
              <w:jc w:val="right"/>
              <w:ind w:right="72"/>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deposits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6,914,341</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6,676,245</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6,050,938</w:t>
            </w:r>
          </w:p>
        </w:tc>
        <w:tc>
          <w:tcPr>
            <w:tcW w:w="1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14.3%</w:t>
            </w:r>
          </w:p>
        </w:tc>
        <w:tc>
          <w:tcPr>
            <w:tcW w:w="1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Perú</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1,057,356</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1,014,570</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901,535</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17.3%</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Mutual funds in Bolivia</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61,149</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55,270</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43,956</w:t>
            </w:r>
          </w:p>
        </w:tc>
        <w:tc>
          <w:tcPr>
            <w:tcW w:w="1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39.1%</w:t>
            </w:r>
          </w:p>
        </w:tc>
        <w:tc>
          <w:tcPr>
            <w:tcW w:w="15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customer funds</w:t>
            </w:r>
          </w:p>
        </w:tc>
        <w:tc>
          <w:tcPr>
            <w:tcW w:w="21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8,032,846</w:t>
            </w:r>
          </w:p>
        </w:tc>
        <w:tc>
          <w:tcPr>
            <w:tcW w:w="16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7,746,085</w:t>
            </w:r>
          </w:p>
        </w:tc>
        <w:tc>
          <w:tcPr>
            <w:tcW w:w="13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6,996,430</w:t>
            </w:r>
          </w:p>
        </w:tc>
        <w:tc>
          <w:tcPr>
            <w:tcW w:w="16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14.8%</w:t>
            </w:r>
          </w:p>
        </w:tc>
        <w:tc>
          <w:tcPr>
            <w:tcW w:w="1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BCP’s position as a solid, reputable financial institution inspires confidence in its clients and thus, its capacity to attract funding is confirmed by the evolution of its deposits portfolio.</w:t>
      </w:r>
    </w:p>
    <w:p>
      <w:pPr>
        <w:spacing w:after="0" w:line="18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Furthermore, a re-composition of such deposits is also evident as clients become more aware of profitability generated by their savings. Thus, in 1Q06 some migration can be noted from non-interest earning accounts to savings plans with better returns, as shown by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93980</wp:posOffset>
            </wp:positionV>
            <wp:extent cx="1861185" cy="926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118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Market share of deposits in the financial market based on average balances was 47% in current accounts, 24.9% in time deposits and 40.3% in saving deposits. In deposits related to the workers’ severance indemnity program (CTS), BCP holds a 56.1% market share. Except for time deposits, where BCP ranks second in the market, it is the leader in all other products. With regards to the Soles/Dollar composition of BCP’s deposit base, it remained stable at 28% in Soles and 72% in Dollars during 1Q06.</w:t>
      </w:r>
    </w:p>
    <w:p>
      <w:pPr>
        <w:sectPr>
          <w:pgSz w:w="11900" w:h="16838" w:orient="portrait"/>
          <w:cols w:equalWidth="0" w:num="1">
            <w:col w:w="11440"/>
          </w:cols>
          <w:pgMar w:left="240" w:top="1440" w:right="219" w:bottom="1440" w:gutter="0" w:footer="0" w:header="0"/>
        </w:sectPr>
      </w:pPr>
    </w:p>
    <w:p>
      <w:pPr>
        <w:spacing w:after="0" w:line="1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type w:val="continuous"/>
        </w:sectPr>
      </w:pPr>
    </w:p>
    <w:bookmarkStart w:id="8" w:name="page9"/>
    <w:bookmarkEnd w:id="8"/>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120"/>
        <w:spacing w:after="0" w:line="259" w:lineRule="auto"/>
        <w:rPr>
          <w:sz w:val="20"/>
          <w:szCs w:val="20"/>
          <w:color w:val="auto"/>
        </w:rPr>
      </w:pPr>
      <w:r>
        <w:rPr>
          <w:rFonts w:ascii="Arial" w:cs="Arial" w:eastAsia="Arial" w:hAnsi="Arial"/>
          <w:sz w:val="18"/>
          <w:szCs w:val="18"/>
          <w:color w:val="auto"/>
        </w:rPr>
        <w:t>BCP’s market share in Mutual Funds continues being the largest in 1Q06 at 51.1% held through its subsidiary Credifondo. Mutual Funds, both in Peru and Bolivia have continued growing, with BCP maintaining its over 50% market share throughout. Thus, administered funds through Credifondo reached US$ 1,054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continued growing mainly due to the rise in average interest earning assets.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2620" w:type="dxa"/>
            <w:vAlign w:val="bottom"/>
          </w:tcPr>
          <w:p>
            <w:pPr>
              <w:spacing w:after="0"/>
              <w:rPr>
                <w:sz w:val="15"/>
                <w:szCs w:val="15"/>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Quarter</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ind w:left="900"/>
              <w:spacing w:after="0"/>
              <w:rPr>
                <w:sz w:val="20"/>
                <w:szCs w:val="20"/>
                <w:color w:val="auto"/>
              </w:rPr>
            </w:pPr>
            <w:r>
              <w:rPr>
                <w:rFonts w:ascii="Arial" w:cs="Arial" w:eastAsia="Arial" w:hAnsi="Arial"/>
                <w:sz w:val="14"/>
                <w:szCs w:val="14"/>
                <w:b w:val="1"/>
                <w:bCs w:val="1"/>
                <w:color w:val="auto"/>
                <w:w w:val="85"/>
              </w:rPr>
              <w:t>Change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60" w:type="dxa"/>
            <w:vAlign w:val="bottom"/>
            <w:tcBorders>
              <w:bottom w:val="single" w:sz="8" w:color="auto"/>
            </w:tcBorders>
            <w:gridSpan w:val="2"/>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620" w:type="dxa"/>
            <w:vAlign w:val="bottom"/>
          </w:tcPr>
          <w:p>
            <w:pPr>
              <w:jc w:val="right"/>
              <w:ind w:right="59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652"/>
              <w:spacing w:after="0"/>
              <w:rPr>
                <w:sz w:val="20"/>
                <w:szCs w:val="20"/>
                <w:color w:val="auto"/>
              </w:rPr>
            </w:pPr>
            <w:r>
              <w:rPr>
                <w:rFonts w:ascii="Arial" w:cs="Arial" w:eastAsia="Arial" w:hAnsi="Arial"/>
                <w:sz w:val="14"/>
                <w:szCs w:val="14"/>
                <w:b w:val="1"/>
                <w:bCs w:val="1"/>
                <w:color w:val="auto"/>
              </w:rPr>
              <w:t>4Q05</w:t>
            </w: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1Q05</w:t>
            </w:r>
          </w:p>
        </w:tc>
        <w:tc>
          <w:tcPr>
            <w:tcW w:w="20" w:type="dxa"/>
            <w:vAlign w:val="bottom"/>
          </w:tcPr>
          <w:p>
            <w:pPr>
              <w:spacing w:after="0"/>
              <w:rPr>
                <w:sz w:val="22"/>
                <w:szCs w:val="22"/>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auto"/>
              </w:rPr>
              <w:t>1Q06/1Q05</w:t>
            </w: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w w:val="91"/>
              </w:rPr>
              <w:t>1Q06/ 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157,884</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146,335</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124,468</w:t>
            </w:r>
          </w:p>
        </w:tc>
        <w:tc>
          <w:tcPr>
            <w:tcW w:w="13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26.8%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Interest expense</w:t>
            </w:r>
          </w:p>
        </w:tc>
        <w:tc>
          <w:tcPr>
            <w:tcW w:w="2620" w:type="dxa"/>
            <w:vAlign w:val="bottom"/>
          </w:tcPr>
          <w:p>
            <w:pPr>
              <w:jc w:val="right"/>
              <w:ind w:right="192"/>
              <w:spacing w:after="0"/>
              <w:rPr>
                <w:sz w:val="20"/>
                <w:szCs w:val="20"/>
                <w:color w:val="auto"/>
              </w:rPr>
            </w:pPr>
            <w:r>
              <w:rPr>
                <w:rFonts w:ascii="Arial" w:cs="Arial" w:eastAsia="Arial" w:hAnsi="Arial"/>
                <w:sz w:val="14"/>
                <w:szCs w:val="14"/>
                <w:color w:val="auto"/>
              </w:rPr>
              <w:t>(53,083)</w:t>
            </w:r>
          </w:p>
        </w:tc>
        <w:tc>
          <w:tcPr>
            <w:tcW w:w="1280" w:type="dxa"/>
            <w:vAlign w:val="bottom"/>
          </w:tcPr>
          <w:p>
            <w:pPr>
              <w:jc w:val="right"/>
              <w:ind w:right="252"/>
              <w:spacing w:after="0"/>
              <w:rPr>
                <w:sz w:val="20"/>
                <w:szCs w:val="20"/>
                <w:color w:val="auto"/>
              </w:rPr>
            </w:pPr>
            <w:r>
              <w:rPr>
                <w:rFonts w:ascii="Arial" w:cs="Arial" w:eastAsia="Arial" w:hAnsi="Arial"/>
                <w:sz w:val="14"/>
                <w:szCs w:val="14"/>
                <w:color w:val="auto"/>
              </w:rPr>
              <w:t>(44,069)</w:t>
            </w: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(33,395)</w:t>
            </w:r>
          </w:p>
        </w:tc>
        <w:tc>
          <w:tcPr>
            <w:tcW w:w="1380" w:type="dxa"/>
            <w:vAlign w:val="bottom"/>
            <w:gridSpan w:val="2"/>
          </w:tcPr>
          <w:p>
            <w:pPr>
              <w:ind w:left="800"/>
              <w:spacing w:after="0"/>
              <w:rPr>
                <w:sz w:val="20"/>
                <w:szCs w:val="20"/>
                <w:color w:val="auto"/>
              </w:rPr>
            </w:pPr>
            <w:r>
              <w:rPr>
                <w:rFonts w:ascii="Arial" w:cs="Arial" w:eastAsia="Arial" w:hAnsi="Arial"/>
                <w:sz w:val="14"/>
                <w:szCs w:val="14"/>
                <w:color w:val="auto"/>
              </w:rPr>
              <w:t>59.0%</w:t>
            </w: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w:t>
            </w:r>
          </w:p>
        </w:tc>
        <w:tc>
          <w:tcPr>
            <w:tcW w:w="2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104,801</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b w:val="1"/>
                <w:bCs w:val="1"/>
                <w:color w:val="auto"/>
              </w:rPr>
              <w:t>102,267</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91,073</w:t>
            </w:r>
          </w:p>
        </w:tc>
        <w:tc>
          <w:tcPr>
            <w:tcW w:w="13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b w:val="1"/>
                <w:bCs w:val="1"/>
                <w:color w:val="auto"/>
              </w:rPr>
              <w:t>15.1%</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earning assets</w:t>
            </w:r>
          </w:p>
        </w:tc>
        <w:tc>
          <w:tcPr>
            <w:tcW w:w="26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8,277,562</w:t>
            </w:r>
          </w:p>
        </w:tc>
        <w:tc>
          <w:tcPr>
            <w:tcW w:w="12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7,508,995</w:t>
            </w:r>
          </w:p>
        </w:tc>
        <w:tc>
          <w:tcPr>
            <w:tcW w:w="10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6,477,421</w:t>
            </w:r>
          </w:p>
        </w:tc>
        <w:tc>
          <w:tcPr>
            <w:tcW w:w="13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27.8%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6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Borders>
              <w:top w:val="single" w:sz="8" w:color="auto"/>
            </w:tcBorders>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margin*</w:t>
            </w:r>
          </w:p>
        </w:tc>
        <w:tc>
          <w:tcPr>
            <w:tcW w:w="2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5.06%</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5.45%</w:t>
            </w:r>
          </w:p>
        </w:tc>
        <w:tc>
          <w:tcPr>
            <w:tcW w:w="10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5.62%</w:t>
            </w: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*Annualized</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Net interest income grew 2.5% QoQ and 15.1% YoY, following the expansion of BCP’s average interest earning assets by 10.2% QoQ and 27.8% YoY. This proportionately lower NII growth vis-à-vis asset growth is explained by the change in asset mix generated by the stronger growth of the market’s liquidity and thus BCP’s deposit base compared to growth in demand for loans. Therefore, lower interest earning assets (such as deposits at the Central Bank) captured such excess liquidity and grew faster than higher yielding assets (loans), as explained in detail previously.</w:t>
      </w:r>
    </w:p>
    <w:p>
      <w:pPr>
        <w:spacing w:after="0" w:line="16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Nevertheless, the 2.5% QoQ growth in NII is noticeable given the clear seasonality that exists in lending activity which makes the last quarter of the year the strongest due to the Holiday season, and the first quarter the weakest as it includes the shorter month of February. Furthermore, core earnings at BCP, which include interest income, fee income and FX-transactions grew 16.6% YoY.</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However, despite the positive evolution of interest income in absolute terms, NIM drops to 5.06% this 1Q06 vs. 5.62% for the 1Q05. This can be again explained by:</w:t>
      </w:r>
    </w:p>
    <w:p>
      <w:pPr>
        <w:spacing w:after="0" w:line="186" w:lineRule="exact"/>
        <w:rPr>
          <w:sz w:val="20"/>
          <w:szCs w:val="20"/>
          <w:color w:val="auto"/>
        </w:rPr>
      </w:pPr>
    </w:p>
    <w:p>
      <w:pPr>
        <w:ind w:left="1160" w:right="100" w:hanging="571"/>
        <w:spacing w:after="0" w:line="25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Change in asset mix</w:t>
      </w:r>
      <w:r>
        <w:rPr>
          <w:rFonts w:ascii="Arial" w:cs="Arial" w:eastAsia="Arial" w:hAnsi="Arial"/>
          <w:sz w:val="18"/>
          <w:szCs w:val="18"/>
          <w:color w:val="auto"/>
        </w:rPr>
        <w:t>. As explained above, lower yielding assets grew strongly by 21% QoQ and 93.3% YoY, whereas higher yielding assets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loan portfolio grew only 2.8% QoQ and 15.5% YoY.</w:t>
      </w:r>
    </w:p>
    <w:p>
      <w:pPr>
        <w:jc w:val="both"/>
        <w:ind w:left="1160" w:right="240" w:hanging="571"/>
        <w:spacing w:after="0" w:line="255"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FX-Forward Losses</w:t>
      </w:r>
      <w:r>
        <w:rPr>
          <w:rFonts w:ascii="Arial" w:cs="Arial" w:eastAsia="Arial" w:hAnsi="Arial"/>
          <w:sz w:val="18"/>
          <w:szCs w:val="18"/>
          <w:color w:val="auto"/>
        </w:rPr>
        <w:t>. An additional burden for BCP’s net interest income was a US$1.2 million loss recorded within interest income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over FX-forward contracts. This loss is the result of the mark to market of the forward contracts responding to interest rate variations for soles and dollars (a component of the valuation of the forward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131445</wp:posOffset>
            </wp:positionV>
            <wp:extent cx="1560830" cy="977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83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It should, however, be noted that this drop in NIM does not reflect a drop in business margins for the different lending products, since low market penetration is still allowing for good growth ratios without surrendering margins despite competitive pressure.</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II.4 Provision for loan losses, net of recoveries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Past Due loans ratio reached 1.91% and coverage 203.8%.</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Provision for loan losses</w:t>
            </w:r>
          </w:p>
        </w:tc>
        <w:tc>
          <w:tcPr>
            <w:tcW w:w="2180" w:type="dxa"/>
            <w:vAlign w:val="bottom"/>
          </w:tcPr>
          <w:p>
            <w:pPr>
              <w:spacing w:after="0"/>
              <w:rPr>
                <w:sz w:val="15"/>
                <w:szCs w:val="15"/>
                <w:color w:val="auto"/>
              </w:rPr>
            </w:pPr>
          </w:p>
        </w:tc>
        <w:tc>
          <w:tcPr>
            <w:tcW w:w="13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Quarter ended</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100" w:type="dxa"/>
            <w:vAlign w:val="bottom"/>
            <w:tcBorders>
              <w:bottom w:val="single" w:sz="8" w:color="auto"/>
            </w:tcBorders>
            <w:gridSpan w:val="2"/>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180" w:type="dxa"/>
            <w:vAlign w:val="bottom"/>
          </w:tcPr>
          <w:p>
            <w:pPr>
              <w:jc w:val="right"/>
              <w:ind w:right="332"/>
              <w:spacing w:after="0"/>
              <w:rPr>
                <w:sz w:val="20"/>
                <w:szCs w:val="20"/>
                <w:color w:val="auto"/>
              </w:rPr>
            </w:pPr>
            <w:r>
              <w:rPr>
                <w:rFonts w:ascii="Arial" w:cs="Arial" w:eastAsia="Arial" w:hAnsi="Arial"/>
                <w:sz w:val="14"/>
                <w:szCs w:val="14"/>
                <w:b w:val="1"/>
                <w:bCs w:val="1"/>
                <w:color w:val="auto"/>
              </w:rPr>
              <w:t>31-Mar-06</w:t>
            </w:r>
          </w:p>
        </w:tc>
        <w:tc>
          <w:tcPr>
            <w:tcW w:w="1300" w:type="dxa"/>
            <w:vAlign w:val="bottom"/>
          </w:tcPr>
          <w:p>
            <w:pPr>
              <w:jc w:val="right"/>
              <w:ind w:right="432"/>
              <w:spacing w:after="0"/>
              <w:rPr>
                <w:sz w:val="20"/>
                <w:szCs w:val="20"/>
                <w:color w:val="auto"/>
              </w:rPr>
            </w:pPr>
            <w:r>
              <w:rPr>
                <w:rFonts w:ascii="Arial" w:cs="Arial" w:eastAsia="Arial" w:hAnsi="Arial"/>
                <w:sz w:val="14"/>
                <w:szCs w:val="14"/>
                <w:b w:val="1"/>
                <w:bCs w:val="1"/>
                <w:color w:val="auto"/>
              </w:rPr>
              <w:t>31-Dec-05</w:t>
            </w:r>
          </w:p>
        </w:tc>
        <w:tc>
          <w:tcPr>
            <w:tcW w:w="1160" w:type="dxa"/>
            <w:vAlign w:val="bottom"/>
          </w:tcPr>
          <w:p>
            <w:pPr>
              <w:jc w:val="right"/>
              <w:ind w:right="352"/>
              <w:spacing w:after="0"/>
              <w:rPr>
                <w:sz w:val="20"/>
                <w:szCs w:val="20"/>
                <w:color w:val="auto"/>
              </w:rPr>
            </w:pPr>
            <w:r>
              <w:rPr>
                <w:rFonts w:ascii="Arial" w:cs="Arial" w:eastAsia="Arial" w:hAnsi="Arial"/>
                <w:sz w:val="14"/>
                <w:szCs w:val="14"/>
                <w:b w:val="1"/>
                <w:bCs w:val="1"/>
                <w:color w:val="auto"/>
              </w:rPr>
              <w:t>31-Mar-05</w:t>
            </w:r>
          </w:p>
        </w:tc>
        <w:tc>
          <w:tcPr>
            <w:tcW w:w="40" w:type="dxa"/>
            <w:vAlign w:val="bottom"/>
          </w:tcPr>
          <w:p>
            <w:pPr>
              <w:spacing w:after="0"/>
              <w:rPr>
                <w:sz w:val="22"/>
                <w:szCs w:val="22"/>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Mar.06/Mar.05</w:t>
            </w: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Mar.06/Dec.05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-16,240</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-14,447</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-4,576</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254.90%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Loan loss recoveries</w:t>
            </w:r>
          </w:p>
        </w:tc>
        <w:tc>
          <w:tcPr>
            <w:tcW w:w="2180" w:type="dxa"/>
            <w:vAlign w:val="bottom"/>
          </w:tcPr>
          <w:p>
            <w:pPr>
              <w:jc w:val="right"/>
              <w:ind w:right="132"/>
              <w:spacing w:after="0"/>
              <w:rPr>
                <w:sz w:val="20"/>
                <w:szCs w:val="20"/>
                <w:color w:val="auto"/>
              </w:rPr>
            </w:pPr>
            <w:r>
              <w:rPr>
                <w:rFonts w:ascii="Arial" w:cs="Arial" w:eastAsia="Arial" w:hAnsi="Arial"/>
                <w:sz w:val="14"/>
                <w:szCs w:val="14"/>
                <w:color w:val="auto"/>
              </w:rPr>
              <w:t>11,401</w:t>
            </w:r>
          </w:p>
        </w:tc>
        <w:tc>
          <w:tcPr>
            <w:tcW w:w="1300" w:type="dxa"/>
            <w:vAlign w:val="bottom"/>
          </w:tcPr>
          <w:p>
            <w:pPr>
              <w:jc w:val="right"/>
              <w:ind w:right="212"/>
              <w:spacing w:after="0"/>
              <w:rPr>
                <w:sz w:val="20"/>
                <w:szCs w:val="20"/>
                <w:color w:val="auto"/>
              </w:rPr>
            </w:pPr>
            <w:r>
              <w:rPr>
                <w:rFonts w:ascii="Arial" w:cs="Arial" w:eastAsia="Arial" w:hAnsi="Arial"/>
                <w:sz w:val="14"/>
                <w:szCs w:val="14"/>
                <w:color w:val="auto"/>
              </w:rPr>
              <w:t>9,130</w:t>
            </w:r>
          </w:p>
        </w:tc>
        <w:tc>
          <w:tcPr>
            <w:tcW w:w="1160" w:type="dxa"/>
            <w:vAlign w:val="bottom"/>
          </w:tcPr>
          <w:p>
            <w:pPr>
              <w:jc w:val="right"/>
              <w:ind w:right="132"/>
              <w:spacing w:after="0"/>
              <w:rPr>
                <w:sz w:val="20"/>
                <w:szCs w:val="20"/>
                <w:color w:val="auto"/>
              </w:rPr>
            </w:pPr>
            <w:r>
              <w:rPr>
                <w:rFonts w:ascii="Arial" w:cs="Arial" w:eastAsia="Arial" w:hAnsi="Arial"/>
                <w:sz w:val="14"/>
                <w:szCs w:val="14"/>
                <w:color w:val="auto"/>
              </w:rPr>
              <w:t>7,702</w:t>
            </w:r>
          </w:p>
        </w:tc>
        <w:tc>
          <w:tcPr>
            <w:tcW w:w="1360" w:type="dxa"/>
            <w:vAlign w:val="bottom"/>
            <w:gridSpan w:val="2"/>
          </w:tcPr>
          <w:p>
            <w:pPr>
              <w:jc w:val="right"/>
              <w:ind w:right="52"/>
              <w:spacing w:after="0"/>
              <w:rPr>
                <w:sz w:val="20"/>
                <w:szCs w:val="20"/>
                <w:color w:val="auto"/>
              </w:rPr>
            </w:pPr>
            <w:r>
              <w:rPr>
                <w:rFonts w:ascii="Arial" w:cs="Arial" w:eastAsia="Arial" w:hAnsi="Arial"/>
                <w:sz w:val="14"/>
                <w:szCs w:val="14"/>
                <w:color w:val="auto"/>
              </w:rPr>
              <w:t>48.00%</w:t>
            </w:r>
          </w:p>
        </w:tc>
        <w:tc>
          <w:tcPr>
            <w:tcW w:w="1180" w:type="dxa"/>
            <w:vAlign w:val="bottom"/>
          </w:tcPr>
          <w:p>
            <w:pPr>
              <w:jc w:val="right"/>
              <w:spacing w:after="0"/>
              <w:rPr>
                <w:sz w:val="20"/>
                <w:szCs w:val="20"/>
                <w:color w:val="auto"/>
              </w:rPr>
            </w:pPr>
            <w:r>
              <w:rPr>
                <w:rFonts w:ascii="Arial" w:cs="Arial" w:eastAsia="Arial" w:hAnsi="Arial"/>
                <w:sz w:val="14"/>
                <w:szCs w:val="14"/>
                <w:color w:val="auto"/>
              </w:rPr>
              <w:t>24.90%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8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provisions, net of recoveries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-4,839</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-5,316</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3,125</w:t>
            </w:r>
          </w:p>
        </w:tc>
        <w:tc>
          <w:tcPr>
            <w:tcW w:w="13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-254.80%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5,005,176</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4,869,428</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4,398,746</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13.80%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for loan losses (RLL)</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195,271</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194,585</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242,263</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-19.40%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BCP’s Charge-Off amount</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-8,049</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-14,186</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-10,922</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Past due loans (PDL)</w:t>
            </w:r>
          </w:p>
        </w:tc>
        <w:tc>
          <w:tcPr>
            <w:tcW w:w="21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95,812</w:t>
            </w:r>
          </w:p>
        </w:tc>
        <w:tc>
          <w:tcPr>
            <w:tcW w:w="13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93,707</w:t>
            </w:r>
          </w:p>
        </w:tc>
        <w:tc>
          <w:tcPr>
            <w:tcW w:w="11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148,105</w:t>
            </w:r>
          </w:p>
        </w:tc>
        <w:tc>
          <w:tcPr>
            <w:tcW w:w="13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-35.30%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1.91%</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1.92%</w:t>
            </w:r>
          </w:p>
        </w:tc>
        <w:tc>
          <w:tcPr>
            <w:tcW w:w="1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gridSpan w:val="2"/>
          </w:tcPr>
          <w:p>
            <w:pPr>
              <w:spacing w:after="0"/>
              <w:rPr>
                <w:sz w:val="9"/>
                <w:szCs w:val="9"/>
                <w:color w:val="auto"/>
              </w:rPr>
            </w:pPr>
          </w:p>
        </w:tc>
        <w:tc>
          <w:tcPr>
            <w:tcW w:w="2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w:t>
            </w:r>
          </w:p>
        </w:tc>
        <w:tc>
          <w:tcPr>
            <w:tcW w:w="21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203.81%</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207.65%</w:t>
            </w:r>
          </w:p>
        </w:tc>
        <w:tc>
          <w:tcPr>
            <w:tcW w:w="1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163.58%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After the recovery in loan quality and a more stable behavior of the financial market, provisioning is reaching more traditional levels, which have historically been around 15% of NII. Thus, provisions in 1Q06 increased to 15.5% of NII, compared to 14.3% for 4Q05 and 5% for 1Q05. This growing provisioning appears in 4Q05 for (i) some seasonality in loan volume with the largest volumes placed towards the end of the year, (ii) as a reflection of the stronger growth BCP’s loan portfolio is having in the somewhat riskier retail &amp; SME segments and (iii) a country risk provision of close to US$ 4 million for loans to corporations in Ecuador.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130175</wp:posOffset>
            </wp:positionV>
            <wp:extent cx="1715135" cy="995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513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Nevertheless, loan loss recoveries are still significant and benefit overall results. Thus, net provisioning levels are still very low reaching only US$ 4.8 million for 1Q06, even lower than 4Q05 net provision of US$ 5.3 million despite having higher gross provisions.</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Despite this evolution in provisions, loan quality remains high. Thus, past due loans grow in line with loan volume growth at 2.2% QoQ. This leads to stable ratios as PDL/Total Loans maintains its 1.9%, and the coverage of PDL remains over 200%.</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II.5 Non financial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w:t>
            </w:r>
          </w:p>
        </w:tc>
        <w:tc>
          <w:tcPr>
            <w:tcW w:w="2060" w:type="dxa"/>
            <w:vAlign w:val="bottom"/>
          </w:tcPr>
          <w:p>
            <w:pPr>
              <w:spacing w:after="0"/>
              <w:rPr>
                <w:sz w:val="15"/>
                <w:szCs w:val="15"/>
                <w:color w:val="auto"/>
              </w:rPr>
            </w:pP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3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Borders>
              <w:bottom w:val="single" w:sz="8" w:color="auto"/>
            </w:tcBorders>
            <w:gridSpan w:val="2"/>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060" w:type="dxa"/>
            <w:vAlign w:val="bottom"/>
          </w:tcPr>
          <w:p>
            <w:pPr>
              <w:jc w:val="right"/>
              <w:ind w:right="532"/>
              <w:spacing w:after="0"/>
              <w:rPr>
                <w:sz w:val="20"/>
                <w:szCs w:val="20"/>
                <w:color w:val="auto"/>
              </w:rPr>
            </w:pPr>
            <w:r>
              <w:rPr>
                <w:rFonts w:ascii="Arial" w:cs="Arial" w:eastAsia="Arial" w:hAnsi="Arial"/>
                <w:sz w:val="14"/>
                <w:szCs w:val="14"/>
                <w:b w:val="1"/>
                <w:bCs w:val="1"/>
                <w:color w:val="auto"/>
              </w:rPr>
              <w:t>1Q 2006</w:t>
            </w: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4Q 2006</w:t>
            </w:r>
          </w:p>
        </w:tc>
        <w:tc>
          <w:tcPr>
            <w:tcW w:w="1340" w:type="dxa"/>
            <w:vAlign w:val="bottom"/>
          </w:tcPr>
          <w:p>
            <w:pPr>
              <w:jc w:val="right"/>
              <w:ind w:right="512"/>
              <w:spacing w:after="0"/>
              <w:rPr>
                <w:sz w:val="20"/>
                <w:szCs w:val="20"/>
                <w:color w:val="auto"/>
              </w:rPr>
            </w:pPr>
            <w:r>
              <w:rPr>
                <w:rFonts w:ascii="Arial" w:cs="Arial" w:eastAsia="Arial" w:hAnsi="Arial"/>
                <w:sz w:val="14"/>
                <w:szCs w:val="14"/>
                <w:b w:val="1"/>
                <w:bCs w:val="1"/>
                <w:color w:val="auto"/>
              </w:rPr>
              <w:t>1Q 2005</w:t>
            </w:r>
          </w:p>
        </w:tc>
        <w:tc>
          <w:tcPr>
            <w:tcW w:w="1880" w:type="dxa"/>
            <w:vAlign w:val="bottom"/>
          </w:tcPr>
          <w:p>
            <w:pPr>
              <w:jc w:val="right"/>
              <w:ind w:right="592"/>
              <w:spacing w:after="0"/>
              <w:rPr>
                <w:sz w:val="20"/>
                <w:szCs w:val="20"/>
                <w:color w:val="auto"/>
              </w:rPr>
            </w:pPr>
            <w:r>
              <w:rPr>
                <w:rFonts w:ascii="Arial" w:cs="Arial" w:eastAsia="Arial" w:hAnsi="Arial"/>
                <w:sz w:val="14"/>
                <w:szCs w:val="14"/>
                <w:b w:val="1"/>
                <w:bCs w:val="1"/>
                <w:color w:val="auto"/>
              </w:rPr>
              <w:t>1Q 2006/1Q 2005</w:t>
            </w:r>
          </w:p>
        </w:tc>
        <w:tc>
          <w:tcPr>
            <w:tcW w:w="1480" w:type="dxa"/>
            <w:vAlign w:val="bottom"/>
          </w:tcPr>
          <w:p>
            <w:pPr>
              <w:jc w:val="right"/>
              <w:ind w:right="332"/>
              <w:spacing w:after="0"/>
              <w:rPr>
                <w:sz w:val="20"/>
                <w:szCs w:val="20"/>
                <w:color w:val="auto"/>
              </w:rPr>
            </w:pPr>
            <w:r>
              <w:rPr>
                <w:rFonts w:ascii="Arial" w:cs="Arial" w:eastAsia="Arial" w:hAnsi="Arial"/>
                <w:sz w:val="14"/>
                <w:szCs w:val="14"/>
                <w:b w:val="1"/>
                <w:bCs w:val="1"/>
                <w:color w:val="auto"/>
                <w:w w:val="95"/>
              </w:rPr>
              <w:t>1Q 2006/4Q 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 Income</w:t>
            </w:r>
          </w:p>
        </w:tc>
        <w:tc>
          <w:tcPr>
            <w:tcW w:w="2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55,308</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56,023</w:t>
            </w:r>
          </w:p>
        </w:tc>
        <w:tc>
          <w:tcPr>
            <w:tcW w:w="1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48,959</w:t>
            </w:r>
          </w:p>
        </w:tc>
        <w:tc>
          <w:tcPr>
            <w:tcW w:w="1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13.00%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20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10,467</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9,165</w:t>
            </w:r>
          </w:p>
        </w:tc>
        <w:tc>
          <w:tcPr>
            <w:tcW w:w="13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6,230</w:t>
            </w:r>
          </w:p>
        </w:tc>
        <w:tc>
          <w:tcPr>
            <w:tcW w:w="1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68.00%</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14.20%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2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-654</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109</w:t>
            </w:r>
          </w:p>
        </w:tc>
        <w:tc>
          <w:tcPr>
            <w:tcW w:w="1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1,125</w:t>
            </w:r>
          </w:p>
        </w:tc>
        <w:tc>
          <w:tcPr>
            <w:tcW w:w="1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-158.10%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income</w:t>
            </w:r>
          </w:p>
        </w:tc>
        <w:tc>
          <w:tcPr>
            <w:tcW w:w="2060" w:type="dxa"/>
            <w:vAlign w:val="bottom"/>
          </w:tcPr>
          <w:p>
            <w:pPr>
              <w:jc w:val="right"/>
              <w:ind w:right="192"/>
              <w:spacing w:after="0"/>
              <w:rPr>
                <w:sz w:val="20"/>
                <w:szCs w:val="20"/>
                <w:color w:val="auto"/>
              </w:rPr>
            </w:pPr>
            <w:r>
              <w:rPr>
                <w:rFonts w:ascii="Arial" w:cs="Arial" w:eastAsia="Arial" w:hAnsi="Arial"/>
                <w:sz w:val="14"/>
                <w:szCs w:val="14"/>
                <w:color w:val="auto"/>
              </w:rPr>
              <w:t>3,337</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3,124</w:t>
            </w:r>
          </w:p>
        </w:tc>
        <w:tc>
          <w:tcPr>
            <w:tcW w:w="1340" w:type="dxa"/>
            <w:vAlign w:val="bottom"/>
          </w:tcPr>
          <w:p>
            <w:pPr>
              <w:jc w:val="right"/>
              <w:ind w:right="172"/>
              <w:spacing w:after="0"/>
              <w:rPr>
                <w:sz w:val="20"/>
                <w:szCs w:val="20"/>
                <w:color w:val="auto"/>
              </w:rPr>
            </w:pPr>
            <w:r>
              <w:rPr>
                <w:rFonts w:ascii="Arial" w:cs="Arial" w:eastAsia="Arial" w:hAnsi="Arial"/>
                <w:sz w:val="14"/>
                <w:szCs w:val="14"/>
                <w:color w:val="auto"/>
              </w:rPr>
              <w:t>3,300</w:t>
            </w:r>
          </w:p>
        </w:tc>
        <w:tc>
          <w:tcPr>
            <w:tcW w:w="1880" w:type="dxa"/>
            <w:vAlign w:val="bottom"/>
          </w:tcPr>
          <w:p>
            <w:pPr>
              <w:jc w:val="right"/>
              <w:ind w:right="212"/>
              <w:spacing w:after="0"/>
              <w:rPr>
                <w:sz w:val="20"/>
                <w:szCs w:val="20"/>
                <w:color w:val="auto"/>
              </w:rPr>
            </w:pPr>
            <w:r>
              <w:rPr>
                <w:rFonts w:ascii="Arial" w:cs="Arial" w:eastAsia="Arial" w:hAnsi="Arial"/>
                <w:sz w:val="14"/>
                <w:szCs w:val="14"/>
                <w:color w:val="auto"/>
              </w:rPr>
              <w:t>1.10%</w:t>
            </w:r>
          </w:p>
        </w:tc>
        <w:tc>
          <w:tcPr>
            <w:tcW w:w="1480" w:type="dxa"/>
            <w:vAlign w:val="bottom"/>
          </w:tcPr>
          <w:p>
            <w:pPr>
              <w:jc w:val="right"/>
              <w:spacing w:after="0"/>
              <w:rPr>
                <w:sz w:val="20"/>
                <w:szCs w:val="20"/>
                <w:color w:val="auto"/>
              </w:rPr>
            </w:pPr>
            <w:r>
              <w:rPr>
                <w:rFonts w:ascii="Arial" w:cs="Arial" w:eastAsia="Arial" w:hAnsi="Arial"/>
                <w:sz w:val="14"/>
                <w:szCs w:val="14"/>
                <w:color w:val="auto"/>
              </w:rPr>
              <w:t>6.80%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non financial income</w:t>
            </w:r>
          </w:p>
        </w:tc>
        <w:tc>
          <w:tcPr>
            <w:tcW w:w="20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68,459</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68,421</w:t>
            </w:r>
          </w:p>
        </w:tc>
        <w:tc>
          <w:tcPr>
            <w:tcW w:w="13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59,613</w:t>
            </w:r>
          </w:p>
        </w:tc>
        <w:tc>
          <w:tcPr>
            <w:tcW w:w="18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14.80%</w:t>
            </w: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2440" w:type="dxa"/>
            <w:vAlign w:val="bottom"/>
          </w:tcPr>
          <w:p>
            <w:pPr>
              <w:spacing w:after="0"/>
              <w:rPr>
                <w:sz w:val="15"/>
                <w:szCs w:val="15"/>
                <w:color w:val="auto"/>
              </w:rPr>
            </w:pPr>
          </w:p>
        </w:tc>
        <w:tc>
          <w:tcPr>
            <w:tcW w:w="136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20" w:type="dxa"/>
            <w:vAlign w:val="bottom"/>
            <w:tcBorders>
              <w:bottom w:val="single" w:sz="8" w:color="auto"/>
            </w:tcBorders>
            <w:gridSpan w:val="2"/>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440" w:type="dxa"/>
            <w:vAlign w:val="bottom"/>
          </w:tcPr>
          <w:p>
            <w:pPr>
              <w:jc w:val="right"/>
              <w:ind w:right="552"/>
              <w:spacing w:after="0"/>
              <w:rPr>
                <w:sz w:val="20"/>
                <w:szCs w:val="20"/>
                <w:color w:val="auto"/>
              </w:rPr>
            </w:pPr>
            <w:r>
              <w:rPr>
                <w:rFonts w:ascii="Arial" w:cs="Arial" w:eastAsia="Arial" w:hAnsi="Arial"/>
                <w:sz w:val="14"/>
                <w:szCs w:val="14"/>
                <w:b w:val="1"/>
                <w:bCs w:val="1"/>
                <w:color w:val="auto"/>
              </w:rPr>
              <w:t>1Q 2006</w:t>
            </w:r>
          </w:p>
        </w:tc>
        <w:tc>
          <w:tcPr>
            <w:tcW w:w="1360" w:type="dxa"/>
            <w:vAlign w:val="bottom"/>
          </w:tcPr>
          <w:p>
            <w:pPr>
              <w:jc w:val="right"/>
              <w:ind w:right="552"/>
              <w:spacing w:after="0"/>
              <w:rPr>
                <w:sz w:val="20"/>
                <w:szCs w:val="20"/>
                <w:color w:val="auto"/>
              </w:rPr>
            </w:pPr>
            <w:r>
              <w:rPr>
                <w:rFonts w:ascii="Arial" w:cs="Arial" w:eastAsia="Arial" w:hAnsi="Arial"/>
                <w:sz w:val="14"/>
                <w:szCs w:val="14"/>
                <w:b w:val="1"/>
                <w:bCs w:val="1"/>
                <w:color w:val="auto"/>
              </w:rPr>
              <w:t>4Q 2005</w:t>
            </w:r>
          </w:p>
        </w:tc>
        <w:tc>
          <w:tcPr>
            <w:tcW w:w="1320" w:type="dxa"/>
            <w:vAlign w:val="bottom"/>
          </w:tcPr>
          <w:p>
            <w:pPr>
              <w:jc w:val="right"/>
              <w:ind w:right="512"/>
              <w:spacing w:after="0"/>
              <w:rPr>
                <w:sz w:val="20"/>
                <w:szCs w:val="20"/>
                <w:color w:val="auto"/>
              </w:rPr>
            </w:pPr>
            <w:r>
              <w:rPr>
                <w:rFonts w:ascii="Arial" w:cs="Arial" w:eastAsia="Arial" w:hAnsi="Arial"/>
                <w:sz w:val="14"/>
                <w:szCs w:val="14"/>
                <w:b w:val="1"/>
                <w:bCs w:val="1"/>
                <w:color w:val="auto"/>
              </w:rPr>
              <w:t>1Q 2005</w:t>
            </w:r>
          </w:p>
        </w:tc>
        <w:tc>
          <w:tcPr>
            <w:tcW w:w="158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1Q06/1Q05</w:t>
            </w: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w w:val="93"/>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Saving Accounts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6,390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6,319</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5,865</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9.0%</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Demand Deposits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6,646</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6,629</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6,270</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cards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6,602</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6,524</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6,266</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Fund transfer services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5,664</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5,188</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4,645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22.0%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Collection fees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3,980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3,961</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3,636</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9.5%</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Billings &amp; payments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4,301</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4,397</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3,838</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and foreign trade</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5,270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4,809</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4,660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13.1%</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Debit Cards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2,485</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2,818</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2,005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23.9%</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Brokerage and fees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2,300</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2,025</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1,568</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46.6%</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Commercial loans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2,135</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1,939</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1,906</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12.0%</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1,462</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1,559</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1,320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10.8%</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Distribution channels and Others</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2,772</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3,542</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2,905</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-4.6%</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loans, Mortgages and SME loans</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1,628</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1,974</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1,470</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10.7%</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Credibolsa</w:t>
            </w:r>
          </w:p>
        </w:tc>
        <w:tc>
          <w:tcPr>
            <w:tcW w:w="24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1,246</w:t>
            </w:r>
          </w:p>
        </w:tc>
        <w:tc>
          <w:tcPr>
            <w:tcW w:w="13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1,954</w:t>
            </w:r>
          </w:p>
        </w:tc>
        <w:tc>
          <w:tcPr>
            <w:tcW w:w="13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484</w:t>
            </w:r>
          </w:p>
        </w:tc>
        <w:tc>
          <w:tcPr>
            <w:tcW w:w="15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157.4%</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Credifondo</w:t>
            </w:r>
          </w:p>
        </w:tc>
        <w:tc>
          <w:tcPr>
            <w:tcW w:w="24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2,429</w:t>
            </w:r>
          </w:p>
        </w:tc>
        <w:tc>
          <w:tcPr>
            <w:tcW w:w="1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2,386</w:t>
            </w:r>
          </w:p>
        </w:tc>
        <w:tc>
          <w:tcPr>
            <w:tcW w:w="1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2,123</w:t>
            </w:r>
          </w:p>
        </w:tc>
        <w:tc>
          <w:tcPr>
            <w:tcW w:w="15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14.4%</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ind w:left="420"/>
              <w:spacing w:after="0"/>
              <w:rPr>
                <w:sz w:val="20"/>
                <w:szCs w:val="20"/>
                <w:color w:val="auto"/>
              </w:rPr>
            </w:pPr>
            <w:r>
              <w:rPr>
                <w:rFonts w:ascii="Arial" w:cs="Arial" w:eastAsia="Arial" w:hAnsi="Arial"/>
                <w:sz w:val="14"/>
                <w:szCs w:val="14"/>
                <w:b w:val="1"/>
                <w:bCs w:val="1"/>
                <w:color w:val="auto"/>
              </w:rPr>
              <w:t>Total fee income</w:t>
            </w:r>
          </w:p>
        </w:tc>
        <w:tc>
          <w:tcPr>
            <w:tcW w:w="2440" w:type="dxa"/>
            <w:vAlign w:val="bottom"/>
          </w:tcPr>
          <w:p>
            <w:pPr>
              <w:jc w:val="right"/>
              <w:ind w:right="212"/>
              <w:spacing w:after="0"/>
              <w:rPr>
                <w:sz w:val="20"/>
                <w:szCs w:val="20"/>
                <w:color w:val="auto"/>
              </w:rPr>
            </w:pPr>
            <w:r>
              <w:rPr>
                <w:rFonts w:ascii="Arial" w:cs="Arial" w:eastAsia="Arial" w:hAnsi="Arial"/>
                <w:sz w:val="14"/>
                <w:szCs w:val="14"/>
                <w:b w:val="1"/>
                <w:bCs w:val="1"/>
                <w:color w:val="auto"/>
              </w:rPr>
              <w:t>55,309</w:t>
            </w: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56,025</w:t>
            </w:r>
          </w:p>
        </w:tc>
        <w:tc>
          <w:tcPr>
            <w:tcW w:w="1320" w:type="dxa"/>
            <w:vAlign w:val="bottom"/>
          </w:tcPr>
          <w:p>
            <w:pPr>
              <w:jc w:val="right"/>
              <w:ind w:right="172"/>
              <w:spacing w:after="0"/>
              <w:rPr>
                <w:sz w:val="20"/>
                <w:szCs w:val="20"/>
                <w:color w:val="auto"/>
              </w:rPr>
            </w:pPr>
            <w:r>
              <w:rPr>
                <w:rFonts w:ascii="Arial" w:cs="Arial" w:eastAsia="Arial" w:hAnsi="Arial"/>
                <w:sz w:val="14"/>
                <w:szCs w:val="14"/>
                <w:b w:val="1"/>
                <w:bCs w:val="1"/>
                <w:color w:val="auto"/>
              </w:rPr>
              <w:t>48,960</w:t>
            </w: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rPr>
              <w:t>13.0%</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Though fee income dropped 1.3% QoQ, this does not reflect any downward trend, since the general trend is rather favorable for the year as reflected by the 13% fee income growth YoY. Thus, the strategy to focus on the retail segment and transactional business remains the focus. The quarterly drop can be explained as follows:</w:t>
      </w:r>
    </w:p>
    <w:p>
      <w:pPr>
        <w:spacing w:after="0" w:line="194" w:lineRule="exact"/>
        <w:rPr>
          <w:sz w:val="20"/>
          <w:szCs w:val="20"/>
          <w:color w:val="auto"/>
        </w:rPr>
      </w:pPr>
    </w:p>
    <w:p>
      <w:pPr>
        <w:ind w:left="1160" w:right="240" w:hanging="571"/>
        <w:spacing w:after="0" w:line="25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Seasonality in business / commercial activity</w:t>
      </w:r>
      <w:r>
        <w:rPr>
          <w:rFonts w:ascii="Arial" w:cs="Arial" w:eastAsia="Arial" w:hAnsi="Arial"/>
          <w:sz w:val="18"/>
          <w:szCs w:val="18"/>
          <w:color w:val="auto"/>
        </w:rPr>
        <w:t>. The last months of the year are typically of much stronger retail activity with intense use of debit</w:t>
      </w:r>
      <w:r>
        <w:rPr>
          <w:rFonts w:ascii="Arial" w:cs="Arial" w:eastAsia="Arial" w:hAnsi="Arial"/>
          <w:sz w:val="18"/>
          <w:szCs w:val="18"/>
          <w:i w:val="1"/>
          <w:iCs w:val="1"/>
          <w:color w:val="auto"/>
        </w:rPr>
        <w:t xml:space="preserve"> </w:t>
      </w:r>
      <w:r>
        <w:rPr>
          <w:rFonts w:ascii="Arial" w:cs="Arial" w:eastAsia="Arial" w:hAnsi="Arial"/>
          <w:sz w:val="18"/>
          <w:szCs w:val="18"/>
          <w:color w:val="auto"/>
        </w:rPr>
        <w:t>and credit cards due to the Holiday season, whereas the first quarter has typically the lowest results due to the short month of February, thus affecting income related to commercial activity for both comparative quarters.</w:t>
      </w:r>
    </w:p>
    <w:p>
      <w:pPr>
        <w:ind w:left="1160" w:right="40" w:hanging="571"/>
        <w:spacing w:after="0" w:line="250"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One-time income per annum</w:t>
      </w:r>
      <w:r>
        <w:rPr>
          <w:rFonts w:ascii="Arial" w:cs="Arial" w:eastAsia="Arial" w:hAnsi="Arial"/>
          <w:sz w:val="18"/>
          <w:szCs w:val="18"/>
          <w:color w:val="auto"/>
        </w:rPr>
        <w:t>. Commissions for insurance cross-selling at BCP related to personal loans and mortgages are credited to BCP once a</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last quarter, generating an unusual income also in 4Q05.</w:t>
      </w:r>
    </w:p>
    <w:p>
      <w:pPr>
        <w:ind w:left="1160" w:right="440" w:hanging="571"/>
        <w:spacing w:after="0" w:line="323"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Strategy related fee reductions</w:t>
      </w:r>
      <w:r>
        <w:rPr>
          <w:rFonts w:ascii="Arial" w:cs="Arial" w:eastAsia="Arial" w:hAnsi="Arial"/>
          <w:sz w:val="16"/>
          <w:szCs w:val="16"/>
          <w:color w:val="auto"/>
        </w:rPr>
        <w:t>. In line with BCP’s well publicized strategy, two new savings accounts were designed and introduced cutting</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and other fees drastically in order to achieve a stronger penetration in the unbanked population.</w:t>
      </w:r>
    </w:p>
    <w:p>
      <w:pPr>
        <w:spacing w:after="0" w:line="147"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In addition, fee income generated at Credibolsa through BCP’s capital markets activity, has taken a new dimension following the excellent economic activity in the Peruvian market and new investments in the last year. Thus, capital market fees grow 157.4% YoY. Nevertheless, it is also characteristic of a market with limited depth such as this one, to have certain volatility in the number and size of transactions and thus, the income these generate. For this reason a drop of</w:t>
      </w:r>
    </w:p>
    <w:p>
      <w:pPr>
        <w:spacing w:after="0" w:line="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36.3% vis-à-vis 4Q05 can be observed. It is however worth noting the size, importance and dimension of the transactions completed in this market by BCP, such as the sale of Enersur shares which generated US$ 348 thousand in fees in 4Q05, and the public tender of stock for Backus &amp; Johnston, as well as the placement of a local long term bond program for a large hydro-electric and irrigations project called Olmos which generated US$ 380 thousand in fees in 1Q06.</w:t>
      </w:r>
    </w:p>
    <w:p>
      <w:pPr>
        <w:spacing w:after="0" w:line="1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1" w:name="page12"/>
    <w:bookmarkEnd w:id="11"/>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Efficiency ratio reaches a record level of 48.53%</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080" w:type="dxa"/>
            <w:vAlign w:val="bottom"/>
          </w:tcPr>
          <w:p>
            <w:pPr>
              <w:spacing w:after="0"/>
              <w:rPr>
                <w:sz w:val="15"/>
                <w:szCs w:val="15"/>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Quarter</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60" w:type="dxa"/>
            <w:vAlign w:val="bottom"/>
            <w:tcBorders>
              <w:bottom w:val="single" w:sz="8" w:color="auto"/>
            </w:tcBorders>
            <w:gridSpan w:val="2"/>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080" w:type="dxa"/>
            <w:vAlign w:val="bottom"/>
          </w:tcPr>
          <w:p>
            <w:pPr>
              <w:jc w:val="right"/>
              <w:ind w:right="492"/>
              <w:spacing w:after="0"/>
              <w:rPr>
                <w:sz w:val="20"/>
                <w:szCs w:val="20"/>
                <w:color w:val="auto"/>
              </w:rPr>
            </w:pPr>
            <w:r>
              <w:rPr>
                <w:rFonts w:ascii="Arial" w:cs="Arial" w:eastAsia="Arial" w:hAnsi="Arial"/>
                <w:sz w:val="14"/>
                <w:szCs w:val="14"/>
                <w:b w:val="1"/>
                <w:bCs w:val="1"/>
                <w:color w:val="auto"/>
              </w:rPr>
              <w:t>1Q 2006</w:t>
            </w: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4Q 2005</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1Q 2005</w:t>
            </w:r>
          </w:p>
        </w:tc>
        <w:tc>
          <w:tcPr>
            <w:tcW w:w="1680" w:type="dxa"/>
            <w:vAlign w:val="bottom"/>
          </w:tcPr>
          <w:p>
            <w:pPr>
              <w:jc w:val="right"/>
              <w:ind w:right="472"/>
              <w:spacing w:after="0"/>
              <w:rPr>
                <w:sz w:val="20"/>
                <w:szCs w:val="20"/>
                <w:color w:val="auto"/>
              </w:rPr>
            </w:pPr>
            <w:r>
              <w:rPr>
                <w:rFonts w:ascii="Arial" w:cs="Arial" w:eastAsia="Arial" w:hAnsi="Arial"/>
                <w:sz w:val="14"/>
                <w:szCs w:val="14"/>
                <w:b w:val="1"/>
                <w:bCs w:val="1"/>
                <w:color w:val="auto"/>
              </w:rPr>
              <w:t>1Q 2006/1Q 2005</w:t>
            </w: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w w:val="89"/>
              </w:rPr>
              <w:t>1Q 2006/4Q 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2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-41,088</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-44,766</w:t>
            </w:r>
          </w:p>
        </w:tc>
        <w:tc>
          <w:tcPr>
            <w:tcW w:w="11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-38,833</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5.80%</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Administrative expenses</w:t>
            </w:r>
          </w:p>
        </w:tc>
        <w:tc>
          <w:tcPr>
            <w:tcW w:w="2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-32,631</w:t>
            </w:r>
          </w:p>
        </w:tc>
        <w:tc>
          <w:tcPr>
            <w:tcW w:w="1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-33,517</w:t>
            </w:r>
          </w:p>
        </w:tc>
        <w:tc>
          <w:tcPr>
            <w:tcW w:w="11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-31,757</w:t>
            </w:r>
          </w:p>
        </w:tc>
        <w:tc>
          <w:tcPr>
            <w:tcW w:w="20" w:type="dxa"/>
            <w:vAlign w:val="bottom"/>
          </w:tcPr>
          <w:p>
            <w:pPr>
              <w:spacing w:after="0"/>
              <w:rPr>
                <w:sz w:val="12"/>
                <w:szCs w:val="12"/>
                <w:color w:val="auto"/>
              </w:rPr>
            </w:pPr>
          </w:p>
        </w:tc>
        <w:tc>
          <w:tcPr>
            <w:tcW w:w="16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2.80%</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-9,066</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-8,367</w:t>
            </w:r>
          </w:p>
        </w:tc>
        <w:tc>
          <w:tcPr>
            <w:tcW w:w="11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-9,452</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-4.10%</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Other</w:t>
            </w:r>
          </w:p>
        </w:tc>
        <w:tc>
          <w:tcPr>
            <w:tcW w:w="2080" w:type="dxa"/>
            <w:vAlign w:val="bottom"/>
          </w:tcPr>
          <w:p>
            <w:pPr>
              <w:jc w:val="right"/>
              <w:ind w:right="212"/>
              <w:spacing w:after="0"/>
              <w:rPr>
                <w:sz w:val="20"/>
                <w:szCs w:val="20"/>
                <w:color w:val="auto"/>
              </w:rPr>
            </w:pPr>
            <w:r>
              <w:rPr>
                <w:rFonts w:ascii="Arial" w:cs="Arial" w:eastAsia="Arial" w:hAnsi="Arial"/>
                <w:sz w:val="14"/>
                <w:szCs w:val="14"/>
                <w:color w:val="auto"/>
              </w:rPr>
              <w:t>-10,353</w:t>
            </w:r>
          </w:p>
        </w:tc>
        <w:tc>
          <w:tcPr>
            <w:tcW w:w="1240" w:type="dxa"/>
            <w:vAlign w:val="bottom"/>
          </w:tcPr>
          <w:p>
            <w:pPr>
              <w:jc w:val="right"/>
              <w:ind w:right="232"/>
              <w:spacing w:after="0"/>
              <w:rPr>
                <w:sz w:val="20"/>
                <w:szCs w:val="20"/>
                <w:color w:val="auto"/>
              </w:rPr>
            </w:pPr>
            <w:r>
              <w:rPr>
                <w:rFonts w:ascii="Arial" w:cs="Arial" w:eastAsia="Arial" w:hAnsi="Arial"/>
                <w:sz w:val="14"/>
                <w:szCs w:val="14"/>
                <w:color w:val="auto"/>
              </w:rPr>
              <w:t>-1,008</w:t>
            </w:r>
          </w:p>
        </w:tc>
        <w:tc>
          <w:tcPr>
            <w:tcW w:w="1140" w:type="dxa"/>
            <w:vAlign w:val="bottom"/>
          </w:tcPr>
          <w:p>
            <w:pPr>
              <w:jc w:val="right"/>
              <w:ind w:right="132"/>
              <w:spacing w:after="0"/>
              <w:rPr>
                <w:sz w:val="20"/>
                <w:szCs w:val="20"/>
                <w:color w:val="auto"/>
              </w:rPr>
            </w:pPr>
            <w:r>
              <w:rPr>
                <w:rFonts w:ascii="Arial" w:cs="Arial" w:eastAsia="Arial" w:hAnsi="Arial"/>
                <w:sz w:val="14"/>
                <w:szCs w:val="14"/>
                <w:color w:val="auto"/>
              </w:rPr>
              <w:t>-8,789</w:t>
            </w:r>
          </w:p>
        </w:tc>
        <w:tc>
          <w:tcPr>
            <w:tcW w:w="20" w:type="dxa"/>
            <w:vAlign w:val="bottom"/>
          </w:tcPr>
          <w:p>
            <w:pPr>
              <w:spacing w:after="0"/>
              <w:rPr>
                <w:sz w:val="14"/>
                <w:szCs w:val="14"/>
                <w:color w:val="auto"/>
              </w:rPr>
            </w:pPr>
          </w:p>
        </w:tc>
        <w:tc>
          <w:tcPr>
            <w:tcW w:w="1680" w:type="dxa"/>
            <w:vAlign w:val="bottom"/>
          </w:tcPr>
          <w:p>
            <w:pPr>
              <w:jc w:val="right"/>
              <w:ind w:right="172"/>
              <w:spacing w:after="0"/>
              <w:rPr>
                <w:sz w:val="20"/>
                <w:szCs w:val="20"/>
                <w:color w:val="auto"/>
              </w:rPr>
            </w:pPr>
            <w:r>
              <w:rPr>
                <w:rFonts w:ascii="Arial" w:cs="Arial" w:eastAsia="Arial" w:hAnsi="Arial"/>
                <w:sz w:val="14"/>
                <w:szCs w:val="14"/>
                <w:color w:val="auto"/>
              </w:rPr>
              <w:t>17.80%</w:t>
            </w:r>
          </w:p>
        </w:tc>
        <w:tc>
          <w:tcPr>
            <w:tcW w:w="1360" w:type="dxa"/>
            <w:vAlign w:val="bottom"/>
          </w:tcPr>
          <w:p>
            <w:pPr>
              <w:jc w:val="right"/>
              <w:spacing w:after="0"/>
              <w:rPr>
                <w:sz w:val="20"/>
                <w:szCs w:val="20"/>
                <w:color w:val="auto"/>
              </w:rPr>
            </w:pPr>
            <w:r>
              <w:rPr>
                <w:rFonts w:ascii="Arial" w:cs="Arial" w:eastAsia="Arial" w:hAnsi="Arial"/>
                <w:sz w:val="14"/>
                <w:szCs w:val="14"/>
                <w:color w:val="auto"/>
              </w:rPr>
              <w:t>927.10%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2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-93,138</w:t>
            </w:r>
          </w:p>
        </w:tc>
        <w:tc>
          <w:tcPr>
            <w:tcW w:w="1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-87,658</w:t>
            </w:r>
          </w:p>
        </w:tc>
        <w:tc>
          <w:tcPr>
            <w:tcW w:w="11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-88,831</w:t>
            </w:r>
          </w:p>
        </w:tc>
        <w:tc>
          <w:tcPr>
            <w:tcW w:w="2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4.80%</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760" w:type="dxa"/>
            <w:vAlign w:val="bottom"/>
            <w:gridSpan w:val="2"/>
          </w:tcPr>
          <w:p>
            <w:pPr>
              <w:spacing w:after="0"/>
              <w:rPr>
                <w:sz w:val="9"/>
                <w:szCs w:val="9"/>
                <w:color w:val="auto"/>
              </w:rPr>
            </w:pPr>
          </w:p>
        </w:tc>
        <w:tc>
          <w:tcPr>
            <w:tcW w:w="20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40" w:type="dxa"/>
            <w:vAlign w:val="bottom"/>
            <w:tcBorders>
              <w:top w:val="single" w:sz="8" w:color="auto"/>
            </w:tcBorders>
          </w:tcPr>
          <w:p>
            <w:pPr>
              <w:spacing w:after="0"/>
              <w:rPr>
                <w:sz w:val="8"/>
                <w:szCs w:val="8"/>
                <w:color w:val="auto"/>
              </w:rPr>
            </w:pPr>
          </w:p>
        </w:tc>
        <w:tc>
          <w:tcPr>
            <w:tcW w:w="20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20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48.53%</w:t>
            </w:r>
          </w:p>
        </w:tc>
        <w:tc>
          <w:tcPr>
            <w:tcW w:w="12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51.74%</w:t>
            </w:r>
          </w:p>
        </w:tc>
        <w:tc>
          <w:tcPr>
            <w:tcW w:w="11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54.73%</w:t>
            </w:r>
          </w:p>
        </w:tc>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good results obtained by the cost control program in place since last year allowed us to grow with limited expansion of our costs. Thus, both personnel and administrative costs have been kept low and even reduced QoQ, led to a significant improvement of our efficiency ratio, which drops to 48.53% for 1Q06 compared to ratios well above 50% in the past.</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expenses, which include provisions related to the senior management incentive program linked to Credicorp’s stock performance, provisions for re-possessed assets, sale of fixed and re-possessed assets, and other eventualities, jumped 927% compared to the 4Q05. This is basically a reflection of the reversal and subsequent new creation of a provision related to such incentive programs as the Credicorp stock fell to US$ 22.79 at the end of 2005 and recovered to US$ 29.22 at the close of 1Q06.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Shareholders’ equity</w:t>
            </w:r>
          </w:p>
        </w:tc>
        <w:tc>
          <w:tcPr>
            <w:tcW w:w="2280" w:type="dxa"/>
            <w:vAlign w:val="bottom"/>
          </w:tcPr>
          <w:p>
            <w:pPr>
              <w:spacing w:after="0"/>
              <w:rPr>
                <w:sz w:val="15"/>
                <w:szCs w:val="15"/>
                <w:color w:val="auto"/>
              </w:rPr>
            </w:pPr>
          </w:p>
        </w:tc>
        <w:tc>
          <w:tcPr>
            <w:tcW w:w="1240" w:type="dxa"/>
            <w:vAlign w:val="bottom"/>
          </w:tcPr>
          <w:p>
            <w:pPr>
              <w:jc w:val="center"/>
              <w:ind w:right="332"/>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80" w:type="dxa"/>
            <w:vAlign w:val="bottom"/>
          </w:tcPr>
          <w:p>
            <w:pPr>
              <w:jc w:val="right"/>
              <w:ind w:right="532"/>
              <w:spacing w:after="0"/>
              <w:rPr>
                <w:sz w:val="20"/>
                <w:szCs w:val="20"/>
                <w:color w:val="auto"/>
              </w:rPr>
            </w:pPr>
            <w:r>
              <w:rPr>
                <w:rFonts w:ascii="Arial" w:cs="Arial" w:eastAsia="Arial" w:hAnsi="Arial"/>
                <w:sz w:val="14"/>
                <w:szCs w:val="14"/>
                <w:b w:val="1"/>
                <w:bCs w:val="1"/>
                <w:color w:val="auto"/>
              </w:rPr>
              <w:t>31-Mar</w:t>
            </w:r>
          </w:p>
        </w:tc>
        <w:tc>
          <w:tcPr>
            <w:tcW w:w="1240" w:type="dxa"/>
            <w:vAlign w:val="bottom"/>
          </w:tcPr>
          <w:p>
            <w:pPr>
              <w:jc w:val="center"/>
              <w:ind w:right="332"/>
              <w:spacing w:after="0"/>
              <w:rPr>
                <w:sz w:val="20"/>
                <w:szCs w:val="20"/>
                <w:color w:val="auto"/>
              </w:rPr>
            </w:pPr>
            <w:r>
              <w:rPr>
                <w:rFonts w:ascii="Arial" w:cs="Arial" w:eastAsia="Arial" w:hAnsi="Arial"/>
                <w:sz w:val="14"/>
                <w:szCs w:val="14"/>
                <w:b w:val="1"/>
                <w:bCs w:val="1"/>
                <w:color w:val="auto"/>
                <w:w w:val="87"/>
              </w:rPr>
              <w:t>31-Dec</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31-Mar</w:t>
            </w: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2005</w:t>
            </w: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1320" w:type="dxa"/>
            <w:vAlign w:val="bottom"/>
          </w:tcPr>
          <w:p>
            <w:pPr>
              <w:jc w:val="right"/>
              <w:ind w:right="292"/>
              <w:spacing w:after="0"/>
              <w:rPr>
                <w:sz w:val="20"/>
                <w:szCs w:val="20"/>
                <w:color w:val="auto"/>
              </w:rPr>
            </w:pPr>
            <w:r>
              <w:rPr>
                <w:rFonts w:ascii="Arial" w:cs="Arial" w:eastAsia="Arial" w:hAnsi="Arial"/>
                <w:sz w:val="14"/>
                <w:szCs w:val="14"/>
                <w:b w:val="1"/>
                <w:bCs w:val="1"/>
                <w:color w:val="auto"/>
              </w:rPr>
              <w:t>Mar.06/Mar.05</w:t>
            </w: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Mar.06/Dec.05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stock</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364,706</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364,706</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364,706</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Reserves</w:t>
            </w:r>
          </w:p>
        </w:tc>
        <w:tc>
          <w:tcPr>
            <w:tcW w:w="2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242,889</w:t>
            </w:r>
          </w:p>
        </w:tc>
        <w:tc>
          <w:tcPr>
            <w:tcW w:w="12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210,928</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210,928</w:t>
            </w:r>
          </w:p>
        </w:tc>
        <w:tc>
          <w:tcPr>
            <w:tcW w:w="40" w:type="dxa"/>
            <w:vAlign w:val="bottom"/>
          </w:tcPr>
          <w:p>
            <w:pPr>
              <w:spacing w:after="0"/>
              <w:rPr>
                <w:sz w:val="12"/>
                <w:szCs w:val="12"/>
                <w:color w:val="auto"/>
              </w:rPr>
            </w:pP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15.2%</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Gains and Losses</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41,144</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37,204</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29,751</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38.3%</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2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56,334</w:t>
            </w:r>
          </w:p>
        </w:tc>
        <w:tc>
          <w:tcPr>
            <w:tcW w:w="12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80,424</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80,423</w:t>
            </w:r>
          </w:p>
        </w:tc>
        <w:tc>
          <w:tcPr>
            <w:tcW w:w="40" w:type="dxa"/>
            <w:vAlign w:val="bottom"/>
          </w:tcPr>
          <w:p>
            <w:pPr>
              <w:spacing w:after="0"/>
              <w:rPr>
                <w:sz w:val="12"/>
                <w:szCs w:val="12"/>
                <w:color w:val="auto"/>
              </w:rPr>
            </w:pPr>
          </w:p>
        </w:tc>
        <w:tc>
          <w:tcPr>
            <w:tcW w:w="1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-30.0%</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for the year</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59,880</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184,156</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45,397</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31.9%</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shareholders’ equity</w:t>
            </w:r>
          </w:p>
        </w:tc>
        <w:tc>
          <w:tcPr>
            <w:tcW w:w="2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764,954</w:t>
            </w:r>
          </w:p>
        </w:tc>
        <w:tc>
          <w:tcPr>
            <w:tcW w:w="12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877,418</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731,206</w:t>
            </w: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4.6%</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100" w:type="dxa"/>
            <w:vAlign w:val="bottom"/>
            <w:gridSpan w:val="2"/>
          </w:tcPr>
          <w:p>
            <w:pPr>
              <w:spacing w:after="0"/>
              <w:rPr>
                <w:sz w:val="9"/>
                <w:szCs w:val="9"/>
                <w:color w:val="auto"/>
              </w:rPr>
            </w:pPr>
          </w:p>
        </w:tc>
        <w:tc>
          <w:tcPr>
            <w:tcW w:w="2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 (ROAE)</w:t>
            </w:r>
          </w:p>
        </w:tc>
        <w:tc>
          <w:tcPr>
            <w:tcW w:w="22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29.17%</w:t>
            </w:r>
          </w:p>
        </w:tc>
        <w:tc>
          <w:tcPr>
            <w:tcW w:w="12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22.26%</w:t>
            </w:r>
          </w:p>
        </w:tc>
        <w:tc>
          <w:tcPr>
            <w:tcW w:w="11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25.14</w:t>
            </w: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BCP’s shareholders’ equity reached US$765 million as of March 2006. Despite this increase in shareholders’ equity, ROAE improved substantially for 1Q06 following the excellent net earnings reported reaching 29.17% compared to 22.26% for 4Q05 and 25.14% in 1Q05.</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ratio of regulatory capital to risk weighted assets for BCP consolidated as of March 31, 2006 reached 13.9%, with a Tier I ratio of 12.2%. Regulatory capital includes a reduced US$29 million subordinated debt.</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It is noticeable that capital adequacy ratios at BCP, denotes capital in excess of minimum requirements by Basel I and Peruvian authority regulations. Local regulations establish a minimum of 9.1% capital, while Basel I suggests a minimum of 8%.</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Capital Adequacy</w:t>
            </w:r>
          </w:p>
        </w:tc>
        <w:tc>
          <w:tcPr>
            <w:tcW w:w="2620" w:type="dxa"/>
            <w:vAlign w:val="bottom"/>
          </w:tcPr>
          <w:p>
            <w:pPr>
              <w:spacing w:after="0"/>
              <w:rPr>
                <w:sz w:val="15"/>
                <w:szCs w:val="15"/>
                <w:color w:val="auto"/>
              </w:rPr>
            </w:pPr>
          </w:p>
        </w:tc>
        <w:tc>
          <w:tcPr>
            <w:tcW w:w="1320" w:type="dxa"/>
            <w:vAlign w:val="bottom"/>
          </w:tcPr>
          <w:p>
            <w:pPr>
              <w:jc w:val="center"/>
              <w:ind w:right="252"/>
              <w:spacing w:after="0"/>
              <w:rPr>
                <w:sz w:val="20"/>
                <w:szCs w:val="20"/>
                <w:color w:val="auto"/>
              </w:rPr>
            </w:pPr>
            <w:r>
              <w:rPr>
                <w:rFonts w:ascii="Arial" w:cs="Arial" w:eastAsia="Arial" w:hAnsi="Arial"/>
                <w:sz w:val="14"/>
                <w:szCs w:val="14"/>
                <w:b w:val="1"/>
                <w:bCs w:val="1"/>
                <w:color w:val="auto"/>
                <w:w w:val="87"/>
              </w:rPr>
              <w:t>Quarter ended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2"/>
          </w:tcPr>
          <w:p>
            <w:pPr>
              <w:jc w:val="right"/>
              <w:ind w:right="912"/>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20" w:type="dxa"/>
            <w:vAlign w:val="bottom"/>
          </w:tcPr>
          <w:p>
            <w:pPr>
              <w:jc w:val="right"/>
              <w:ind w:right="432"/>
              <w:spacing w:after="0"/>
              <w:rPr>
                <w:sz w:val="20"/>
                <w:szCs w:val="20"/>
                <w:color w:val="auto"/>
              </w:rPr>
            </w:pPr>
            <w:r>
              <w:rPr>
                <w:rFonts w:ascii="Arial" w:cs="Arial" w:eastAsia="Arial" w:hAnsi="Arial"/>
                <w:sz w:val="14"/>
                <w:szCs w:val="14"/>
                <w:b w:val="1"/>
                <w:bCs w:val="1"/>
                <w:color w:val="auto"/>
              </w:rPr>
              <w:t>31-Mar</w:t>
            </w:r>
          </w:p>
        </w:tc>
        <w:tc>
          <w:tcPr>
            <w:tcW w:w="1320" w:type="dxa"/>
            <w:vAlign w:val="bottom"/>
          </w:tcPr>
          <w:p>
            <w:pPr>
              <w:jc w:val="center"/>
              <w:ind w:right="272"/>
              <w:spacing w:after="0"/>
              <w:rPr>
                <w:sz w:val="20"/>
                <w:szCs w:val="20"/>
                <w:color w:val="auto"/>
              </w:rPr>
            </w:pPr>
            <w:r>
              <w:rPr>
                <w:rFonts w:ascii="Arial" w:cs="Arial" w:eastAsia="Arial" w:hAnsi="Arial"/>
                <w:sz w:val="14"/>
                <w:szCs w:val="14"/>
                <w:b w:val="1"/>
                <w:bCs w:val="1"/>
                <w:color w:val="auto"/>
                <w:w w:val="84"/>
              </w:rPr>
              <w:t>31-Dec.</w:t>
            </w:r>
          </w:p>
        </w:tc>
        <w:tc>
          <w:tcPr>
            <w:tcW w:w="1140" w:type="dxa"/>
            <w:vAlign w:val="bottom"/>
            <w:gridSpan w:val="3"/>
          </w:tcPr>
          <w:p>
            <w:pPr>
              <w:ind w:left="180"/>
              <w:spacing w:after="0"/>
              <w:rPr>
                <w:sz w:val="20"/>
                <w:szCs w:val="20"/>
                <w:color w:val="auto"/>
              </w:rPr>
            </w:pPr>
            <w:r>
              <w:rPr>
                <w:rFonts w:ascii="Arial" w:cs="Arial" w:eastAsia="Arial" w:hAnsi="Arial"/>
                <w:sz w:val="14"/>
                <w:szCs w:val="14"/>
                <w:b w:val="1"/>
                <w:bCs w:val="1"/>
                <w:color w:val="auto"/>
              </w:rPr>
              <w:t>31-Mar</w:t>
            </w: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US$ (000)</w:t>
            </w:r>
          </w:p>
        </w:tc>
        <w:tc>
          <w:tcPr>
            <w:tcW w:w="2620" w:type="dxa"/>
            <w:vAlign w:val="bottom"/>
          </w:tcPr>
          <w:p>
            <w:pPr>
              <w:jc w:val="right"/>
              <w:ind w:right="512"/>
              <w:spacing w:after="0"/>
              <w:rPr>
                <w:sz w:val="20"/>
                <w:szCs w:val="20"/>
                <w:color w:val="auto"/>
              </w:rPr>
            </w:pPr>
            <w:r>
              <w:rPr>
                <w:rFonts w:ascii="Arial" w:cs="Arial" w:eastAsia="Arial" w:hAnsi="Arial"/>
                <w:sz w:val="14"/>
                <w:szCs w:val="14"/>
                <w:b w:val="1"/>
                <w:bCs w:val="1"/>
                <w:color w:val="auto"/>
              </w:rPr>
              <w:t>2006</w:t>
            </w:r>
          </w:p>
        </w:tc>
        <w:tc>
          <w:tcPr>
            <w:tcW w:w="1320" w:type="dxa"/>
            <w:vAlign w:val="bottom"/>
          </w:tcPr>
          <w:p>
            <w:pPr>
              <w:jc w:val="center"/>
              <w:ind w:right="272"/>
              <w:spacing w:after="0"/>
              <w:rPr>
                <w:sz w:val="20"/>
                <w:szCs w:val="20"/>
                <w:color w:val="auto"/>
              </w:rPr>
            </w:pPr>
            <w:r>
              <w:rPr>
                <w:rFonts w:ascii="Arial" w:cs="Arial" w:eastAsia="Arial" w:hAnsi="Arial"/>
                <w:sz w:val="14"/>
                <w:szCs w:val="14"/>
                <w:b w:val="1"/>
                <w:bCs w:val="1"/>
                <w:color w:val="auto"/>
                <w:w w:val="83"/>
              </w:rPr>
              <w:t>2005</w:t>
            </w: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jc w:val="right"/>
              <w:ind w:right="212"/>
              <w:spacing w:after="0"/>
              <w:rPr>
                <w:sz w:val="20"/>
                <w:szCs w:val="20"/>
                <w:color w:val="auto"/>
              </w:rPr>
            </w:pPr>
            <w:r>
              <w:rPr>
                <w:rFonts w:ascii="Arial" w:cs="Arial" w:eastAsia="Arial" w:hAnsi="Arial"/>
                <w:sz w:val="14"/>
                <w:szCs w:val="14"/>
                <w:b w:val="1"/>
                <w:bCs w:val="1"/>
                <w:color w:val="auto"/>
                <w:w w:val="93"/>
              </w:rPr>
              <w:t>Mar.06 /Mar.05</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Mar.06 / Dec.05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Tier I</w:t>
            </w:r>
          </w:p>
        </w:tc>
        <w:tc>
          <w:tcPr>
            <w:tcW w:w="2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658,870</w:t>
            </w:r>
          </w:p>
        </w:tc>
        <w:tc>
          <w:tcPr>
            <w:tcW w:w="13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650,998</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650,998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line="149" w:lineRule="exact"/>
              <w:rPr>
                <w:sz w:val="20"/>
                <w:szCs w:val="20"/>
                <w:color w:val="auto"/>
              </w:rPr>
            </w:pPr>
            <w:r>
              <w:rPr>
                <w:rFonts w:ascii="Arial" w:cs="Arial" w:eastAsia="Arial" w:hAnsi="Arial"/>
                <w:sz w:val="14"/>
                <w:szCs w:val="14"/>
                <w:color w:val="auto"/>
              </w:rPr>
              <w:t>Tier II</w:t>
            </w:r>
          </w:p>
        </w:tc>
        <w:tc>
          <w:tcPr>
            <w:tcW w:w="26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119,244</w:t>
            </w:r>
          </w:p>
        </w:tc>
        <w:tc>
          <w:tcPr>
            <w:tcW w:w="13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116,237</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116,229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Deductions</w:t>
            </w:r>
          </w:p>
        </w:tc>
        <w:tc>
          <w:tcPr>
            <w:tcW w:w="26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(27,703)</w:t>
            </w:r>
          </w:p>
        </w:tc>
        <w:tc>
          <w:tcPr>
            <w:tcW w:w="13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(31,857)</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(11,043)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150.9%</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capital</w:t>
            </w:r>
          </w:p>
        </w:tc>
        <w:tc>
          <w:tcPr>
            <w:tcW w:w="2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750,411</w:t>
            </w:r>
          </w:p>
        </w:tc>
        <w:tc>
          <w:tcPr>
            <w:tcW w:w="13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735,378</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756,184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weighted assets</w:t>
            </w:r>
          </w:p>
        </w:tc>
        <w:tc>
          <w:tcPr>
            <w:tcW w:w="2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5,386,798</w:t>
            </w:r>
          </w:p>
        </w:tc>
        <w:tc>
          <w:tcPr>
            <w:tcW w:w="13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5,238,719</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4,858,458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10.9%</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Borders>
              <w:top w:val="single" w:sz="8" w:color="auto"/>
            </w:tcBorders>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Tier I</w:t>
            </w:r>
          </w:p>
        </w:tc>
        <w:tc>
          <w:tcPr>
            <w:tcW w:w="2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12.2%</w:t>
            </w:r>
          </w:p>
        </w:tc>
        <w:tc>
          <w:tcPr>
            <w:tcW w:w="13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12.4%</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13.4%</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0" w:type="dxa"/>
            <w:vAlign w:val="bottom"/>
            <w:gridSpan w:val="2"/>
          </w:tcPr>
          <w:p>
            <w:pPr>
              <w:spacing w:after="0"/>
              <w:rPr>
                <w:sz w:val="9"/>
                <w:szCs w:val="9"/>
                <w:color w:val="auto"/>
              </w:rPr>
            </w:pPr>
          </w:p>
        </w:tc>
        <w:tc>
          <w:tcPr>
            <w:tcW w:w="26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Borders>
              <w:top w:val="single" w:sz="8" w:color="auto"/>
            </w:tcBorders>
          </w:tcPr>
          <w:p>
            <w:pPr>
              <w:spacing w:after="0"/>
              <w:rPr>
                <w:sz w:val="8"/>
                <w:szCs w:val="8"/>
                <w:color w:val="auto"/>
              </w:rPr>
            </w:pPr>
          </w:p>
        </w:tc>
        <w:tc>
          <w:tcPr>
            <w:tcW w:w="262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BIS ratio</w:t>
            </w:r>
          </w:p>
        </w:tc>
        <w:tc>
          <w:tcPr>
            <w:tcW w:w="2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13.9%</w:t>
            </w:r>
          </w:p>
        </w:tc>
        <w:tc>
          <w:tcPr>
            <w:tcW w:w="13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14.0%</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15.6%</w:t>
            </w: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0" w:right="239" w:bottom="693" w:gutter="0" w:footer="0" w:header="0"/>
        </w:sectPr>
      </w:pPr>
    </w:p>
    <w:p>
      <w:pPr>
        <w:spacing w:after="0" w:line="116" w:lineRule="exact"/>
        <w:rPr>
          <w:sz w:val="20"/>
          <w:szCs w:val="20"/>
          <w:color w:val="auto"/>
        </w:rPr>
      </w:pPr>
    </w:p>
    <w:p>
      <w:pPr>
        <w:ind w:left="112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693" w:gutter="0" w:footer="0" w:header="0"/>
          <w:type w:val="continuous"/>
        </w:sectPr>
      </w:pPr>
    </w:p>
    <w:bookmarkStart w:id="12" w:name="page13"/>
    <w:bookmarkEnd w:id="1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Bank deposits remained flat in 1Q06, reaching US$ 2,831 million by the end of the quarter, a volume similar to the closing volume of US$ 2,887 million for 4Q05, though some growth was achieved vis-à-vis the US$ 2,576 million deposit volume for 1Q05.</w:t>
      </w:r>
    </w:p>
    <w:p>
      <w:pPr>
        <w:spacing w:after="0" w:line="18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Loan volume in the banking system declined slightly during 1Q06 to US$2,571 million, from US$2,590 million reached in December 2005. Furthermore, some loan portfolio deterioration can be observed for the system with the past due loan ratio at 12.2% in March 2006, 90 basis points greater than the level reached as of December 2005 and the coverage of past-due loans with provisions was 76.9%, a drop from the 81.1% of the previous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III.2 Political Situation and Credit Risk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political line adopted by the government of President Evo Morales has generated some slow down in business activity, with a consequent negative effect on the credit standing of the business community and thus the loan quality of the financial system, as reflected in the loan quality ratios mentioned before. Furthermore, the measures adopted by the government of Bolivia, regarding the nationalization of hydrocarbons, represent increased risks for all related activities. BCB has identified its exposure to this sector, which as of May 2nd 2006, was close to US$ 13.5 million loans to entities directly and indirectly related. Of these, US$ 7.8 million represent loans to companies directly involved in the HC activity, and create concerns as to the uncertainty towards their future business developments rather than an imminent loan recovery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Below, we detail the composition of the total credit exposure:</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Total Risk Composition</w:t>
            </w:r>
          </w:p>
        </w:tc>
        <w:tc>
          <w:tcPr>
            <w:tcW w:w="2940" w:type="dxa"/>
            <w:vAlign w:val="bottom"/>
          </w:tcPr>
          <w:p>
            <w:pPr>
              <w:jc w:val="right"/>
              <w:ind w:right="112"/>
              <w:spacing w:after="0"/>
              <w:rPr>
                <w:sz w:val="20"/>
                <w:szCs w:val="20"/>
                <w:color w:val="auto"/>
              </w:rPr>
            </w:pPr>
            <w:r>
              <w:rPr>
                <w:rFonts w:ascii="Arial" w:cs="Arial" w:eastAsia="Arial" w:hAnsi="Arial"/>
                <w:sz w:val="14"/>
                <w:szCs w:val="14"/>
                <w:b w:val="1"/>
                <w:bCs w:val="1"/>
                <w:color w:val="auto"/>
              </w:rPr>
              <w:t>US$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 term</w:t>
            </w:r>
          </w:p>
        </w:tc>
        <w:tc>
          <w:tcPr>
            <w:tcW w:w="2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5,472.20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Short term</w:t>
            </w:r>
          </w:p>
        </w:tc>
        <w:tc>
          <w:tcPr>
            <w:tcW w:w="2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1,535.40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Contingencies</w:t>
            </w:r>
          </w:p>
        </w:tc>
        <w:tc>
          <w:tcPr>
            <w:tcW w:w="2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3,861.60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Bonds</w:t>
            </w:r>
          </w:p>
        </w:tc>
        <w:tc>
          <w:tcPr>
            <w:tcW w:w="2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US$ millon</w:t>
            </w:r>
          </w:p>
        </w:tc>
        <w:tc>
          <w:tcPr>
            <w:tcW w:w="2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13,469.20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Hydrocarbons sector risk/Total loans</w:t>
            </w:r>
          </w:p>
        </w:tc>
        <w:tc>
          <w:tcPr>
            <w:tcW w:w="2940" w:type="dxa"/>
            <w:vAlign w:val="bottom"/>
          </w:tcPr>
          <w:p>
            <w:pPr>
              <w:jc w:val="right"/>
              <w:spacing w:after="0"/>
              <w:rPr>
                <w:sz w:val="20"/>
                <w:szCs w:val="20"/>
                <w:color w:val="auto"/>
              </w:rPr>
            </w:pPr>
            <w:r>
              <w:rPr>
                <w:rFonts w:ascii="Arial" w:cs="Arial" w:eastAsia="Arial" w:hAnsi="Arial"/>
                <w:sz w:val="14"/>
                <w:szCs w:val="14"/>
                <w:color w:val="auto"/>
              </w:rPr>
              <w:t>3.16%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III.3 Net Income</w:t>
      </w:r>
    </w:p>
    <w:p>
      <w:pPr>
        <w:spacing w:after="0" w:line="22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Net income of BCB reached US$ 3.1 million, 22.6% lower than the net income of US$ 3.8 million registered in 4Q05, but 246.9% higher than 1Q05 net income (US$ 881 thousand). This way, BCB has grown the last three quarters and reached the expectation for recovery. BCB has accomplished more than triple the net income obtained in the first months of 2005, maintaining better loan quality levels than the Bolivian banking system.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IV.4 Assets and Liabilities</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Total loans as of March 31, 2006, were US$ 349.3 million, 0.8% more than the US$ 346.6 million balance as of December 2005 and 9.4% higher than the US$ 319.3 million balance for 1Q05. This reflects annual loan growth of 9.4%, in spite of the political uncertainty in Bolivia in the past year.</w:t>
      </w:r>
    </w:p>
    <w:p>
      <w:pPr>
        <w:spacing w:after="0" w:line="13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While there was a deterioration of loan quality for the system, this improved for BCB, with past due loans reaching US$ 19.5 million, or 5.6% of total loans. This represents an improvement from the 5.8% ratio obtained in 4Q05 (US$ 20.1 million due) and an even more significant improvement compared to the 10.4% past due ratio as of 1Q05 (US$ 33.3 million due portfolio). The coverage ratio (coverage of past due loans with loan loss provisions) was of 133%, improving compared to 129.9% of December and 102.1% as of March 2005. Both ratios show loan quality levels significantly better than the system.</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next chart presents some figures and indicators of BCB:</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2420" w:type="dxa"/>
            <w:vAlign w:val="bottom"/>
          </w:tcPr>
          <w:p>
            <w:pPr>
              <w:spacing w:after="0"/>
              <w:rPr>
                <w:sz w:val="15"/>
                <w:szCs w:val="15"/>
                <w:color w:val="auto"/>
              </w:rPr>
            </w:pPr>
          </w:p>
        </w:tc>
        <w:tc>
          <w:tcPr>
            <w:tcW w:w="12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60" w:type="dxa"/>
            <w:vAlign w:val="bottom"/>
            <w:tcBorders>
              <w:bottom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420" w:type="dxa"/>
            <w:vAlign w:val="bottom"/>
          </w:tcPr>
          <w:p>
            <w:pPr>
              <w:jc w:val="right"/>
              <w:ind w:right="592"/>
              <w:spacing w:after="0"/>
              <w:rPr>
                <w:sz w:val="20"/>
                <w:szCs w:val="20"/>
                <w:color w:val="auto"/>
              </w:rPr>
            </w:pPr>
            <w:r>
              <w:rPr>
                <w:rFonts w:ascii="Arial" w:cs="Arial" w:eastAsia="Arial" w:hAnsi="Arial"/>
                <w:sz w:val="14"/>
                <w:szCs w:val="14"/>
                <w:b w:val="1"/>
                <w:bCs w:val="1"/>
                <w:color w:val="auto"/>
              </w:rPr>
              <w:t>1Q06</w:t>
            </w: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4Q05</w:t>
            </w: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1Q05</w:t>
            </w:r>
          </w:p>
        </w:tc>
        <w:tc>
          <w:tcPr>
            <w:tcW w:w="142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1Q06/1Q05</w:t>
            </w: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w w:val="88"/>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349.3</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346.6</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319.3</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9.4%</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Past due loans</w:t>
            </w:r>
          </w:p>
        </w:tc>
        <w:tc>
          <w:tcPr>
            <w:tcW w:w="2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19.5</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20.1</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33.3</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-41.5%</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 loss reserves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25.9</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26.1</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-23.8%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2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520.6</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570.7</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451.7</w:t>
            </w:r>
          </w:p>
        </w:tc>
        <w:tc>
          <w:tcPr>
            <w:tcW w:w="14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15.3%</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405.1</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430.9</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338.4</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Shareholders net equity</w:t>
            </w:r>
          </w:p>
        </w:tc>
        <w:tc>
          <w:tcPr>
            <w:tcW w:w="2420" w:type="dxa"/>
            <w:vAlign w:val="bottom"/>
          </w:tcPr>
          <w:p>
            <w:pPr>
              <w:jc w:val="right"/>
              <w:ind w:right="232"/>
              <w:spacing w:after="0"/>
              <w:rPr>
                <w:sz w:val="20"/>
                <w:szCs w:val="20"/>
                <w:color w:val="auto"/>
              </w:rPr>
            </w:pPr>
            <w:r>
              <w:rPr>
                <w:rFonts w:ascii="Arial" w:cs="Arial" w:eastAsia="Arial" w:hAnsi="Arial"/>
                <w:sz w:val="14"/>
                <w:szCs w:val="14"/>
                <w:color w:val="auto"/>
              </w:rPr>
              <w:t>59.5</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65.7</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60.7</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-1.9%</w:t>
            </w:r>
          </w:p>
        </w:tc>
        <w:tc>
          <w:tcPr>
            <w:tcW w:w="100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3.8</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0.9</w:t>
            </w:r>
          </w:p>
        </w:tc>
        <w:tc>
          <w:tcPr>
            <w:tcW w:w="14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246.9%</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060" w:type="dxa"/>
            <w:vAlign w:val="bottom"/>
            <w:gridSpan w:val="2"/>
          </w:tcPr>
          <w:p>
            <w:pPr>
              <w:spacing w:after="0"/>
              <w:rPr>
                <w:sz w:val="9"/>
                <w:szCs w:val="9"/>
                <w:color w:val="auto"/>
              </w:rPr>
            </w:pPr>
          </w:p>
        </w:tc>
        <w:tc>
          <w:tcPr>
            <w:tcW w:w="24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Borders>
              <w:top w:val="single" w:sz="8" w:color="auto"/>
            </w:tcBorders>
          </w:tcPr>
          <w:p>
            <w:pPr>
              <w:spacing w:after="0"/>
              <w:rPr>
                <w:sz w:val="8"/>
                <w:szCs w:val="8"/>
                <w:color w:val="auto"/>
              </w:rPr>
            </w:pPr>
          </w:p>
        </w:tc>
        <w:tc>
          <w:tcPr>
            <w:tcW w:w="24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PDL/Total loans</w:t>
            </w:r>
          </w:p>
        </w:tc>
        <w:tc>
          <w:tcPr>
            <w:tcW w:w="24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5.6%</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5.8%</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10.4%</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Coverage ratio of PDLs</w:t>
            </w:r>
          </w:p>
        </w:tc>
        <w:tc>
          <w:tcPr>
            <w:tcW w:w="24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133.0%</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129.9%</w:t>
            </w:r>
          </w:p>
        </w:tc>
        <w:tc>
          <w:tcPr>
            <w:tcW w:w="11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102.1%</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24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16.7%</w:t>
            </w:r>
          </w:p>
        </w:tc>
        <w:tc>
          <w:tcPr>
            <w:tcW w:w="11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24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w:t>
            </w:r>
          </w:p>
        </w:tc>
        <w:tc>
          <w:tcPr>
            <w:tcW w:w="11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24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134</w:t>
            </w:r>
          </w:p>
        </w:tc>
        <w:tc>
          <w:tcPr>
            <w:tcW w:w="128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124</w:t>
            </w:r>
          </w:p>
        </w:tc>
        <w:tc>
          <w:tcPr>
            <w:tcW w:w="11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83</w:t>
            </w: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4"/>
                <w:szCs w:val="14"/>
                <w:color w:val="auto"/>
              </w:rPr>
              <w:t>Employees</w:t>
            </w:r>
          </w:p>
        </w:tc>
        <w:tc>
          <w:tcPr>
            <w:tcW w:w="2420" w:type="dxa"/>
            <w:vAlign w:val="bottom"/>
          </w:tcPr>
          <w:p>
            <w:pPr>
              <w:jc w:val="right"/>
              <w:ind w:right="232"/>
              <w:spacing w:after="0"/>
              <w:rPr>
                <w:sz w:val="20"/>
                <w:szCs w:val="20"/>
                <w:color w:val="auto"/>
              </w:rPr>
            </w:pPr>
            <w:r>
              <w:rPr>
                <w:rFonts w:ascii="Arial" w:cs="Arial" w:eastAsia="Arial" w:hAnsi="Arial"/>
                <w:sz w:val="14"/>
                <w:szCs w:val="14"/>
                <w:color w:val="auto"/>
              </w:rPr>
              <w:t>952</w:t>
            </w:r>
          </w:p>
        </w:tc>
        <w:tc>
          <w:tcPr>
            <w:tcW w:w="1280" w:type="dxa"/>
            <w:vAlign w:val="bottom"/>
          </w:tcPr>
          <w:p>
            <w:pPr>
              <w:jc w:val="right"/>
              <w:ind w:right="272"/>
              <w:spacing w:after="0"/>
              <w:rPr>
                <w:sz w:val="20"/>
                <w:szCs w:val="20"/>
                <w:color w:val="auto"/>
              </w:rPr>
            </w:pPr>
            <w:r>
              <w:rPr>
                <w:rFonts w:ascii="Arial" w:cs="Arial" w:eastAsia="Arial" w:hAnsi="Arial"/>
                <w:sz w:val="14"/>
                <w:szCs w:val="14"/>
                <w:color w:val="auto"/>
              </w:rPr>
              <w:t>916</w:t>
            </w:r>
          </w:p>
        </w:tc>
        <w:tc>
          <w:tcPr>
            <w:tcW w:w="1100" w:type="dxa"/>
            <w:vAlign w:val="bottom"/>
          </w:tcPr>
          <w:p>
            <w:pPr>
              <w:jc w:val="right"/>
              <w:ind w:right="152"/>
              <w:spacing w:after="0"/>
              <w:rPr>
                <w:sz w:val="20"/>
                <w:szCs w:val="20"/>
                <w:color w:val="auto"/>
              </w:rPr>
            </w:pPr>
            <w:r>
              <w:rPr>
                <w:rFonts w:ascii="Arial" w:cs="Arial" w:eastAsia="Arial" w:hAnsi="Arial"/>
                <w:sz w:val="14"/>
                <w:szCs w:val="14"/>
                <w:color w:val="auto"/>
              </w:rPr>
              <w:t>873</w:t>
            </w:r>
          </w:p>
        </w:tc>
        <w:tc>
          <w:tcPr>
            <w:tcW w:w="1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Atlantic Security Holding Corporation</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income for Atlantic Security Holding Corporation (ASHC) of US$ 21.0 million reflects growth of 39% YoY. However, it is probably more accurate to compare net income excluding income from dividends received for its Credicorp shareholding, which is then US$ 4.9 million for 1Q06, reflecting 40% growth QoQ and 44% YoY.</w:t>
      </w:r>
    </w:p>
    <w:p>
      <w:pPr>
        <w:spacing w:after="0" w:line="194"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This income growth is explained mainly by important gains from the sale of securities, since core revenues excluding dividend income was slightly down as a shift to lower risk investments kept NII practically flat and a small but relevant FX loss related to positions in Peruvian Government instruments was recorded.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ASHC</w:t>
            </w:r>
          </w:p>
        </w:tc>
        <w:tc>
          <w:tcPr>
            <w:tcW w:w="2400" w:type="dxa"/>
            <w:vAlign w:val="bottom"/>
          </w:tcPr>
          <w:p>
            <w:pPr>
              <w:spacing w:after="0"/>
              <w:rPr>
                <w:sz w:val="15"/>
                <w:szCs w:val="15"/>
                <w:color w:val="auto"/>
              </w:rPr>
            </w:pP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Quarter</w:t>
            </w: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Change %</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gridSpan w:val="2"/>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400" w:type="dxa"/>
            <w:vAlign w:val="bottom"/>
          </w:tcPr>
          <w:p>
            <w:pPr>
              <w:jc w:val="right"/>
              <w:ind w:right="532"/>
              <w:spacing w:after="0"/>
              <w:rPr>
                <w:sz w:val="20"/>
                <w:szCs w:val="20"/>
                <w:color w:val="auto"/>
              </w:rPr>
            </w:pPr>
            <w:r>
              <w:rPr>
                <w:rFonts w:ascii="Arial" w:cs="Arial" w:eastAsia="Arial" w:hAnsi="Arial"/>
                <w:sz w:val="14"/>
                <w:szCs w:val="14"/>
                <w:b w:val="1"/>
                <w:bCs w:val="1"/>
                <w:color w:val="auto"/>
              </w:rPr>
              <w:t>1Q 2006</w:t>
            </w:r>
          </w:p>
        </w:tc>
        <w:tc>
          <w:tcPr>
            <w:tcW w:w="1380" w:type="dxa"/>
            <w:vAlign w:val="bottom"/>
          </w:tcPr>
          <w:p>
            <w:pPr>
              <w:jc w:val="right"/>
              <w:ind w:right="552"/>
              <w:spacing w:after="0"/>
              <w:rPr>
                <w:sz w:val="20"/>
                <w:szCs w:val="20"/>
                <w:color w:val="auto"/>
              </w:rPr>
            </w:pPr>
            <w:r>
              <w:rPr>
                <w:rFonts w:ascii="Arial" w:cs="Arial" w:eastAsia="Arial" w:hAnsi="Arial"/>
                <w:sz w:val="14"/>
                <w:szCs w:val="14"/>
                <w:b w:val="1"/>
                <w:bCs w:val="1"/>
                <w:color w:val="auto"/>
              </w:rPr>
              <w:t>4Q 2005</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1Q 2005</w:t>
            </w:r>
          </w:p>
        </w:tc>
        <w:tc>
          <w:tcPr>
            <w:tcW w:w="1580" w:type="dxa"/>
            <w:vAlign w:val="bottom"/>
          </w:tcPr>
          <w:p>
            <w:pPr>
              <w:jc w:val="right"/>
              <w:ind w:right="612"/>
              <w:spacing w:after="0"/>
              <w:rPr>
                <w:sz w:val="20"/>
                <w:szCs w:val="20"/>
                <w:color w:val="auto"/>
              </w:rPr>
            </w:pPr>
            <w:r>
              <w:rPr>
                <w:rFonts w:ascii="Arial" w:cs="Arial" w:eastAsia="Arial" w:hAnsi="Arial"/>
                <w:sz w:val="14"/>
                <w:szCs w:val="14"/>
                <w:b w:val="1"/>
                <w:bCs w:val="1"/>
                <w:color w:val="auto"/>
              </w:rPr>
              <w:t>1Q06 / 1Q05</w:t>
            </w: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3.3</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Dividend income</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16.1</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11.7</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37.6</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7.1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-0.4</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0.3</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- 100.0</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- 233.3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Core Revenues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20.5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4.8</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16.3</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25.8</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327.1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provisions, net of recoveries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-0.6</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150.0</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Net gains from sale of securities</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4.6</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0.8</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206.7</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0.1</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0.0</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Operating expenses</w:t>
            </w:r>
          </w:p>
        </w:tc>
        <w:tc>
          <w:tcPr>
            <w:tcW w:w="2400" w:type="dxa"/>
            <w:vAlign w:val="bottom"/>
          </w:tcPr>
          <w:p>
            <w:pPr>
              <w:jc w:val="right"/>
              <w:ind w:right="212"/>
              <w:spacing w:after="0"/>
              <w:rPr>
                <w:sz w:val="20"/>
                <w:szCs w:val="20"/>
                <w:color w:val="auto"/>
              </w:rPr>
            </w:pPr>
            <w:r>
              <w:rPr>
                <w:rFonts w:ascii="Arial" w:cs="Arial" w:eastAsia="Arial" w:hAnsi="Arial"/>
                <w:sz w:val="14"/>
                <w:szCs w:val="14"/>
                <w:color w:val="auto"/>
              </w:rPr>
              <w:t>-2.1</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-1.6</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1580" w:type="dxa"/>
            <w:vAlign w:val="bottom"/>
          </w:tcPr>
          <w:p>
            <w:pPr>
              <w:jc w:val="right"/>
              <w:ind w:right="392"/>
              <w:spacing w:after="0"/>
              <w:rPr>
                <w:sz w:val="20"/>
                <w:szCs w:val="20"/>
                <w:color w:val="auto"/>
              </w:rPr>
            </w:pPr>
            <w:r>
              <w:rPr>
                <w:rFonts w:ascii="Arial" w:cs="Arial" w:eastAsia="Arial" w:hAnsi="Arial"/>
                <w:sz w:val="14"/>
                <w:szCs w:val="14"/>
                <w:color w:val="auto"/>
              </w:rPr>
              <w:t>10.5</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21.0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3.5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15.1</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39.1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income/share</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0.35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0.06</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0.25</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39.1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140</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158</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153</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- 8.5</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563</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520</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452</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24.6</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1,222</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1,114</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911</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34.1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Total deposits</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1,025</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932</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720</w:t>
            </w:r>
          </w:p>
        </w:tc>
        <w:tc>
          <w:tcPr>
            <w:tcW w:w="40" w:type="dxa"/>
            <w:vAlign w:val="bottom"/>
          </w:tcPr>
          <w:p>
            <w:pPr>
              <w:spacing w:after="0"/>
              <w:rPr>
                <w:sz w:val="12"/>
                <w:szCs w:val="12"/>
                <w:color w:val="auto"/>
              </w:rPr>
            </w:pPr>
          </w:p>
        </w:tc>
        <w:tc>
          <w:tcPr>
            <w:tcW w:w="15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42.4</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163</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5.8</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66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Borders>
              <w:top w:val="single" w:sz="8" w:color="auto"/>
            </w:tcBorders>
          </w:tcPr>
          <w:p>
            <w:pPr>
              <w:spacing w:after="0"/>
              <w:rPr>
                <w:sz w:val="8"/>
                <w:szCs w:val="8"/>
                <w:color w:val="auto"/>
              </w:rPr>
            </w:pPr>
          </w:p>
        </w:tc>
        <w:tc>
          <w:tcPr>
            <w:tcW w:w="240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1.25</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1.64</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1.64</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Arial" w:cs="Arial" w:eastAsia="Arial" w:hAnsi="Arial"/>
                <w:sz w:val="14"/>
                <w:szCs w:val="14"/>
                <w:color w:val="auto"/>
              </w:rPr>
              <w:t>Efficiency ratio</w:t>
            </w:r>
          </w:p>
        </w:tc>
        <w:tc>
          <w:tcPr>
            <w:tcW w:w="24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9.04</w:t>
            </w:r>
          </w:p>
        </w:tc>
        <w:tc>
          <w:tcPr>
            <w:tcW w:w="1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32.16</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11.42</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51.21</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15.95</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39.66</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PDL / Total loans</w:t>
            </w:r>
          </w:p>
        </w:tc>
        <w:tc>
          <w:tcPr>
            <w:tcW w:w="2400" w:type="dxa"/>
            <w:vAlign w:val="bottom"/>
          </w:tcPr>
          <w:p>
            <w:pPr>
              <w:jc w:val="right"/>
              <w:ind w:right="212"/>
              <w:spacing w:after="0"/>
              <w:rPr>
                <w:sz w:val="20"/>
                <w:szCs w:val="20"/>
                <w:color w:val="auto"/>
              </w:rPr>
            </w:pPr>
            <w:r>
              <w:rPr>
                <w:rFonts w:ascii="Arial" w:cs="Arial" w:eastAsia="Arial" w:hAnsi="Arial"/>
                <w:sz w:val="14"/>
                <w:szCs w:val="14"/>
                <w:color w:val="auto"/>
              </w:rPr>
              <w:t>0.00</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0.00</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366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 ratio</w:t>
            </w:r>
          </w:p>
        </w:tc>
        <w:tc>
          <w:tcPr>
            <w:tcW w:w="24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2.02</w:t>
            </w:r>
          </w:p>
        </w:tc>
        <w:tc>
          <w:tcPr>
            <w:tcW w:w="1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1.79</w:t>
            </w:r>
          </w:p>
        </w:tc>
        <w:tc>
          <w:tcPr>
            <w:tcW w:w="1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BIS ratio</w:t>
            </w:r>
          </w:p>
        </w:tc>
        <w:tc>
          <w:tcPr>
            <w:tcW w:w="2400" w:type="dxa"/>
            <w:vAlign w:val="bottom"/>
          </w:tcPr>
          <w:p>
            <w:pPr>
              <w:jc w:val="right"/>
              <w:ind w:right="212"/>
              <w:spacing w:after="0"/>
              <w:rPr>
                <w:sz w:val="20"/>
                <w:szCs w:val="20"/>
                <w:color w:val="auto"/>
              </w:rPr>
            </w:pPr>
            <w:r>
              <w:rPr>
                <w:rFonts w:ascii="Arial" w:cs="Arial" w:eastAsia="Arial" w:hAnsi="Arial"/>
                <w:sz w:val="14"/>
                <w:szCs w:val="14"/>
                <w:color w:val="auto"/>
              </w:rPr>
              <w:t>15.32</w:t>
            </w:r>
          </w:p>
        </w:tc>
        <w:tc>
          <w:tcPr>
            <w:tcW w:w="1380" w:type="dxa"/>
            <w:vAlign w:val="bottom"/>
          </w:tcPr>
          <w:p>
            <w:pPr>
              <w:jc w:val="right"/>
              <w:ind w:right="212"/>
              <w:spacing w:after="0"/>
              <w:rPr>
                <w:sz w:val="20"/>
                <w:szCs w:val="20"/>
                <w:color w:val="auto"/>
              </w:rPr>
            </w:pPr>
            <w:r>
              <w:rPr>
                <w:rFonts w:ascii="Arial" w:cs="Arial" w:eastAsia="Arial" w:hAnsi="Arial"/>
                <w:sz w:val="14"/>
                <w:szCs w:val="14"/>
                <w:color w:val="auto"/>
              </w:rPr>
              <w:t>17.21</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18.76</w:t>
            </w: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NII grew 3% QoQ and YoY following a 34% expansion in assets throughout the year. This small growth vis-à-vis the important expansion in assets is explained by</w:t>
      </w:r>
    </w:p>
    <w:p>
      <w:pPr>
        <w:spacing w:after="0" w:line="186" w:lineRule="exact"/>
        <w:rPr>
          <w:sz w:val="20"/>
          <w:szCs w:val="20"/>
          <w:color w:val="auto"/>
        </w:rPr>
      </w:pPr>
    </w:p>
    <w:p>
      <w:pPr>
        <w:ind w:left="1160" w:right="40" w:hanging="571"/>
        <w:spacing w:after="0" w:line="25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shift in the composition of its interest earning assets towards low yielding - less risky assets, as we will detail below, which coupled with a very flat yield curve, leaves less room for margins.</w:t>
      </w:r>
    </w:p>
    <w:p>
      <w:pPr>
        <w:ind w:left="1160" w:hanging="571"/>
        <w:spacing w:after="0"/>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Asset expansion is concentrated towards the end of the compared period, thus related additional interest income is marginal for the quarter.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a result, NIM does show some deterioration reaching only 1.25% vs. 1.64 a year ago.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focus on the Asset Management business is part of ASHC’s strategy, and has led to growth of its Fees and Commissions by 7.1% and 15.4% YoY and QoQ.</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Specifically, Asset Management related fees grew 13.3% on a QoQ and YoY comparison.</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mentioned before, the small improvements in income were offset by an also small but very relevant FX-loss from the sale of securities. Thus, core revenues (excluding BAP dividends) reached US$ 4.4 million this 1Q06, down 8% QoQ and 4.3% YoY.</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jump in provisions, which in 1Q06 are 150% higher than those for 4Q05 was explained by the deterioration as to the market value of a few marketable securities. However, ASHC could also report gains from the sale of securities, which were 207% higher in 1Q06 than the previous quarter, and more that offset the increase in provisions and the previously mentioned small FX-loss.</w:t>
      </w:r>
    </w:p>
    <w:p>
      <w:pPr>
        <w:spacing w:after="0" w:line="19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5" w:name="page16"/>
    <w:bookmarkEnd w:id="15"/>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680"/>
        <w:spacing w:after="0" w:line="268" w:lineRule="auto"/>
        <w:rPr>
          <w:sz w:val="20"/>
          <w:szCs w:val="20"/>
          <w:color w:val="auto"/>
        </w:rPr>
      </w:pPr>
      <w:r>
        <w:rPr>
          <w:rFonts w:ascii="Arial" w:cs="Arial" w:eastAsia="Arial" w:hAnsi="Arial"/>
          <w:sz w:val="18"/>
          <w:szCs w:val="18"/>
          <w:color w:val="auto"/>
        </w:rPr>
        <w:t>Operating expenses increased as a result of some generic provisions that were reversed in 4Q05, but in less proportion than income growth, leading to an improvement in the efficiency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Earning Assets</w:t>
      </w:r>
    </w:p>
    <w:p>
      <w:pPr>
        <w:spacing w:after="0" w:line="2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Growth of interest earning assets which contribute directly to NII, reached 39.7% YoY and 9.8% QoQ to US$ 1,074 million by the end of 1Q06. This overall growth was accompanied by a rebalancing of the portfolio, away from more risky securities and also leaning towards highly liquid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can be easily seen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148590</wp:posOffset>
            </wp:positionV>
            <wp:extent cx="5462905" cy="18865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6290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INTEREST EARNING ASSETS</w:t>
            </w:r>
          </w:p>
        </w:tc>
        <w:tc>
          <w:tcPr>
            <w:tcW w:w="2580" w:type="dxa"/>
            <w:vAlign w:val="bottom"/>
          </w:tcPr>
          <w:p>
            <w:pPr>
              <w:spacing w:after="0"/>
              <w:rPr>
                <w:sz w:val="15"/>
                <w:szCs w:val="15"/>
                <w:color w:val="auto"/>
              </w:rPr>
            </w:pPr>
          </w:p>
        </w:tc>
        <w:tc>
          <w:tcPr>
            <w:tcW w:w="1420" w:type="dxa"/>
            <w:vAlign w:val="bottom"/>
          </w:tcPr>
          <w:p>
            <w:pPr>
              <w:jc w:val="right"/>
              <w:ind w:right="592"/>
              <w:spacing w:after="0"/>
              <w:rPr>
                <w:sz w:val="20"/>
                <w:szCs w:val="20"/>
                <w:color w:val="auto"/>
              </w:rPr>
            </w:pPr>
            <w:r>
              <w:rPr>
                <w:rFonts w:ascii="Arial" w:cs="Arial" w:eastAsia="Arial" w:hAnsi="Arial"/>
                <w:sz w:val="14"/>
                <w:szCs w:val="14"/>
                <w:b w:val="1"/>
                <w:bCs w:val="1"/>
                <w:color w:val="auto"/>
              </w:rPr>
              <w:t>Quarter</w:t>
            </w:r>
          </w:p>
        </w:tc>
        <w:tc>
          <w:tcPr>
            <w:tcW w:w="1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80" w:type="dxa"/>
            <w:vAlign w:val="bottom"/>
            <w:tcBorders>
              <w:bottom w:val="single" w:sz="8" w:color="auto"/>
            </w:tcBorders>
            <w:gridSpan w:val="2"/>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(US$ Million)</w:t>
            </w:r>
          </w:p>
        </w:tc>
        <w:tc>
          <w:tcPr>
            <w:tcW w:w="258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w:t>
            </w:r>
          </w:p>
        </w:tc>
        <w:tc>
          <w:tcPr>
            <w:tcW w:w="1420" w:type="dxa"/>
            <w:vAlign w:val="bottom"/>
          </w:tcPr>
          <w:p>
            <w:pPr>
              <w:jc w:val="right"/>
              <w:ind w:right="672"/>
              <w:spacing w:after="0"/>
              <w:rPr>
                <w:sz w:val="20"/>
                <w:szCs w:val="20"/>
                <w:color w:val="auto"/>
              </w:rPr>
            </w:pPr>
            <w:r>
              <w:rPr>
                <w:rFonts w:ascii="Arial" w:cs="Arial" w:eastAsia="Arial" w:hAnsi="Arial"/>
                <w:sz w:val="14"/>
                <w:szCs w:val="14"/>
                <w:b w:val="1"/>
                <w:bCs w:val="1"/>
                <w:color w:val="auto"/>
              </w:rPr>
              <w:t>4Q05</w:t>
            </w:r>
          </w:p>
        </w:tc>
        <w:tc>
          <w:tcPr>
            <w:tcW w:w="1280" w:type="dxa"/>
            <w:vAlign w:val="bottom"/>
          </w:tcPr>
          <w:p>
            <w:pPr>
              <w:jc w:val="right"/>
              <w:ind w:right="592"/>
              <w:spacing w:after="0"/>
              <w:rPr>
                <w:sz w:val="20"/>
                <w:szCs w:val="20"/>
                <w:color w:val="auto"/>
              </w:rPr>
            </w:pPr>
            <w:r>
              <w:rPr>
                <w:rFonts w:ascii="Arial" w:cs="Arial" w:eastAsia="Arial" w:hAnsi="Arial"/>
                <w:sz w:val="14"/>
                <w:szCs w:val="14"/>
                <w:b w:val="1"/>
                <w:bCs w:val="1"/>
                <w:color w:val="auto"/>
              </w:rPr>
              <w:t>1Q05</w:t>
            </w: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1Q06/1Q05</w:t>
            </w: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banks</w:t>
            </w:r>
          </w:p>
        </w:tc>
        <w:tc>
          <w:tcPr>
            <w:tcW w:w="2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424</w:t>
            </w:r>
          </w:p>
        </w:tc>
        <w:tc>
          <w:tcPr>
            <w:tcW w:w="1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359</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218</w:t>
            </w:r>
          </w:p>
        </w:tc>
        <w:tc>
          <w:tcPr>
            <w:tcW w:w="16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94.5</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25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140</w:t>
            </w:r>
          </w:p>
        </w:tc>
        <w:tc>
          <w:tcPr>
            <w:tcW w:w="14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157</w:t>
            </w:r>
          </w:p>
        </w:tc>
        <w:tc>
          <w:tcPr>
            <w:tcW w:w="12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153</w:t>
            </w:r>
          </w:p>
        </w:tc>
        <w:tc>
          <w:tcPr>
            <w:tcW w:w="16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-8.5</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2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510</w:t>
            </w:r>
          </w:p>
        </w:tc>
        <w:tc>
          <w:tcPr>
            <w:tcW w:w="1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462</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398</w:t>
            </w:r>
          </w:p>
        </w:tc>
        <w:tc>
          <w:tcPr>
            <w:tcW w:w="16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28.1</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25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1,074</w:t>
            </w:r>
          </w:p>
        </w:tc>
        <w:tc>
          <w:tcPr>
            <w:tcW w:w="14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978</w:t>
            </w:r>
          </w:p>
        </w:tc>
        <w:tc>
          <w:tcPr>
            <w:tcW w:w="128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769</w:t>
            </w:r>
          </w:p>
        </w:tc>
        <w:tc>
          <w:tcPr>
            <w:tcW w:w="16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b w:val="1"/>
                <w:bCs w:val="1"/>
                <w:color w:val="auto"/>
              </w:rPr>
              <w:t>39.7</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7460" w:firstLine="8"/>
        <w:spacing w:after="0" w:line="51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investments in securities and mutual funds. IV.1Asset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-13335</wp:posOffset>
            </wp:positionV>
            <wp:extent cx="1586230" cy="823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623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Third party managed funds include customers deposits, mutual funds and securities custody. The total of these funds has grown 7.2% and 39.0% QoQ and YoY reaching US$ 2.1 billion as of the closing of 1Q06. This growth was fueled by the political uncertainty around the Peruvian electoral process and was especially strong in time deposits which in turn grew 10% and 42.3% QoQ and YoY, respectively. We have also observed some migration from mutual &amp; investment funds to time deposits which offered similar returns with lower risk. This business is an important contributor to ASHC’s income which grew 13% both on a QoQ and YoY basis, accounting for 38.5% of ASHC’s core revenues (excluding BAP dividend income).</w:t>
      </w:r>
    </w:p>
    <w:p>
      <w:pPr>
        <w:spacing w:after="0" w:line="17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16" w:name="page17"/>
    <w:bookmarkEnd w:id="1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Prima AFP</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Despite fierce competition in the Pension Fund business, spurred by Prima’s appearance in the market with very aggressive pricing (low commissions), Prima was able to maintain a very solid growth rate in 1Q06 in terms of managed portfolio and number of affiliated clients.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 Managed Funds (US$ mm) and Income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152400</wp:posOffset>
            </wp:positionV>
            <wp:extent cx="6663690" cy="1689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Managed funds grew 108.7% QoQ, reaching US$ 508.6 million which represent a growth in market share from 2.5% to over 5%. Income generated this 1Q06 is above expectations having reached US$ 2.3 million which puts Prima’s market share of income above the 4% mark. This, coupled with cost controls which led to a slight personnel reduction stabilizing a sales force after an aggressive initial period, have allowed for lower losses than expected, reaching US$ 2.7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Highlights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240" w:type="dxa"/>
            <w:vAlign w:val="bottom"/>
          </w:tcPr>
          <w:p>
            <w:pPr>
              <w:jc w:val="right"/>
              <w:ind w:right="51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4Q05</w:t>
            </w:r>
          </w:p>
        </w:tc>
        <w:tc>
          <w:tcPr>
            <w:tcW w:w="1000" w:type="dxa"/>
            <w:vAlign w:val="bottom"/>
          </w:tcPr>
          <w:p>
            <w:pPr>
              <w:jc w:val="right"/>
              <w:ind w:right="192"/>
              <w:spacing w:after="0"/>
              <w:rPr>
                <w:sz w:val="20"/>
                <w:szCs w:val="20"/>
                <w:color w:val="auto"/>
              </w:rPr>
            </w:pPr>
            <w:r>
              <w:rPr>
                <w:rFonts w:ascii="Arial" w:cs="Arial" w:eastAsia="Arial" w:hAnsi="Arial"/>
                <w:sz w:val="14"/>
                <w:szCs w:val="14"/>
                <w:b w:val="1"/>
                <w:bCs w:val="1"/>
                <w:color w:val="auto"/>
                <w:w w:val="99"/>
              </w:rPr>
              <w:t>1Q06/4Q05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Managed Fund (US$ MM)</w:t>
            </w:r>
          </w:p>
        </w:tc>
        <w:tc>
          <w:tcPr>
            <w:tcW w:w="3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532.7</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255.2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N° of contributors (1)</w:t>
            </w:r>
          </w:p>
        </w:tc>
        <w:tc>
          <w:tcPr>
            <w:tcW w:w="32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49,506</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19,401</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 of affiliates (2)</w:t>
            </w:r>
          </w:p>
        </w:tc>
        <w:tc>
          <w:tcPr>
            <w:tcW w:w="32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73,794</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51,838</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 contributors / affiliates (3)</w:t>
            </w:r>
          </w:p>
        </w:tc>
        <w:tc>
          <w:tcPr>
            <w:tcW w:w="3240" w:type="dxa"/>
            <w:vAlign w:val="bottom"/>
          </w:tcPr>
          <w:p>
            <w:pPr>
              <w:jc w:val="right"/>
              <w:ind w:right="112"/>
              <w:spacing w:after="0"/>
              <w:rPr>
                <w:sz w:val="20"/>
                <w:szCs w:val="20"/>
                <w:color w:val="auto"/>
              </w:rPr>
            </w:pPr>
            <w:r>
              <w:rPr>
                <w:rFonts w:ascii="Arial" w:cs="Arial" w:eastAsia="Arial" w:hAnsi="Arial"/>
                <w:sz w:val="14"/>
                <w:szCs w:val="14"/>
                <w:color w:val="auto"/>
              </w:rPr>
              <w:t>90%</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84%</w:t>
            </w:r>
          </w:p>
        </w:tc>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Estimated by the business, considering only payments carried out in the month.</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SBS.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adjustments in contributions paid in other AFPs and the delay between transfers and their contributions.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PRIMA AFP: Financial Highlights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520" w:type="dxa"/>
            <w:vAlign w:val="bottom"/>
          </w:tcPr>
          <w:p>
            <w:pPr>
              <w:jc w:val="right"/>
              <w:ind w:right="452"/>
              <w:spacing w:after="0"/>
              <w:rPr>
                <w:sz w:val="20"/>
                <w:szCs w:val="20"/>
                <w:color w:val="auto"/>
              </w:rPr>
            </w:pPr>
            <w:r>
              <w:rPr>
                <w:rFonts w:ascii="Arial" w:cs="Arial" w:eastAsia="Arial" w:hAnsi="Arial"/>
                <w:sz w:val="14"/>
                <w:szCs w:val="14"/>
                <w:b w:val="1"/>
                <w:bCs w:val="1"/>
                <w:color w:val="auto"/>
              </w:rPr>
              <w:t>1Q06</w:t>
            </w: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4Q05</w:t>
            </w:r>
          </w:p>
        </w:tc>
        <w:tc>
          <w:tcPr>
            <w:tcW w:w="1060" w:type="dxa"/>
            <w:vAlign w:val="bottom"/>
          </w:tcPr>
          <w:p>
            <w:pPr>
              <w:jc w:val="right"/>
              <w:ind w:right="192"/>
              <w:spacing w:after="0"/>
              <w:rPr>
                <w:sz w:val="20"/>
                <w:szCs w:val="20"/>
                <w:color w:val="auto"/>
              </w:rPr>
            </w:pPr>
            <w:r>
              <w:rPr>
                <w:rFonts w:ascii="Arial" w:cs="Arial" w:eastAsia="Arial" w:hAnsi="Arial"/>
                <w:sz w:val="14"/>
                <w:szCs w:val="14"/>
                <w:b w:val="1"/>
                <w:bCs w:val="1"/>
                <w:color w:val="auto"/>
              </w:rPr>
              <w:t>1Q06/4Q05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2,298</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428</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Operating Loss</w:t>
            </w:r>
          </w:p>
        </w:tc>
        <w:tc>
          <w:tcPr>
            <w:tcW w:w="3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-4,314</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-11,086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-2,668</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-7,646</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banks</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5,324</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6,995</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5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21,807</w:t>
            </w:r>
          </w:p>
        </w:tc>
        <w:tc>
          <w:tcPr>
            <w:tcW w:w="10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18,229</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5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3,244</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2,810</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Equity</w:t>
            </w:r>
          </w:p>
        </w:tc>
        <w:tc>
          <w:tcPr>
            <w:tcW w:w="3520" w:type="dxa"/>
            <w:vAlign w:val="bottom"/>
          </w:tcPr>
          <w:p>
            <w:pPr>
              <w:jc w:val="right"/>
              <w:ind w:right="172"/>
              <w:spacing w:after="0"/>
              <w:rPr>
                <w:sz w:val="20"/>
                <w:szCs w:val="20"/>
                <w:color w:val="auto"/>
              </w:rPr>
            </w:pPr>
            <w:r>
              <w:rPr>
                <w:rFonts w:ascii="Arial" w:cs="Arial" w:eastAsia="Arial" w:hAnsi="Arial"/>
                <w:sz w:val="14"/>
                <w:szCs w:val="14"/>
                <w:color w:val="auto"/>
              </w:rPr>
              <w:t>18,563</w:t>
            </w: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15,419</w:t>
            </w:r>
          </w:p>
        </w:tc>
        <w:tc>
          <w:tcPr>
            <w:tcW w:w="1060" w:type="dxa"/>
            <w:vAlign w:val="bottom"/>
          </w:tcPr>
          <w:p>
            <w:pPr>
              <w:jc w:val="right"/>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Altogether, it is also noteworthy that this market continues growing at very good rates reaching 8.4% growth QoQ with a total of US$ 10.2 billion of managed funds at the end of 1Q06. Thus, this denotes the large potential offered by a still young business in a growing economy.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El Pacífico Peruano Suiza and Subsidiaries (PPS)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First quarter 2006 results for PPS reflect some recovery after a challenging year with important casualties for the company, as well as significant problems that led to major changes in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V.1 Net Income</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consolidated earnings for 1Q06 reached US$ 3.84 million, reflecting a QoQ drop of 9%, though an improvement of 14% YoY. Consolidated earnings, however include also the minority interest of AIG at PV, which had in 4Q05 an extraordinarily high earnings result that helped offset the losses generated at PPS and EPS on a total consolidated basis and allowed a net earnings result of US$ 4.2 million. However, when excluding AIG’s minority interest, earnings at PV hardly offset the losses in the other consolidated companies, and led to a net income after minority interests of only US$ 0.7 million (as seen in the chart further down). Thus, PPS’s contribution to Credicorp in 1Q05 of US$2.94 million, resulted three times the contribution in 4Q05 and 21.9% higher than the one obtained in 1Q05.</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recovery is mainly a result of the turn-around situation of the health care segment (EPS) which has started to operate profitably, and the reduction in losses in the property &amp; casualty business (PPS), as well as the continued good results in the life insurance business (PV).</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VI.2 Revenue and Operating Expenses</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During 1Q06, a significant improvement in total premiums can be noted together with financial income. These have been, however, greatly absorbed as a result of an increase in the loss ratio, mainly due to higher loss reserves in the life insurance business, as well as an increase in general and operating expenses.</w:t>
      </w:r>
    </w:p>
    <w:p>
      <w:pPr>
        <w:spacing w:after="0" w:line="139"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In 1Q06 Net Premiums Earned reached a level of US$ 60.8 million, 12% over 1Q05. This followed an 11% increase in Total Premiums, which comes mainly from growth of 22% at Pacifico Vida (PV) and 12.5% growth of the automotive, personal liability and technical branches of Pacifico Peruano Suiza Seguros Generales (PPS), which in turn offset a slight drop in the marine hull and personal accidents segments of PPS.</w:t>
      </w:r>
    </w:p>
    <w:p>
      <w:pPr>
        <w:spacing w:after="0" w:line="161"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color w:val="auto"/>
        </w:rPr>
        <w:t>However, growth of Retained Premiums is about 4 points lower than growth in Total Premiums, reaching only 7%. This was a consequence of a consolidated index of surrendered premiums growing from 13.7% in 1Q05 to 16.7% in the 1Q06, as PPS reduces risks assumed by contracting more re-insurance.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Earned Loss Ratio </w:t>
      </w:r>
      <w:r>
        <w:rPr>
          <w:rFonts w:ascii="Arial" w:cs="Arial" w:eastAsia="Arial" w:hAnsi="Arial"/>
          <w:sz w:val="18"/>
          <w:szCs w:val="18"/>
          <w:color w:val="auto"/>
        </w:rPr>
        <w:t>(NEL) for 1Q06 was 78.8%, 4 points over the reported for 1Q05, but significantly better than 83% in 4Q05.</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i w:val="1"/>
          <w:iCs w:val="1"/>
          <w:color w:val="auto"/>
        </w:rPr>
        <w:t xml:space="preserve">Change in Reserves </w:t>
      </w:r>
      <w:r>
        <w:rPr>
          <w:rFonts w:ascii="Arial" w:cs="Arial" w:eastAsia="Arial" w:hAnsi="Arial"/>
          <w:sz w:val="18"/>
          <w:szCs w:val="18"/>
          <w:color w:val="auto"/>
        </w:rPr>
        <w:t>reached US$ 47.9mm, 18% above 1Q05. Most of this increase in reserves is explained by business growth at Pacífico Vida and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of the regulatory rates at which these reserves are calculated. Furthermore, there is also a lower effect caused by NEL levels for the Fire and Transportation segments of PPS which reached 84% and 109%, respectively. The combined ratio also improves QoQ to 102.8% while in 4Q05 this reached 114.8%.</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US$ mm</w:t>
            </w:r>
          </w:p>
        </w:tc>
        <w:tc>
          <w:tcPr>
            <w:tcW w:w="3360" w:type="dxa"/>
            <w:vAlign w:val="bottom"/>
          </w:tcPr>
          <w:p>
            <w:pPr>
              <w:jc w:val="right"/>
              <w:ind w:right="452"/>
              <w:spacing w:after="0"/>
              <w:rPr>
                <w:sz w:val="20"/>
                <w:szCs w:val="20"/>
                <w:color w:val="auto"/>
              </w:rPr>
            </w:pPr>
            <w:r>
              <w:rPr>
                <w:rFonts w:ascii="Arial" w:cs="Arial" w:eastAsia="Arial" w:hAnsi="Arial"/>
                <w:sz w:val="14"/>
                <w:szCs w:val="14"/>
                <w:b w:val="1"/>
                <w:bCs w:val="1"/>
                <w:color w:val="auto"/>
              </w:rPr>
              <w:t>1Q06</w:t>
            </w: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1Q05</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Premiums</w:t>
            </w:r>
          </w:p>
        </w:tc>
        <w:tc>
          <w:tcPr>
            <w:tcW w:w="33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93.2</w:t>
            </w:r>
          </w:p>
        </w:tc>
        <w:tc>
          <w:tcPr>
            <w:tcW w:w="10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84.0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Retained Premiums</w:t>
            </w:r>
          </w:p>
        </w:tc>
        <w:tc>
          <w:tcPr>
            <w:tcW w:w="33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77.6</w:t>
            </w:r>
          </w:p>
        </w:tc>
        <w:tc>
          <w:tcPr>
            <w:tcW w:w="10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72.4</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Reserve Adjustments</w:t>
            </w:r>
          </w:p>
        </w:tc>
        <w:tc>
          <w:tcPr>
            <w:tcW w:w="336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16.8</w:t>
            </w:r>
          </w:p>
        </w:tc>
        <w:tc>
          <w:tcPr>
            <w:tcW w:w="10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Net Premiums Earned</w:t>
            </w:r>
          </w:p>
        </w:tc>
        <w:tc>
          <w:tcPr>
            <w:tcW w:w="3360" w:type="dxa"/>
            <w:vAlign w:val="bottom"/>
          </w:tcPr>
          <w:p>
            <w:pPr>
              <w:jc w:val="right"/>
              <w:ind w:right="172"/>
              <w:spacing w:after="0"/>
              <w:rPr>
                <w:sz w:val="20"/>
                <w:szCs w:val="20"/>
                <w:color w:val="auto"/>
              </w:rPr>
            </w:pPr>
            <w:r>
              <w:rPr>
                <w:rFonts w:ascii="Arial" w:cs="Arial" w:eastAsia="Arial" w:hAnsi="Arial"/>
                <w:sz w:val="14"/>
                <w:szCs w:val="14"/>
                <w:color w:val="auto"/>
              </w:rPr>
              <w:t>60.8</w:t>
            </w: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54.2</w:t>
            </w: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reported for 1Q06 of US$ 4.4 million, was 84% above 4Q05. This unusual increase is explained principally at PPS by</w:t>
      </w:r>
      <w:r>
        <w:rPr>
          <w:rFonts w:ascii="Arial" w:cs="Arial" w:eastAsia="Arial" w:hAnsi="Arial"/>
          <w:sz w:val="18"/>
          <w:szCs w:val="18"/>
          <w:i w:val="1"/>
          <w:iCs w:val="1"/>
          <w:color w:val="auto"/>
        </w:rPr>
        <w:t xml:space="preserve"> i) </w:t>
      </w:r>
      <w:r>
        <w:rPr>
          <w:rFonts w:ascii="Arial" w:cs="Arial" w:eastAsia="Arial" w:hAnsi="Arial"/>
          <w:sz w:val="18"/>
          <w:szCs w:val="18"/>
          <w:color w:val="auto"/>
        </w:rPr>
        <w:t>an extraordinary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US$ 1 million as reimbursement on the price of Novasalud paid by its previous owner, Corporación Backus, and </w:t>
      </w:r>
      <w:r>
        <w:rPr>
          <w:rFonts w:ascii="Arial" w:cs="Arial" w:eastAsia="Arial" w:hAnsi="Arial"/>
          <w:sz w:val="18"/>
          <w:szCs w:val="18"/>
          <w:i w:val="1"/>
          <w:iCs w:val="1"/>
          <w:color w:val="auto"/>
        </w:rPr>
        <w:t>ii)</w:t>
      </w:r>
      <w:r>
        <w:rPr>
          <w:rFonts w:ascii="Arial" w:cs="Arial" w:eastAsia="Arial" w:hAnsi="Arial"/>
          <w:sz w:val="18"/>
          <w:szCs w:val="18"/>
          <w:color w:val="auto"/>
        </w:rPr>
        <w:t xml:space="preserve"> capital gains on the sale of shares on the Lima Stock Exchange.</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increased by 35% YoY. This is mainly accounted for by increases in commissions and technical expenses.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commissions, both at PPS and at PV is explained by increased sales, plus some commissions owed to agents from the previous year (US$0.5mm) which were not reported in their corresponding period and some provisions for future commissions (US$0.6mm) which in the past were reported when paid. Increased Technical expenses are also related to increased sales, since these are sales related costs and bonus payments for sales people and agents. Finally, in 1Q06, an extraordinary expense was generated at PPS to provision the reduction of goodwill generated by the acquisition of Novasalud.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VI.3 Business Lines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Earnings after minority interest per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center"/>
              <w:ind w:right="72"/>
              <w:spacing w:after="0"/>
              <w:rPr>
                <w:sz w:val="20"/>
                <w:szCs w:val="20"/>
                <w:color w:val="auto"/>
              </w:rPr>
            </w:pPr>
            <w:r>
              <w:rPr>
                <w:rFonts w:ascii="Arial" w:cs="Arial" w:eastAsia="Arial" w:hAnsi="Arial"/>
                <w:sz w:val="14"/>
                <w:szCs w:val="14"/>
                <w:b w:val="1"/>
                <w:bCs w:val="1"/>
                <w:color w:val="auto"/>
                <w:w w:val="84"/>
              </w:rPr>
              <w:t>Net income</w:t>
            </w:r>
          </w:p>
        </w:tc>
        <w:tc>
          <w:tcPr>
            <w:tcW w:w="1400" w:type="dxa"/>
            <w:vAlign w:val="bottom"/>
          </w:tcPr>
          <w:p>
            <w:pPr>
              <w:spacing w:after="0"/>
              <w:rPr>
                <w:sz w:val="14"/>
                <w:szCs w:val="14"/>
                <w:color w:val="auto"/>
              </w:rPr>
            </w:pPr>
          </w:p>
        </w:tc>
        <w:tc>
          <w:tcPr>
            <w:tcW w:w="12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1"/>
              </w:rPr>
              <w:t>after minority</w:t>
            </w:r>
          </w:p>
        </w:tc>
        <w:tc>
          <w:tcPr>
            <w:tcW w:w="14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Adjustments for</w:t>
            </w:r>
          </w:p>
        </w:tc>
        <w:tc>
          <w:tcPr>
            <w:tcW w:w="12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Contribution to</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20" w:type="dxa"/>
            <w:vAlign w:val="bottom"/>
          </w:tcPr>
          <w:p>
            <w:pPr>
              <w:jc w:val="right"/>
              <w:ind w:right="552"/>
              <w:spacing w:after="0"/>
              <w:rPr>
                <w:sz w:val="20"/>
                <w:szCs w:val="20"/>
                <w:color w:val="auto"/>
              </w:rPr>
            </w:pPr>
            <w:r>
              <w:rPr>
                <w:rFonts w:ascii="Arial" w:cs="Arial" w:eastAsia="Arial" w:hAnsi="Arial"/>
                <w:sz w:val="14"/>
                <w:szCs w:val="14"/>
                <w:b w:val="1"/>
                <w:bCs w:val="1"/>
                <w:color w:val="auto"/>
              </w:rPr>
              <w:t>PPS</w:t>
            </w:r>
          </w:p>
        </w:tc>
        <w:tc>
          <w:tcPr>
            <w:tcW w:w="1040" w:type="dxa"/>
            <w:vAlign w:val="bottom"/>
          </w:tcPr>
          <w:p>
            <w:pPr>
              <w:jc w:val="right"/>
              <w:ind w:right="532"/>
              <w:spacing w:after="0"/>
              <w:rPr>
                <w:sz w:val="20"/>
                <w:szCs w:val="20"/>
                <w:color w:val="auto"/>
              </w:rPr>
            </w:pPr>
            <w:r>
              <w:rPr>
                <w:rFonts w:ascii="Arial" w:cs="Arial" w:eastAsia="Arial" w:hAnsi="Arial"/>
                <w:sz w:val="14"/>
                <w:szCs w:val="14"/>
                <w:b w:val="1"/>
                <w:bCs w:val="1"/>
                <w:color w:val="auto"/>
              </w:rPr>
              <w:t>PV</w:t>
            </w: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EPS</w:t>
            </w:r>
          </w:p>
        </w:tc>
        <w:tc>
          <w:tcPr>
            <w:tcW w:w="118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interest</w:t>
            </w:r>
          </w:p>
        </w:tc>
        <w:tc>
          <w:tcPr>
            <w:tcW w:w="1400" w:type="dxa"/>
            <w:vAlign w:val="bottom"/>
          </w:tcPr>
          <w:p>
            <w:pPr>
              <w:jc w:val="right"/>
              <w:ind w:right="332"/>
              <w:spacing w:after="0"/>
              <w:rPr>
                <w:sz w:val="20"/>
                <w:szCs w:val="20"/>
                <w:color w:val="auto"/>
              </w:rPr>
            </w:pPr>
            <w:r>
              <w:rPr>
                <w:rFonts w:ascii="Arial" w:cs="Arial" w:eastAsia="Arial" w:hAnsi="Arial"/>
                <w:sz w:val="14"/>
                <w:szCs w:val="14"/>
                <w:b w:val="1"/>
                <w:bCs w:val="1"/>
                <w:color w:val="auto"/>
              </w:rPr>
              <w:t>consolidation</w:t>
            </w:r>
          </w:p>
        </w:tc>
        <w:tc>
          <w:tcPr>
            <w:tcW w:w="124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BAP</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1Q05</w:t>
            </w:r>
          </w:p>
        </w:tc>
        <w:tc>
          <w:tcPr>
            <w:tcW w:w="1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1,024</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1,561</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(172)</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2,413</w:t>
            </w:r>
          </w:p>
        </w:tc>
        <w:tc>
          <w:tcPr>
            <w:tcW w:w="1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(237)</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2Q05</w:t>
            </w:r>
          </w:p>
        </w:tc>
        <w:tc>
          <w:tcPr>
            <w:tcW w:w="1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(230)</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1,101</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(146)</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725</w:t>
            </w:r>
          </w:p>
        </w:tc>
        <w:tc>
          <w:tcPr>
            <w:tcW w:w="14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(587)</w:t>
            </w:r>
          </w:p>
        </w:tc>
        <w:tc>
          <w:tcPr>
            <w:tcW w:w="1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3Q05</w:t>
            </w:r>
          </w:p>
        </w:tc>
        <w:tc>
          <w:tcPr>
            <w:tcW w:w="1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1,502</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1,554</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(353)</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2,703</w:t>
            </w:r>
          </w:p>
        </w:tc>
        <w:tc>
          <w:tcPr>
            <w:tcW w:w="1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(304)</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2,399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line="149" w:lineRule="exact"/>
              <w:rPr>
                <w:sz w:val="20"/>
                <w:szCs w:val="20"/>
                <w:color w:val="auto"/>
              </w:rPr>
            </w:pPr>
            <w:r>
              <w:rPr>
                <w:rFonts w:ascii="Arial" w:cs="Arial" w:eastAsia="Arial" w:hAnsi="Arial"/>
                <w:sz w:val="14"/>
                <w:szCs w:val="14"/>
                <w:color w:val="auto"/>
              </w:rPr>
              <w:t>4Q05</w:t>
            </w:r>
          </w:p>
        </w:tc>
        <w:tc>
          <w:tcPr>
            <w:tcW w:w="1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(3,741)</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5,732</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(1,283)</w:t>
            </w:r>
          </w:p>
        </w:tc>
        <w:tc>
          <w:tcPr>
            <w:tcW w:w="11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708</w:t>
            </w:r>
          </w:p>
        </w:tc>
        <w:tc>
          <w:tcPr>
            <w:tcW w:w="14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197</w:t>
            </w:r>
          </w:p>
        </w:tc>
        <w:tc>
          <w:tcPr>
            <w:tcW w:w="12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1Q06</w:t>
            </w:r>
          </w:p>
        </w:tc>
        <w:tc>
          <w:tcPr>
            <w:tcW w:w="19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49</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1,459</w:t>
            </w:r>
          </w:p>
        </w:tc>
        <w:tc>
          <w:tcPr>
            <w:tcW w:w="10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1,433</w:t>
            </w:r>
          </w:p>
        </w:tc>
        <w:tc>
          <w:tcPr>
            <w:tcW w:w="11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2,941</w:t>
            </w:r>
          </w:p>
        </w:tc>
        <w:tc>
          <w:tcPr>
            <w:tcW w:w="14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(252)</w:t>
            </w:r>
          </w:p>
        </w:tc>
        <w:tc>
          <w:tcPr>
            <w:tcW w:w="124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2,689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&amp; Casualty (PPS)</w:t>
      </w:r>
    </w:p>
    <w:p>
      <w:pPr>
        <w:spacing w:after="0" w:line="15"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 xml:space="preserve">Premiums growth for this segment reached 12.5%, driven mainly by: (i) the automotive sector which grew 28% in individual policies as a result of a revamped sales force in the second half of 2005, and growth in its participation in corporate policies through agents, (ii) the </w:t>
      </w:r>
      <w:r>
        <w:rPr>
          <w:rFonts w:ascii="Arial" w:cs="Arial" w:eastAsia="Arial" w:hAnsi="Arial"/>
          <w:sz w:val="16"/>
          <w:szCs w:val="16"/>
          <w:i w:val="1"/>
          <w:iCs w:val="1"/>
          <w:color w:val="auto"/>
        </w:rPr>
        <w:t>Responsabilidad Civil</w:t>
      </w:r>
      <w:r>
        <w:rPr>
          <w:rFonts w:ascii="Arial" w:cs="Arial" w:eastAsia="Arial" w:hAnsi="Arial"/>
          <w:sz w:val="16"/>
          <w:szCs w:val="16"/>
          <w:color w:val="auto"/>
        </w:rPr>
        <w:t xml:space="preserve"> (Liabilities) segment which grew 67% as it increased its participation in the mining sector, and (iii) the </w:t>
      </w:r>
      <w:r>
        <w:rPr>
          <w:rFonts w:ascii="Arial" w:cs="Arial" w:eastAsia="Arial" w:hAnsi="Arial"/>
          <w:sz w:val="16"/>
          <w:szCs w:val="16"/>
          <w:i w:val="1"/>
          <w:iCs w:val="1"/>
          <w:color w:val="auto"/>
        </w:rPr>
        <w:t>Ramos Técnicos</w:t>
      </w:r>
      <w:r>
        <w:rPr>
          <w:rFonts w:ascii="Arial" w:cs="Arial" w:eastAsia="Arial" w:hAnsi="Arial"/>
          <w:sz w:val="16"/>
          <w:szCs w:val="16"/>
          <w:color w:val="auto"/>
        </w:rPr>
        <w:t xml:space="preserve"> segment where growth reached 37% explained mainly by insurance policies related to the Inter-Oceanic-Road project between Perú and Brasil.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Bottom line results of PPS were also significantly better in 1Q06, having turned around its results from 4Q05 of US$ -3.74 million to US$ 0.05 million in 1Q06.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1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 xml:space="preserve">Total premiums collected dropped 5.4% YoY, since a major government entity failed to renew its insurance policy in March 2005. On the other hand, </w:t>
      </w:r>
      <w:r>
        <w:rPr>
          <w:rFonts w:ascii="Arial" w:cs="Arial" w:eastAsia="Arial" w:hAnsi="Arial"/>
          <w:sz w:val="18"/>
          <w:szCs w:val="18"/>
          <w:i w:val="1"/>
          <w:iCs w:val="1"/>
          <w:color w:val="auto"/>
        </w:rPr>
        <w:t>Seguro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Complementario por Trabajo de Riesgo </w:t>
      </w:r>
      <w:r>
        <w:rPr>
          <w:rFonts w:ascii="Arial" w:cs="Arial" w:eastAsia="Arial" w:hAnsi="Arial"/>
          <w:sz w:val="18"/>
          <w:szCs w:val="18"/>
          <w:color w:val="auto"/>
        </w:rPr>
        <w:t>(SCTR) grew 21% YoY, but with no significant effect on total premiums since it only accounts for 7% of these. On a</w:t>
      </w:r>
      <w:r>
        <w:rPr>
          <w:rFonts w:ascii="Arial" w:cs="Arial" w:eastAsia="Arial" w:hAnsi="Arial"/>
          <w:sz w:val="18"/>
          <w:szCs w:val="18"/>
          <w:i w:val="1"/>
          <w:iCs w:val="1"/>
          <w:color w:val="auto"/>
        </w:rPr>
        <w:t xml:space="preserve"> </w:t>
      </w:r>
      <w:r>
        <w:rPr>
          <w:rFonts w:ascii="Arial" w:cs="Arial" w:eastAsia="Arial" w:hAnsi="Arial"/>
          <w:sz w:val="18"/>
          <w:szCs w:val="18"/>
          <w:color w:val="auto"/>
        </w:rPr>
        <w:t>QoQ comparison, total premiums dropped 4%, but the cost of services rendered dropped further reaching an 8.4% reduction. This is the result of a significant improvement in the net earned loss ratio over the year, dropping from 85% in 1Q05 to 74.5% in 1Q06, following major cost controls imposed on service providers. This led to a significant improvement in bottom line results for this segment for 1Q06, which turned positive after constant losses throughout 2005, reaching net earnings of US$ 1.43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(PV)</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first quarter of the current year, total premiums grew 22% YoY. Growth was mainly concentrated in Rentas Vitalicias, which represented 42% of total income for PV, followed by Vida Individual and AFP.</w:t>
      </w:r>
    </w:p>
    <w:p>
      <w:pPr>
        <w:spacing w:after="0" w:line="19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However, higher earnings resulting from this growth were partially offset by the need of higher reserves for losses. Thus, net earnings were similar to earnings reported for 1Q05 reaching US$ 2.35 million, and lower than the extraordinarily high US$ 9.2 million reported in 4Q05, which benefited from significant financial income realized that quarter and even more significant accounting corrections related to the booking of commissions paid for new insurance contracts that were charged in an accelerated manner in the past and were reversed.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VI. 4 Claims</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Although the volume of claims has been smaller this quarter with respect to 4Q05, it has increased 18% as opposed to 1Q05. The greater volume is explained by increased reserves for claims in </w:t>
      </w:r>
      <w:r>
        <w:rPr>
          <w:rFonts w:ascii="Arial" w:cs="Arial" w:eastAsia="Arial" w:hAnsi="Arial"/>
          <w:sz w:val="18"/>
          <w:szCs w:val="18"/>
          <w:b w:val="1"/>
          <w:bCs w:val="1"/>
          <w:color w:val="auto"/>
        </w:rPr>
        <w:t>PV</w:t>
      </w:r>
      <w:r>
        <w:rPr>
          <w:rFonts w:ascii="Arial" w:cs="Arial" w:eastAsia="Arial" w:hAnsi="Arial"/>
          <w:sz w:val="18"/>
          <w:szCs w:val="18"/>
          <w:color w:val="auto"/>
        </w:rPr>
        <w:t>, due to: (i) a greater portfolio that requires additional reserves and (ii) a reduction in the regulatory discount rate used for the calculation of such reserves.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ind w:right="40"/>
        <w:spacing w:after="0" w:line="275" w:lineRule="auto"/>
        <w:rPr>
          <w:sz w:val="20"/>
          <w:szCs w:val="20"/>
          <w:color w:val="auto"/>
        </w:rPr>
      </w:pPr>
      <w:r>
        <w:rPr>
          <w:rFonts w:ascii="Arial" w:cs="Arial" w:eastAsia="Arial" w:hAnsi="Arial"/>
          <w:sz w:val="18"/>
          <w:szCs w:val="18"/>
          <w:color w:val="auto"/>
        </w:rPr>
        <w:t xml:space="preserve">On the other hand, severe claims (technical, transports and fires) were registered in </w:t>
      </w:r>
      <w:r>
        <w:rPr>
          <w:rFonts w:ascii="Arial" w:cs="Arial" w:eastAsia="Arial" w:hAnsi="Arial"/>
          <w:sz w:val="18"/>
          <w:szCs w:val="18"/>
          <w:b w:val="1"/>
          <w:bCs w:val="1"/>
          <w:color w:val="auto"/>
        </w:rPr>
        <w:t>PPS</w:t>
      </w:r>
      <w:r>
        <w:rPr>
          <w:rFonts w:ascii="Arial" w:cs="Arial" w:eastAsia="Arial" w:hAnsi="Arial"/>
          <w:sz w:val="18"/>
          <w:szCs w:val="18"/>
          <w:color w:val="auto"/>
        </w:rPr>
        <w:t>, which did not allow the company to reach better results from this branch in 1Q06.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EPS</w:t>
      </w:r>
      <w:r>
        <w:rPr>
          <w:rFonts w:ascii="Arial" w:cs="Arial" w:eastAsia="Arial" w:hAnsi="Arial"/>
          <w:sz w:val="18"/>
          <w:szCs w:val="18"/>
          <w:color w:val="auto"/>
        </w:rPr>
        <w:t xml:space="preserve"> showed better net earned loss ratio in the quarter, reaching 74.5% with 15% less claims with respect to last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VI.5 Investment Portfolio</w:t>
      </w:r>
    </w:p>
    <w:p>
      <w:pPr>
        <w:spacing w:after="0" w:line="22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Financial income reached US$11.8 million, which reflects a 35% increase QoQ, as a result of an expanded investment portfolio –which in turn grew 24%-, principally at PV, and the increase in Libor rates for short term investments at PPS. In addition, recent foreign exchange volatility generated a gain in the portfolio valuation.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Asset management portfolio reached US$677 million as of March 31, 2006, which compares to US$ 547 million at the end of March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VI.6 Market Share</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poor 2005 results for PPS also include a deterioration in market share. During that year PPS lost some percentage points of market share, a situation which has not yet been turned around, though some improvements in business management are already evident.</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total market for </w:t>
      </w:r>
      <w:r>
        <w:rPr>
          <w:rFonts w:ascii="Arial" w:cs="Arial" w:eastAsia="Arial" w:hAnsi="Arial"/>
          <w:sz w:val="18"/>
          <w:szCs w:val="18"/>
          <w:i w:val="1"/>
          <w:iCs w:val="1"/>
          <w:color w:val="auto"/>
        </w:rPr>
        <w:t>Property &amp; Casualty and Life</w:t>
      </w:r>
      <w:r>
        <w:rPr>
          <w:rFonts w:ascii="Arial" w:cs="Arial" w:eastAsia="Arial" w:hAnsi="Arial"/>
          <w:sz w:val="18"/>
          <w:szCs w:val="18"/>
          <w:color w:val="auto"/>
        </w:rPr>
        <w:t xml:space="preserve"> insurance reached an accumulated premium volume of US$ 300.5 million for 1Q06, which is 23.1% higher than premiums for 1Q05. However, market shares for PPS and PV averaged 24.7% compared to 26.2% a year ago, with both sectors losing around 1.5% in market share with property &amp; casualty at PPS reaching 26.3% and life at PV 22.8%.</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health insurance business at </w:t>
      </w:r>
      <w:r>
        <w:rPr>
          <w:rFonts w:ascii="Arial" w:cs="Arial" w:eastAsia="Arial" w:hAnsi="Arial"/>
          <w:sz w:val="18"/>
          <w:szCs w:val="18"/>
          <w:i w:val="1"/>
          <w:iCs w:val="1"/>
          <w:color w:val="auto"/>
        </w:rPr>
        <w:t>Empresas Prestadoras de Salud (EPS)</w:t>
      </w:r>
      <w:r>
        <w:rPr>
          <w:rFonts w:ascii="Arial" w:cs="Arial" w:eastAsia="Arial" w:hAnsi="Arial"/>
          <w:sz w:val="18"/>
          <w:szCs w:val="18"/>
          <w:color w:val="auto"/>
        </w:rPr>
        <w:t xml:space="preserve"> reached total premiums 1Q06 of US$33.5 million, reflecting a 4.9% growth YoY. Market share for Pacífico EPS was 56.3%.</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ECONOMIC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1"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 xml:space="preserve">Growing at a slightly slower pace, in January and February Peru’s economy grew below 5.0%. However, because the loss of pace is more gradual than in previous economic cycles, annual growth will certainly exceed 4.0%. Growth in recent months was mainly driven by the construction industry that gathered momentum not just by government-sponsored housing projects such as </w:t>
      </w:r>
      <w:r>
        <w:rPr>
          <w:rFonts w:ascii="Arial" w:cs="Arial" w:eastAsia="Arial" w:hAnsi="Arial"/>
          <w:sz w:val="16"/>
          <w:szCs w:val="16"/>
          <w:i w:val="1"/>
          <w:iCs w:val="1"/>
          <w:color w:val="auto"/>
        </w:rPr>
        <w:t>Techo Propio</w:t>
      </w:r>
      <w:r>
        <w:rPr>
          <w:rFonts w:ascii="Arial" w:cs="Arial" w:eastAsia="Arial" w:hAnsi="Arial"/>
          <w:sz w:val="16"/>
          <w:szCs w:val="16"/>
          <w:color w:val="auto"/>
        </w:rPr>
        <w:t xml:space="preserve"> and </w:t>
      </w:r>
      <w:r>
        <w:rPr>
          <w:rFonts w:ascii="Arial" w:cs="Arial" w:eastAsia="Arial" w:hAnsi="Arial"/>
          <w:sz w:val="16"/>
          <w:szCs w:val="16"/>
          <w:i w:val="1"/>
          <w:iCs w:val="1"/>
          <w:color w:val="auto"/>
        </w:rPr>
        <w:t>Miviviend</w:t>
      </w:r>
      <w:r>
        <w:rPr>
          <w:rFonts w:ascii="Arial" w:cs="Arial" w:eastAsia="Arial" w:hAnsi="Arial"/>
          <w:sz w:val="16"/>
          <w:szCs w:val="16"/>
          <w:color w:val="auto"/>
        </w:rPr>
        <w:t xml:space="preserve">a, or independent house starts, but also by ongoing infrastructure works such as the </w:t>
      </w:r>
      <w:r>
        <w:rPr>
          <w:rFonts w:ascii="Arial" w:cs="Arial" w:eastAsia="Arial" w:hAnsi="Arial"/>
          <w:sz w:val="16"/>
          <w:szCs w:val="16"/>
          <w:i w:val="1"/>
          <w:iCs w:val="1"/>
          <w:color w:val="auto"/>
        </w:rPr>
        <w:t>Grau</w:t>
      </w:r>
      <w:r>
        <w:rPr>
          <w:rFonts w:ascii="Arial" w:cs="Arial" w:eastAsia="Arial" w:hAnsi="Arial"/>
          <w:sz w:val="16"/>
          <w:szCs w:val="16"/>
          <w:color w:val="auto"/>
        </w:rPr>
        <w:t xml:space="preserve"> Expressway and the </w:t>
      </w:r>
      <w:r>
        <w:rPr>
          <w:rFonts w:ascii="Arial" w:cs="Arial" w:eastAsia="Arial" w:hAnsi="Arial"/>
          <w:sz w:val="16"/>
          <w:szCs w:val="16"/>
          <w:i w:val="1"/>
          <w:iCs w:val="1"/>
          <w:color w:val="auto"/>
        </w:rPr>
        <w:t>Atocongo-Conchan</w:t>
      </w:r>
      <w:r>
        <w:rPr>
          <w:rFonts w:ascii="Arial" w:cs="Arial" w:eastAsia="Arial" w:hAnsi="Arial"/>
          <w:sz w:val="16"/>
          <w:szCs w:val="16"/>
          <w:color w:val="auto"/>
        </w:rPr>
        <w:t xml:space="preserve"> Ecological Beltway. Domestic demand continues to strengthen and investment continues to drive growth along with exports fueled by unforeseen record mineral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Domestic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(Annually-adjusted percentile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144145</wp:posOffset>
            </wp:positionV>
            <wp:extent cx="1646555" cy="1080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655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of February, the annually-adjusted trade surplus had reached US$ 5,210 million, compared to US$ 5,163 million at year-end 2005. Meanwhile, export patterns deserve careful scrutiny. At an annually adjusted 33.4% growth rate, they show no sign of slowing down fueled by high international mineral prices. Non-traditional exports slowed significantly, in particular fisheries and machine-tooling goods. Stronger domestic demand on the other hand has driven import growth at a strong annual 22.4% with capital goods’ imports so far this year as the most dynamic import component, especially for the construction industry. Imports of farm equipment slowed down. Foreign currency reserves continue to grow, to almost US$ 14.5 billion in March (US$ 14.1 billion at year-end 2005).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 and Imports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(Annually-adjusted percentile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148590</wp:posOffset>
            </wp:positionV>
            <wp:extent cx="1766570" cy="977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6657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Prices and exchange rate</w:t>
      </w:r>
    </w:p>
    <w:p>
      <w:pPr>
        <w:spacing w:after="0" w:line="2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Cumulative inflation for the first three months of 2006 reached 1.51%, slightly more than 1.49% recorded throughout 2005. However, in annual terms, at 2.5%, inflation remains within the range estimated by the Central Bank. Greater inflation results from tight supply of farm produce, although a certain rise in typically less volatile manufactured food products —such as bread and sugar— is also apparent. The exchange rate has shown a slightly erratic behavior. After the devaluation at the end of 2005 and in January and February, a certain correction was noted. Another increase took place at the end of March, as the Presidential Election Day on April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drew nearer. At the end of 1Q06 the exchange rate was S/. 3.35 to the US dollar.</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Consumer Price Indexes and Exchange Rate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(Annually adjusted percentile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951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090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Government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of New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144145</wp:posOffset>
            </wp:positionV>
            <wp:extent cx="2143760" cy="11061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4376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current administration has steadily reduced the central government’s deficit. At the end of February, the 12-month cumulative deficit reached S/. 812 million, or 0.3% of GDP (0.7% at the end of 2005). This has been principally due to greater tax revenues that reached 14.0% of GDP in 1Q06, fueled by good international prices, more severe taxpayer audits and steady economic growth. Furthermore, during the last three months, public expenditure increased, especially in capital investments needed to fuel the economy in regions in Peru not sufficiently attractive to private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As of February, direct loans by commercial banks reached US$13 billion or a 17.6% increase year over year, mainly accounted for by greater consumer credits (+28.3%) and home mortgage loans (+21.9%), even though commercial and small business loans for certain sectors, such as financial intermediation (+61.9%), real estate (+30.5%) and electricity, gas and water (+30.3%) grew faster than average direct loans.</w:t>
      </w:r>
    </w:p>
    <w:p>
      <w:pPr>
        <w:spacing w:after="0" w:line="16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During the same period, loans in dollars increased 7.1%, while those in soles rose 50.4%, reflecting a significant de-dollarization of credit due to a highly volatile exchange rate and greater momentum of loans in Peruvian soles, as the case for the </w:t>
      </w:r>
      <w:r>
        <w:rPr>
          <w:rFonts w:ascii="Arial" w:cs="Arial" w:eastAsia="Arial" w:hAnsi="Arial"/>
          <w:sz w:val="16"/>
          <w:szCs w:val="16"/>
          <w:i w:val="1"/>
          <w:iCs w:val="1"/>
          <w:color w:val="auto"/>
        </w:rPr>
        <w:t>Mivivienda</w:t>
      </w:r>
      <w:r>
        <w:rPr>
          <w:rFonts w:ascii="Arial" w:cs="Arial" w:eastAsia="Arial" w:hAnsi="Arial"/>
          <w:sz w:val="16"/>
          <w:szCs w:val="16"/>
          <w:color w:val="auto"/>
        </w:rPr>
        <w:t xml:space="preserve"> housing projects. (Loans in dollars dropped from 75.8% of the total in February 2005, to 69.1% in February 2006). Although in recent months the exchange rate for the national currency seemed to rise slightly, the banks’ lending rate in Peruvian soles in 1Q06 stood at 24.3% (26.2% in 1Q05), while the lending rate in dollars reached 10.6% (9.6% for 1Q05).</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February, deposits had reached US$ 16,369 MM, or an annual growth rate of 16.3% since a year ago. During this period, dollar-denominated deposits rose from 53.9% to 55.6% while fears of devaluation spurred demand for dollars. In this period, the rates paid by banks in local currency increased from 2.5% to 3.0%, while the corresponding rate in dollars went from 1.4% to 2.0%.</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Principal Economic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2004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54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592"/>
              <w:spacing w:after="0"/>
              <w:rPr>
                <w:sz w:val="20"/>
                <w:szCs w:val="20"/>
                <w:color w:val="auto"/>
              </w:rPr>
            </w:pPr>
            <w:r>
              <w:rPr>
                <w:rFonts w:ascii="Arial" w:cs="Arial" w:eastAsia="Arial" w:hAnsi="Arial"/>
                <w:sz w:val="14"/>
                <w:szCs w:val="14"/>
                <w:b w:val="1"/>
                <w:bCs w:val="1"/>
                <w:color w:val="auto"/>
              </w:rPr>
              <w:t>IQ</w:t>
            </w:r>
          </w:p>
        </w:tc>
        <w:tc>
          <w:tcPr>
            <w:tcW w:w="1120" w:type="dxa"/>
            <w:vAlign w:val="bottom"/>
          </w:tcPr>
          <w:p>
            <w:pPr>
              <w:jc w:val="right"/>
              <w:ind w:right="552"/>
              <w:spacing w:after="0"/>
              <w:rPr>
                <w:sz w:val="20"/>
                <w:szCs w:val="20"/>
                <w:color w:val="auto"/>
              </w:rPr>
            </w:pPr>
            <w:r>
              <w:rPr>
                <w:rFonts w:ascii="Arial" w:cs="Arial" w:eastAsia="Arial" w:hAnsi="Arial"/>
                <w:sz w:val="14"/>
                <w:szCs w:val="14"/>
                <w:b w:val="1"/>
                <w:bCs w:val="1"/>
                <w:color w:val="auto"/>
              </w:rPr>
              <w:t>IIQ</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IIIQ</w:t>
            </w: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IVQ</w:t>
            </w: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Year</w:t>
            </w: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IQ</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(US$ MM)</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68,670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18,246</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20,757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19,380</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20,050</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78,433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Real GDP (annual change,%)</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4.8</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6.4</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6.2</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7.7</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6.7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GDP Per-capita (US$)</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2,504</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2,587</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2,685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2,762</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2,813</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2,813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2,834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Domestic demand (annual change,%)</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3.9</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6.1</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6.7</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5.7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Consumption (annual change,%)</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3.4</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4.4</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4.5</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4.4</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Private Investment (annual change,%)</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6.5</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13.4</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13.9</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CPI (annual change,%)</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3.5</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1.1</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1.5</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Exchange rate, eop (S/. / US$)</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3.28</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3.25</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3.34</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3.43</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Devaluation (annual change,%)</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-5.2</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-6.3</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0.1</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4.5</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4.5</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Exchange rate, average (S/. / US$)</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3.41</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3.26</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3.29</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3.41</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3.30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Fiscal balance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-1.1</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2.2</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-0.6</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-0.4</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Revenues (% of GDP)</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15.1</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15.7</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16.6</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15.5</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15.6</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15.9</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 Income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13.3</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14.6</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13.2</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13.3</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13.7</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860"/>
              <w:spacing w:after="0" w:line="149" w:lineRule="exact"/>
              <w:rPr>
                <w:sz w:val="20"/>
                <w:szCs w:val="20"/>
                <w:color w:val="auto"/>
              </w:rPr>
            </w:pPr>
            <w:r>
              <w:rPr>
                <w:rFonts w:ascii="Arial" w:cs="Arial" w:eastAsia="Arial" w:hAnsi="Arial"/>
                <w:sz w:val="14"/>
                <w:szCs w:val="14"/>
                <w:color w:val="auto"/>
              </w:rPr>
              <w:t>Non-tax income (% of GDP)</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1.8</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1.9</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2.1</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Expenditure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14.6</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13.9</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12.9</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15.4</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17.0</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14.8</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 (% of GDP)</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2.2</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3.0</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4.7</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 Balance (US$ MM)</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2,793</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1,090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1,030</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1,367</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1,676</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5,163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ind w:left="420"/>
              <w:spacing w:after="0" w:line="149" w:lineRule="exact"/>
              <w:rPr>
                <w:sz w:val="20"/>
                <w:szCs w:val="20"/>
                <w:color w:val="auto"/>
              </w:rPr>
            </w:pPr>
            <w:r>
              <w:rPr>
                <w:rFonts w:ascii="Arial" w:cs="Arial" w:eastAsia="Arial" w:hAnsi="Arial"/>
                <w:sz w:val="14"/>
                <w:szCs w:val="14"/>
                <w:color w:val="auto"/>
              </w:rPr>
              <w:t>Exports (US$ MM)</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12,617</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3,749</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4,052</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4,523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4,924</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17,247</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Imports (US$ MM)</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9,824</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2,658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3,022</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3,156</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3,248</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12,084</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Current Account (US$ MM)</w:t>
            </w:r>
          </w:p>
        </w:tc>
        <w:tc>
          <w:tcPr>
            <w:tcW w:w="154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-10</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141</w:t>
            </w:r>
          </w:p>
        </w:tc>
        <w:tc>
          <w:tcPr>
            <w:tcW w:w="11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143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383</w:t>
            </w:r>
          </w:p>
        </w:tc>
        <w:tc>
          <w:tcPr>
            <w:tcW w:w="11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363</w:t>
            </w:r>
          </w:p>
        </w:tc>
        <w:tc>
          <w:tcPr>
            <w:tcW w:w="11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1,030</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Account (% of GDP)</w:t>
            </w:r>
          </w:p>
        </w:tc>
        <w:tc>
          <w:tcPr>
            <w:tcW w:w="15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0.0</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0.8</w:t>
            </w:r>
          </w:p>
        </w:tc>
        <w:tc>
          <w:tcPr>
            <w:tcW w:w="11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0.7</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2.0</w:t>
            </w:r>
          </w:p>
        </w:tc>
        <w:tc>
          <w:tcPr>
            <w:tcW w:w="11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1.8</w:t>
            </w:r>
          </w:p>
        </w:tc>
        <w:tc>
          <w:tcPr>
            <w:tcW w:w="11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1.3</w:t>
            </w: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4"/>
                <w:szCs w:val="14"/>
                <w:color w:val="auto"/>
              </w:rPr>
              <w:t>International Net Reserves (US$ MM)</w:t>
            </w:r>
          </w:p>
        </w:tc>
        <w:tc>
          <w:tcPr>
            <w:tcW w:w="1540" w:type="dxa"/>
            <w:vAlign w:val="bottom"/>
          </w:tcPr>
          <w:p>
            <w:pPr>
              <w:jc w:val="right"/>
              <w:ind w:right="232"/>
              <w:spacing w:after="0"/>
              <w:rPr>
                <w:sz w:val="20"/>
                <w:szCs w:val="20"/>
                <w:color w:val="auto"/>
              </w:rPr>
            </w:pPr>
            <w:r>
              <w:rPr>
                <w:rFonts w:ascii="Arial" w:cs="Arial" w:eastAsia="Arial" w:hAnsi="Arial"/>
                <w:sz w:val="14"/>
                <w:szCs w:val="14"/>
                <w:b w:val="1"/>
                <w:bCs w:val="1"/>
                <w:color w:val="auto"/>
              </w:rPr>
              <w:t>12,631</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13,555</w:t>
            </w: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13,818</w:t>
            </w:r>
          </w:p>
        </w:tc>
        <w:tc>
          <w:tcPr>
            <w:tcW w:w="1160" w:type="dxa"/>
            <w:vAlign w:val="bottom"/>
          </w:tcPr>
          <w:p>
            <w:pPr>
              <w:jc w:val="right"/>
              <w:ind w:right="212"/>
              <w:spacing w:after="0"/>
              <w:rPr>
                <w:sz w:val="20"/>
                <w:szCs w:val="20"/>
                <w:color w:val="auto"/>
              </w:rPr>
            </w:pPr>
            <w:r>
              <w:rPr>
                <w:rFonts w:ascii="Arial" w:cs="Arial" w:eastAsia="Arial" w:hAnsi="Arial"/>
                <w:sz w:val="14"/>
                <w:szCs w:val="14"/>
                <w:color w:val="auto"/>
              </w:rPr>
              <w:t>13,695</w:t>
            </w:r>
          </w:p>
        </w:tc>
        <w:tc>
          <w:tcPr>
            <w:tcW w:w="1140" w:type="dxa"/>
            <w:vAlign w:val="bottom"/>
          </w:tcPr>
          <w:p>
            <w:pPr>
              <w:jc w:val="right"/>
              <w:ind w:right="212"/>
              <w:spacing w:after="0"/>
              <w:rPr>
                <w:sz w:val="20"/>
                <w:szCs w:val="20"/>
                <w:color w:val="auto"/>
              </w:rPr>
            </w:pPr>
            <w:r>
              <w:rPr>
                <w:rFonts w:ascii="Arial" w:cs="Arial" w:eastAsia="Arial" w:hAnsi="Arial"/>
                <w:sz w:val="14"/>
                <w:szCs w:val="14"/>
                <w:color w:val="auto"/>
              </w:rPr>
              <w:t>14,097</w:t>
            </w: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14,097</w:t>
            </w: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14,472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BCR, INEI, BCP est.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Funds and Private Pension System</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amount of funds in the private pension system reached S/. 34,175 million, greater than the S/. 32,574 registered for the December 2005 year end. The Type 2 Fund earned nominal returns of 20.67% and actual returns of 17.50% in the twelve months to February 2006. Total private pension system members as of March 31, 2006 hit 3.7 million.</w:t>
      </w:r>
    </w:p>
    <w:p>
      <w:pPr>
        <w:spacing w:after="0" w:line="19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the first quarter of 2006 the total equity of the mutual funds increased to S/. 2,062.9 million, 3.28% more than the S/.1,997.3 million registered last December. Total members increased by 125,815, more than the 115,447 participants as of December 2005.</w:t>
      </w:r>
    </w:p>
    <w:p>
      <w:pPr>
        <w:spacing w:after="0" w:line="1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3" w:name="page24"/>
    <w:bookmarkEnd w:id="2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Company Description:</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 as of the period ended December 31, 2005, it contributed 97.0% of Credicorp’s total revenues.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92"/>
              </w:rPr>
              <w:t>31-Mar</w:t>
            </w:r>
          </w:p>
        </w:tc>
        <w:tc>
          <w:tcPr>
            <w:tcW w:w="1320" w:type="dxa"/>
            <w:vAlign w:val="bottom"/>
          </w:tcPr>
          <w:p>
            <w:pPr>
              <w:jc w:val="center"/>
              <w:ind w:right="332"/>
              <w:spacing w:after="0"/>
              <w:rPr>
                <w:sz w:val="20"/>
                <w:szCs w:val="20"/>
                <w:color w:val="auto"/>
              </w:rPr>
            </w:pPr>
            <w:r>
              <w:rPr>
                <w:rFonts w:ascii="Arial" w:cs="Arial" w:eastAsia="Arial" w:hAnsi="Arial"/>
                <w:sz w:val="14"/>
                <w:szCs w:val="14"/>
                <w:b w:val="1"/>
                <w:bCs w:val="1"/>
                <w:color w:val="auto"/>
                <w:w w:val="87"/>
              </w:rPr>
              <w:t>31-Dec</w:t>
            </w: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97"/>
              </w:rPr>
              <w:t>31-Mar</w:t>
            </w:r>
          </w:p>
        </w:tc>
        <w:tc>
          <w:tcPr>
            <w:tcW w:w="146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83"/>
              </w:rPr>
              <w:t>2006</w:t>
            </w:r>
          </w:p>
        </w:tc>
        <w:tc>
          <w:tcPr>
            <w:tcW w:w="1320" w:type="dxa"/>
            <w:vAlign w:val="bottom"/>
          </w:tcPr>
          <w:p>
            <w:pPr>
              <w:jc w:val="center"/>
              <w:ind w:right="332"/>
              <w:spacing w:after="0"/>
              <w:rPr>
                <w:sz w:val="20"/>
                <w:szCs w:val="20"/>
                <w:color w:val="auto"/>
              </w:rPr>
            </w:pPr>
            <w:r>
              <w:rPr>
                <w:rFonts w:ascii="Arial" w:cs="Arial" w:eastAsia="Arial" w:hAnsi="Arial"/>
                <w:sz w:val="14"/>
                <w:szCs w:val="14"/>
                <w:b w:val="1"/>
                <w:bCs w:val="1"/>
                <w:color w:val="auto"/>
                <w:w w:val="89"/>
              </w:rPr>
              <w:t>2005</w:t>
            </w: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2005</w:t>
            </w:r>
          </w:p>
        </w:tc>
        <w:tc>
          <w:tcPr>
            <w:tcW w:w="1460" w:type="dxa"/>
            <w:vAlign w:val="bottom"/>
          </w:tcPr>
          <w:p>
            <w:pPr>
              <w:jc w:val="right"/>
              <w:ind w:right="352"/>
              <w:spacing w:after="0"/>
              <w:rPr>
                <w:sz w:val="20"/>
                <w:szCs w:val="20"/>
                <w:color w:val="auto"/>
              </w:rPr>
            </w:pPr>
            <w:r>
              <w:rPr>
                <w:rFonts w:ascii="Arial" w:cs="Arial" w:eastAsia="Arial" w:hAnsi="Arial"/>
                <w:sz w:val="14"/>
                <w:szCs w:val="14"/>
                <w:b w:val="1"/>
                <w:bCs w:val="1"/>
                <w:color w:val="auto"/>
              </w:rPr>
              <w:t>Mar.06/Mar.05</w:t>
            </w:r>
          </w:p>
        </w:tc>
        <w:tc>
          <w:tcPr>
            <w:tcW w:w="1300" w:type="dxa"/>
            <w:vAlign w:val="bottom"/>
          </w:tcPr>
          <w:p>
            <w:pPr>
              <w:jc w:val="right"/>
              <w:ind w:right="252"/>
              <w:spacing w:after="0"/>
              <w:rPr>
                <w:sz w:val="20"/>
                <w:szCs w:val="20"/>
                <w:color w:val="auto"/>
              </w:rPr>
            </w:pPr>
            <w:r>
              <w:rPr>
                <w:rFonts w:ascii="Arial" w:cs="Arial" w:eastAsia="Arial" w:hAnsi="Arial"/>
                <w:sz w:val="14"/>
                <w:szCs w:val="14"/>
                <w:b w:val="1"/>
                <w:bCs w:val="1"/>
                <w:color w:val="auto"/>
              </w:rPr>
              <w:t>Mar.06/Dec.05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US$000</w:t>
            </w:r>
          </w:p>
        </w:tc>
        <w:tc>
          <w:tcPr>
            <w:tcW w:w="1320" w:type="dxa"/>
            <w:vAlign w:val="bottom"/>
          </w:tcPr>
          <w:p>
            <w:pPr>
              <w:jc w:val="center"/>
              <w:ind w:right="332"/>
              <w:spacing w:after="0"/>
              <w:rPr>
                <w:sz w:val="20"/>
                <w:szCs w:val="20"/>
                <w:color w:val="auto"/>
              </w:rPr>
            </w:pPr>
            <w:r>
              <w:rPr>
                <w:rFonts w:ascii="Arial" w:cs="Arial" w:eastAsia="Arial" w:hAnsi="Arial"/>
                <w:sz w:val="14"/>
                <w:szCs w:val="14"/>
                <w:b w:val="1"/>
                <w:bCs w:val="1"/>
                <w:color w:val="auto"/>
                <w:w w:val="86"/>
              </w:rPr>
              <w:t>US$000</w:t>
            </w:r>
          </w:p>
        </w:tc>
        <w:tc>
          <w:tcPr>
            <w:tcW w:w="128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US$000</w:t>
            </w: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300" w:type="dxa"/>
            <w:vAlign w:val="bottom"/>
            <w:shd w:val="clear" w:color="auto" w:fill="CCEEFF"/>
          </w:tcPr>
          <w:p>
            <w:pPr>
              <w:ind w:left="1680"/>
              <w:spacing w:after="0" w:line="149" w:lineRule="exact"/>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3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Non-interest bearing</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334,670</w:t>
            </w:r>
          </w:p>
        </w:tc>
        <w:tc>
          <w:tcPr>
            <w:tcW w:w="13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363,213</w:t>
            </w:r>
          </w:p>
        </w:tc>
        <w:tc>
          <w:tcPr>
            <w:tcW w:w="1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338,349</w:t>
            </w:r>
          </w:p>
        </w:tc>
        <w:tc>
          <w:tcPr>
            <w:tcW w:w="1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00" w:type="dxa"/>
            <w:vAlign w:val="bottom"/>
          </w:tcPr>
          <w:p>
            <w:pPr>
              <w:ind w:left="80"/>
              <w:spacing w:after="0"/>
              <w:rPr>
                <w:sz w:val="20"/>
                <w:szCs w:val="20"/>
                <w:color w:val="auto"/>
              </w:rPr>
            </w:pPr>
            <w:r>
              <w:rPr>
                <w:rFonts w:ascii="Arial" w:cs="Arial" w:eastAsia="Arial" w:hAnsi="Arial"/>
                <w:sz w:val="14"/>
                <w:szCs w:val="14"/>
                <w:color w:val="auto"/>
              </w:rPr>
              <w:t>Interest bearing</w:t>
            </w:r>
          </w:p>
        </w:tc>
        <w:tc>
          <w:tcPr>
            <w:tcW w:w="1400" w:type="dxa"/>
            <w:vAlign w:val="bottom"/>
          </w:tcPr>
          <w:p>
            <w:pPr>
              <w:jc w:val="right"/>
              <w:ind w:right="172"/>
              <w:spacing w:after="0"/>
              <w:rPr>
                <w:sz w:val="20"/>
                <w:szCs w:val="20"/>
                <w:color w:val="auto"/>
              </w:rPr>
            </w:pPr>
            <w:r>
              <w:rPr>
                <w:rFonts w:ascii="Arial" w:cs="Arial" w:eastAsia="Arial" w:hAnsi="Arial"/>
                <w:sz w:val="14"/>
                <w:szCs w:val="14"/>
                <w:color w:val="auto"/>
              </w:rPr>
              <w:t>2,818,758</w:t>
            </w:r>
          </w:p>
        </w:tc>
        <w:tc>
          <w:tcPr>
            <w:tcW w:w="1320" w:type="dxa"/>
            <w:vAlign w:val="bottom"/>
          </w:tcPr>
          <w:p>
            <w:pPr>
              <w:jc w:val="right"/>
              <w:ind w:right="212"/>
              <w:spacing w:after="0"/>
              <w:rPr>
                <w:sz w:val="20"/>
                <w:szCs w:val="20"/>
                <w:color w:val="auto"/>
              </w:rPr>
            </w:pPr>
            <w:r>
              <w:rPr>
                <w:rFonts w:ascii="Arial" w:cs="Arial" w:eastAsia="Arial" w:hAnsi="Arial"/>
                <w:sz w:val="14"/>
                <w:szCs w:val="14"/>
                <w:color w:val="auto"/>
              </w:rPr>
              <w:t>2,297,602</w:t>
            </w: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1,423,978</w:t>
            </w:r>
          </w:p>
        </w:tc>
        <w:tc>
          <w:tcPr>
            <w:tcW w:w="1460" w:type="dxa"/>
            <w:vAlign w:val="bottom"/>
          </w:tcPr>
          <w:p>
            <w:pPr>
              <w:jc w:val="right"/>
              <w:ind w:right="72"/>
              <w:spacing w:after="0"/>
              <w:rPr>
                <w:sz w:val="20"/>
                <w:szCs w:val="20"/>
                <w:color w:val="auto"/>
              </w:rPr>
            </w:pPr>
            <w:r>
              <w:rPr>
                <w:rFonts w:ascii="Arial" w:cs="Arial" w:eastAsia="Arial" w:hAnsi="Arial"/>
                <w:sz w:val="14"/>
                <w:szCs w:val="14"/>
                <w:color w:val="auto"/>
              </w:rPr>
              <w:t>97.9%</w:t>
            </w:r>
          </w:p>
        </w:tc>
        <w:tc>
          <w:tcPr>
            <w:tcW w:w="1300" w:type="dxa"/>
            <w:vAlign w:val="bottom"/>
          </w:tcPr>
          <w:p>
            <w:pPr>
              <w:jc w:val="right"/>
              <w:spacing w:after="0"/>
              <w:rPr>
                <w:sz w:val="20"/>
                <w:szCs w:val="20"/>
                <w:color w:val="auto"/>
              </w:rPr>
            </w:pPr>
            <w:r>
              <w:rPr>
                <w:rFonts w:ascii="Arial" w:cs="Arial" w:eastAsia="Arial" w:hAnsi="Arial"/>
                <w:sz w:val="14"/>
                <w:szCs w:val="14"/>
                <w:color w:val="auto"/>
              </w:rPr>
              <w:t>22.7%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30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300" w:type="dxa"/>
            <w:vAlign w:val="bottom"/>
            <w:shd w:val="clear" w:color="auto" w:fill="CCEEFF"/>
          </w:tcPr>
          <w:p>
            <w:pPr>
              <w:ind w:left="940"/>
              <w:spacing w:after="0" w:line="149" w:lineRule="exact"/>
              <w:rPr>
                <w:sz w:val="20"/>
                <w:szCs w:val="20"/>
                <w:color w:val="auto"/>
              </w:rPr>
            </w:pPr>
            <w:r>
              <w:rPr>
                <w:rFonts w:ascii="Arial" w:cs="Arial" w:eastAsia="Arial" w:hAnsi="Arial"/>
                <w:sz w:val="14"/>
                <w:szCs w:val="14"/>
                <w:color w:val="auto"/>
              </w:rPr>
              <w:t>Total cash and due from banks</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3,153,427</w:t>
            </w:r>
          </w:p>
        </w:tc>
        <w:tc>
          <w:tcPr>
            <w:tcW w:w="13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2,660,815</w:t>
            </w:r>
          </w:p>
        </w:tc>
        <w:tc>
          <w:tcPr>
            <w:tcW w:w="1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1,762,326</w:t>
            </w:r>
          </w:p>
        </w:tc>
        <w:tc>
          <w:tcPr>
            <w:tcW w:w="1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78.9%</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4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57,009</w:t>
            </w:r>
          </w:p>
        </w:tc>
        <w:tc>
          <w:tcPr>
            <w:tcW w:w="13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60,927</w:t>
            </w:r>
          </w:p>
        </w:tc>
        <w:tc>
          <w:tcPr>
            <w:tcW w:w="12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32,307</w:t>
            </w:r>
          </w:p>
        </w:tc>
        <w:tc>
          <w:tcPr>
            <w:tcW w:w="1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76.5%</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Loans</w:t>
            </w:r>
          </w:p>
        </w:tc>
        <w:tc>
          <w:tcPr>
            <w:tcW w:w="1400" w:type="dxa"/>
            <w:vAlign w:val="bottom"/>
            <w:shd w:val="clear" w:color="auto" w:fill="CCEEFF"/>
          </w:tcPr>
          <w:p>
            <w:pPr>
              <w:jc w:val="right"/>
              <w:ind w:right="172"/>
              <w:spacing w:after="0" w:line="135" w:lineRule="exact"/>
              <w:rPr>
                <w:sz w:val="20"/>
                <w:szCs w:val="20"/>
                <w:color w:val="auto"/>
              </w:rPr>
            </w:pPr>
            <w:r>
              <w:rPr>
                <w:rFonts w:ascii="Arial" w:cs="Arial" w:eastAsia="Arial" w:hAnsi="Arial"/>
                <w:sz w:val="14"/>
                <w:szCs w:val="14"/>
                <w:color w:val="auto"/>
              </w:rPr>
              <w:t>5,146,709</w:t>
            </w:r>
          </w:p>
        </w:tc>
        <w:tc>
          <w:tcPr>
            <w:tcW w:w="1320" w:type="dxa"/>
            <w:vAlign w:val="bottom"/>
            <w:shd w:val="clear" w:color="auto" w:fill="CCEEFF"/>
          </w:tcPr>
          <w:p>
            <w:pPr>
              <w:jc w:val="right"/>
              <w:ind w:right="212"/>
              <w:spacing w:after="0" w:line="135" w:lineRule="exact"/>
              <w:rPr>
                <w:sz w:val="20"/>
                <w:szCs w:val="20"/>
                <w:color w:val="auto"/>
              </w:rPr>
            </w:pPr>
            <w:r>
              <w:rPr>
                <w:rFonts w:ascii="Arial" w:cs="Arial" w:eastAsia="Arial" w:hAnsi="Arial"/>
                <w:sz w:val="14"/>
                <w:szCs w:val="14"/>
                <w:color w:val="auto"/>
              </w:rPr>
              <w:t>5,014,254</w:t>
            </w:r>
          </w:p>
        </w:tc>
        <w:tc>
          <w:tcPr>
            <w:tcW w:w="1280" w:type="dxa"/>
            <w:vAlign w:val="bottom"/>
            <w:shd w:val="clear" w:color="auto" w:fill="CCEEFF"/>
          </w:tcPr>
          <w:p>
            <w:pPr>
              <w:jc w:val="right"/>
              <w:ind w:right="112"/>
              <w:spacing w:after="0" w:line="135" w:lineRule="exact"/>
              <w:rPr>
                <w:sz w:val="20"/>
                <w:szCs w:val="20"/>
                <w:color w:val="auto"/>
              </w:rPr>
            </w:pPr>
            <w:r>
              <w:rPr>
                <w:rFonts w:ascii="Arial" w:cs="Arial" w:eastAsia="Arial" w:hAnsi="Arial"/>
                <w:sz w:val="14"/>
                <w:szCs w:val="14"/>
                <w:color w:val="auto"/>
              </w:rPr>
              <w:t>4,559,045</w:t>
            </w:r>
          </w:p>
        </w:tc>
        <w:tc>
          <w:tcPr>
            <w:tcW w:w="1460" w:type="dxa"/>
            <w:vAlign w:val="bottom"/>
            <w:shd w:val="clear" w:color="auto" w:fill="CCEEFF"/>
          </w:tcPr>
          <w:p>
            <w:pPr>
              <w:jc w:val="right"/>
              <w:ind w:right="72"/>
              <w:spacing w:after="0" w:line="135" w:lineRule="exact"/>
              <w:rPr>
                <w:sz w:val="20"/>
                <w:szCs w:val="20"/>
                <w:color w:val="auto"/>
              </w:rPr>
            </w:pPr>
            <w:r>
              <w:rPr>
                <w:rFonts w:ascii="Arial" w:cs="Arial" w:eastAsia="Arial" w:hAnsi="Arial"/>
                <w:sz w:val="14"/>
                <w:szCs w:val="14"/>
                <w:color w:val="auto"/>
              </w:rPr>
              <w:t>12.9%</w:t>
            </w:r>
          </w:p>
        </w:tc>
        <w:tc>
          <w:tcPr>
            <w:tcW w:w="13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300" w:type="dxa"/>
            <w:vAlign w:val="bottom"/>
            <w:tcBorders>
              <w:top w:val="single" w:sz="8" w:color="CCEEFF"/>
            </w:tcBorders>
          </w:tcPr>
          <w:p>
            <w:pPr>
              <w:spacing w:after="0"/>
              <w:rPr>
                <w:sz w:val="8"/>
                <w:szCs w:val="8"/>
                <w:color w:val="auto"/>
              </w:rPr>
            </w:pPr>
          </w:p>
        </w:tc>
        <w:tc>
          <w:tcPr>
            <w:tcW w:w="1400" w:type="dxa"/>
            <w:vAlign w:val="bottom"/>
            <w:tcBorders>
              <w:top w:val="single" w:sz="8" w:color="CCEEFF"/>
              <w:bottom w:val="single" w:sz="8" w:color="auto"/>
            </w:tcBorders>
          </w:tcPr>
          <w:p>
            <w:pPr>
              <w:spacing w:after="0"/>
              <w:rPr>
                <w:sz w:val="8"/>
                <w:szCs w:val="8"/>
                <w:color w:val="auto"/>
              </w:rPr>
            </w:pPr>
          </w:p>
        </w:tc>
        <w:tc>
          <w:tcPr>
            <w:tcW w:w="1320" w:type="dxa"/>
            <w:vAlign w:val="bottom"/>
            <w:tcBorders>
              <w:top w:val="single" w:sz="8" w:color="CCEEFF"/>
              <w:bottom w:val="single" w:sz="8" w:color="auto"/>
            </w:tcBorders>
          </w:tcPr>
          <w:p>
            <w:pPr>
              <w:spacing w:after="0"/>
              <w:rPr>
                <w:sz w:val="8"/>
                <w:szCs w:val="8"/>
                <w:color w:val="auto"/>
              </w:rPr>
            </w:pPr>
          </w:p>
        </w:tc>
        <w:tc>
          <w:tcPr>
            <w:tcW w:w="1280" w:type="dxa"/>
            <w:vAlign w:val="bottom"/>
            <w:tcBorders>
              <w:top w:val="single" w:sz="8" w:color="CCEEFF"/>
              <w:bottom w:val="single" w:sz="8" w:color="auto"/>
            </w:tcBorders>
          </w:tcPr>
          <w:p>
            <w:pPr>
              <w:spacing w:after="0"/>
              <w:rPr>
                <w:sz w:val="8"/>
                <w:szCs w:val="8"/>
                <w:color w:val="auto"/>
              </w:rPr>
            </w:pPr>
          </w:p>
        </w:tc>
        <w:tc>
          <w:tcPr>
            <w:tcW w:w="1460" w:type="dxa"/>
            <w:vAlign w:val="bottom"/>
            <w:tcBorders>
              <w:top w:val="single" w:sz="8" w:color="CCEEFF"/>
              <w:bottom w:val="single" w:sz="8" w:color="auto"/>
            </w:tcBorders>
          </w:tcPr>
          <w:p>
            <w:pPr>
              <w:spacing w:after="0"/>
              <w:rPr>
                <w:sz w:val="8"/>
                <w:szCs w:val="8"/>
                <w:color w:val="auto"/>
              </w:rPr>
            </w:pPr>
          </w:p>
        </w:tc>
        <w:tc>
          <w:tcPr>
            <w:tcW w:w="1300" w:type="dxa"/>
            <w:vAlign w:val="bottom"/>
            <w:tcBorders>
              <w:top w:val="single" w:sz="8" w:color="CCEEFF"/>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11440"/>
          </w:cols>
          <w:pgMar w:left="240" w:top="1440" w:right="219" w:bottom="1440" w:gutter="0" w:footer="0" w:header="0"/>
        </w:sectPr>
      </w:pPr>
    </w:p>
    <w:p>
      <w:pPr>
        <w:spacing w:after="0" w:line="1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Current</w:t>
      </w:r>
    </w:p>
    <w:p>
      <w:pPr>
        <w:ind w:left="440"/>
        <w:spacing w:after="0" w:line="221" w:lineRule="auto"/>
        <w:rPr>
          <w:sz w:val="20"/>
          <w:szCs w:val="20"/>
          <w:color w:val="auto"/>
        </w:rPr>
      </w:pPr>
      <w:r>
        <w:rPr>
          <w:rFonts w:ascii="Arial" w:cs="Arial" w:eastAsia="Arial" w:hAnsi="Arial"/>
          <w:sz w:val="14"/>
          <w:szCs w:val="14"/>
          <w:color w:val="auto"/>
        </w:rPr>
        <w:t>Past Due</w:t>
      </w:r>
    </w:p>
    <w:p>
      <w:pPr>
        <w:ind w:left="440"/>
        <w:spacing w:after="0"/>
        <w:rPr>
          <w:sz w:val="20"/>
          <w:szCs w:val="20"/>
          <w:color w:val="auto"/>
        </w:rPr>
      </w:pPr>
      <w:r>
        <w:rPr>
          <w:rFonts w:ascii="Arial" w:cs="Arial" w:eastAsia="Arial" w:hAnsi="Arial"/>
          <w:sz w:val="14"/>
          <w:szCs w:val="14"/>
          <w:color w:val="auto"/>
        </w:rPr>
        <w:t>Less - Reserve for possible loan losses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Loans, net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 securities available for sale</w:t>
      </w:r>
    </w:p>
    <w:p>
      <w:pPr>
        <w:spacing w:after="0" w:line="223" w:lineRule="auto"/>
        <w:rPr>
          <w:sz w:val="20"/>
          <w:szCs w:val="20"/>
          <w:color w:val="auto"/>
        </w:rPr>
      </w:pPr>
      <w:r>
        <w:rPr>
          <w:rFonts w:ascii="Arial" w:cs="Arial" w:eastAsia="Arial" w:hAnsi="Arial"/>
          <w:sz w:val="14"/>
          <w:szCs w:val="14"/>
          <w:b w:val="1"/>
          <w:bCs w:val="1"/>
          <w:color w:val="auto"/>
        </w:rPr>
        <w:t>Reinsurance assets</w:t>
      </w:r>
    </w:p>
    <w:p>
      <w:pPr>
        <w:spacing w:after="0" w:line="222" w:lineRule="auto"/>
        <w:rPr>
          <w:sz w:val="20"/>
          <w:szCs w:val="20"/>
          <w:color w:val="auto"/>
        </w:rPr>
      </w:pPr>
      <w:r>
        <w:rPr>
          <w:rFonts w:ascii="Arial" w:cs="Arial" w:eastAsia="Arial" w:hAnsi="Arial"/>
          <w:sz w:val="14"/>
          <w:szCs w:val="14"/>
          <w:b w:val="1"/>
          <w:bCs w:val="1"/>
          <w:color w:val="auto"/>
        </w:rPr>
        <w:t>Premiums and other policyholder receivables</w:t>
      </w:r>
    </w:p>
    <w:p>
      <w:pPr>
        <w:spacing w:after="0" w:line="221" w:lineRule="auto"/>
        <w:rPr>
          <w:sz w:val="20"/>
          <w:szCs w:val="20"/>
          <w:color w:val="auto"/>
        </w:rPr>
      </w:pPr>
      <w:r>
        <w:rPr>
          <w:rFonts w:ascii="Arial" w:cs="Arial" w:eastAsia="Arial" w:hAnsi="Arial"/>
          <w:sz w:val="14"/>
          <w:szCs w:val="14"/>
          <w:b w:val="1"/>
          <w:bCs w:val="1"/>
          <w:color w:val="auto"/>
        </w:rPr>
        <w:t>Property, plant and equipment, net</w:t>
      </w:r>
    </w:p>
    <w:p>
      <w:pPr>
        <w:spacing w:after="0" w:line="222" w:lineRule="auto"/>
        <w:rPr>
          <w:sz w:val="20"/>
          <w:szCs w:val="20"/>
          <w:color w:val="auto"/>
        </w:rPr>
      </w:pPr>
      <w:r>
        <w:rPr>
          <w:rFonts w:ascii="Arial" w:cs="Arial" w:eastAsia="Arial" w:hAnsi="Arial"/>
          <w:sz w:val="14"/>
          <w:szCs w:val="14"/>
          <w:b w:val="1"/>
          <w:bCs w:val="1"/>
          <w:color w:val="auto"/>
        </w:rPr>
        <w:t>Due from customers on acceptances</w:t>
      </w:r>
    </w:p>
    <w:p>
      <w:pPr>
        <w:spacing w:after="0"/>
        <w:rPr>
          <w:sz w:val="20"/>
          <w:szCs w:val="20"/>
          <w:color w:val="auto"/>
        </w:rPr>
      </w:pPr>
      <w:r>
        <w:rPr>
          <w:rFonts w:ascii="Arial" w:cs="Arial" w:eastAsia="Arial" w:hAnsi="Arial"/>
          <w:sz w:val="14"/>
          <w:szCs w:val="14"/>
          <w:b w:val="1"/>
          <w:bCs w:val="1"/>
          <w:color w:val="auto"/>
        </w:rPr>
        <w:t>Other assets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Total Assets</w:t>
      </w:r>
    </w:p>
    <w:p>
      <w:pPr>
        <w:spacing w:after="0" w:line="217" w:lineRule="exact"/>
        <w:rPr>
          <w:sz w:val="20"/>
          <w:szCs w:val="20"/>
          <w:color w:val="auto"/>
        </w:rPr>
      </w:pPr>
    </w:p>
    <w:p>
      <w:pPr>
        <w:ind w:right="660" w:firstLine="1175"/>
        <w:spacing w:after="0" w:line="231" w:lineRule="auto"/>
        <w:rPr>
          <w:sz w:val="20"/>
          <w:szCs w:val="20"/>
          <w:color w:val="auto"/>
        </w:rPr>
      </w:pPr>
      <w:r>
        <w:rPr>
          <w:rFonts w:ascii="Arial" w:cs="Arial" w:eastAsia="Arial" w:hAnsi="Arial"/>
          <w:sz w:val="14"/>
          <w:szCs w:val="14"/>
          <w:b w:val="1"/>
          <w:bCs w:val="1"/>
          <w:color w:val="auto"/>
        </w:rPr>
        <w:t>Liabilities and Shareholder’s Equity Deposits and Obligations</w:t>
      </w:r>
    </w:p>
    <w:p>
      <w:pPr>
        <w:ind w:left="440"/>
        <w:spacing w:after="0" w:line="223" w:lineRule="auto"/>
        <w:rPr>
          <w:sz w:val="20"/>
          <w:szCs w:val="20"/>
          <w:color w:val="auto"/>
        </w:rPr>
      </w:pPr>
      <w:r>
        <w:rPr>
          <w:rFonts w:ascii="Arial" w:cs="Arial" w:eastAsia="Arial" w:hAnsi="Arial"/>
          <w:sz w:val="14"/>
          <w:szCs w:val="14"/>
          <w:color w:val="auto"/>
        </w:rPr>
        <w:t>Non-interest bearing</w:t>
      </w:r>
    </w:p>
    <w:p>
      <w:pPr>
        <w:ind w:left="440"/>
        <w:spacing w:after="0"/>
        <w:rPr>
          <w:sz w:val="20"/>
          <w:szCs w:val="20"/>
          <w:color w:val="auto"/>
        </w:rPr>
      </w:pPr>
      <w:r>
        <w:rPr>
          <w:rFonts w:ascii="Arial" w:cs="Arial" w:eastAsia="Arial" w:hAnsi="Arial"/>
          <w:sz w:val="14"/>
          <w:szCs w:val="14"/>
          <w:color w:val="auto"/>
        </w:rPr>
        <w:t>Interest bearing</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deposits and Obligations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to banks and correspondents</w:t>
      </w:r>
    </w:p>
    <w:p>
      <w:pPr>
        <w:spacing w:after="0" w:line="223" w:lineRule="auto"/>
        <w:rPr>
          <w:sz w:val="20"/>
          <w:szCs w:val="20"/>
          <w:color w:val="auto"/>
        </w:rPr>
      </w:pPr>
      <w:r>
        <w:rPr>
          <w:rFonts w:ascii="Arial" w:cs="Arial" w:eastAsia="Arial" w:hAnsi="Arial"/>
          <w:sz w:val="14"/>
          <w:szCs w:val="14"/>
          <w:b w:val="1"/>
          <w:bCs w:val="1"/>
          <w:color w:val="auto"/>
        </w:rPr>
        <w:t>Acceptances outstanding</w:t>
      </w:r>
    </w:p>
    <w:p>
      <w:pPr>
        <w:spacing w:after="0" w:line="222" w:lineRule="auto"/>
        <w:rPr>
          <w:sz w:val="20"/>
          <w:szCs w:val="20"/>
          <w:color w:val="auto"/>
        </w:rPr>
      </w:pPr>
      <w:r>
        <w:rPr>
          <w:rFonts w:ascii="Arial" w:cs="Arial" w:eastAsia="Arial" w:hAnsi="Arial"/>
          <w:sz w:val="14"/>
          <w:szCs w:val="14"/>
          <w:b w:val="1"/>
          <w:bCs w:val="1"/>
          <w:color w:val="auto"/>
        </w:rPr>
        <w:t>Reserves for property and casualty claims</w:t>
      </w:r>
    </w:p>
    <w:p>
      <w:pPr>
        <w:spacing w:after="0" w:line="221" w:lineRule="auto"/>
        <w:rPr>
          <w:sz w:val="20"/>
          <w:szCs w:val="20"/>
          <w:color w:val="auto"/>
        </w:rPr>
      </w:pPr>
      <w:r>
        <w:rPr>
          <w:rFonts w:ascii="Arial" w:cs="Arial" w:eastAsia="Arial" w:hAnsi="Arial"/>
          <w:sz w:val="14"/>
          <w:szCs w:val="14"/>
          <w:b w:val="1"/>
          <w:bCs w:val="1"/>
          <w:color w:val="auto"/>
        </w:rPr>
        <w:t>Reserve for unearned premiums</w:t>
      </w:r>
    </w:p>
    <w:p>
      <w:pPr>
        <w:spacing w:after="0" w:line="222" w:lineRule="auto"/>
        <w:rPr>
          <w:sz w:val="20"/>
          <w:szCs w:val="20"/>
          <w:color w:val="auto"/>
        </w:rPr>
      </w:pPr>
      <w:r>
        <w:rPr>
          <w:rFonts w:ascii="Arial" w:cs="Arial" w:eastAsia="Arial" w:hAnsi="Arial"/>
          <w:sz w:val="14"/>
          <w:szCs w:val="14"/>
          <w:b w:val="1"/>
          <w:bCs w:val="1"/>
          <w:color w:val="auto"/>
        </w:rPr>
        <w:t>Reinsurance payable</w:t>
      </w:r>
    </w:p>
    <w:p>
      <w:pPr>
        <w:spacing w:after="0" w:line="221" w:lineRule="auto"/>
        <w:rPr>
          <w:sz w:val="20"/>
          <w:szCs w:val="20"/>
          <w:color w:val="auto"/>
        </w:rPr>
      </w:pPr>
      <w:r>
        <w:rPr>
          <w:rFonts w:ascii="Arial" w:cs="Arial" w:eastAsia="Arial" w:hAnsi="Arial"/>
          <w:sz w:val="14"/>
          <w:szCs w:val="14"/>
          <w:b w:val="1"/>
          <w:bCs w:val="1"/>
          <w:color w:val="auto"/>
        </w:rPr>
        <w:t>Bonds and subordinated debt</w:t>
      </w:r>
    </w:p>
    <w:p>
      <w:pPr>
        <w:spacing w:after="0" w:line="222" w:lineRule="auto"/>
        <w:rPr>
          <w:sz w:val="20"/>
          <w:szCs w:val="20"/>
          <w:color w:val="auto"/>
        </w:rPr>
      </w:pPr>
      <w:r>
        <w:rPr>
          <w:rFonts w:ascii="Arial" w:cs="Arial" w:eastAsia="Arial" w:hAnsi="Arial"/>
          <w:sz w:val="14"/>
          <w:szCs w:val="14"/>
          <w:b w:val="1"/>
          <w:bCs w:val="1"/>
          <w:color w:val="auto"/>
        </w:rPr>
        <w:t>Other liabilities</w:t>
      </w:r>
    </w:p>
    <w:p>
      <w:pPr>
        <w:spacing w:after="0"/>
        <w:rPr>
          <w:sz w:val="20"/>
          <w:szCs w:val="20"/>
          <w:color w:val="auto"/>
        </w:rPr>
      </w:pPr>
      <w:r>
        <w:rPr>
          <w:rFonts w:ascii="Arial" w:cs="Arial" w:eastAsia="Arial" w:hAnsi="Arial"/>
          <w:sz w:val="14"/>
          <w:szCs w:val="14"/>
          <w:b w:val="1"/>
          <w:bCs w:val="1"/>
          <w:color w:val="auto"/>
        </w:rPr>
        <w:t>Minority interest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5,047,115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4,916,863</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4,407,324</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14.5%</w:t>
            </w:r>
          </w:p>
        </w:tc>
        <w:tc>
          <w:tcPr>
            <w:tcW w:w="9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99,594</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97,392</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151,721</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-34.4%</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72"/>
        </w:trPr>
        <w:tc>
          <w:tcPr>
            <w:tcW w:w="1520" w:type="dxa"/>
            <w:vAlign w:val="bottom"/>
          </w:tcPr>
          <w:p>
            <w:pPr>
              <w:jc w:val="right"/>
              <w:ind w:right="232"/>
              <w:spacing w:after="0"/>
              <w:rPr>
                <w:sz w:val="20"/>
                <w:szCs w:val="20"/>
                <w:color w:val="auto"/>
              </w:rPr>
            </w:pPr>
            <w:r>
              <w:rPr>
                <w:rFonts w:ascii="Arial" w:cs="Arial" w:eastAsia="Arial" w:hAnsi="Arial"/>
                <w:sz w:val="14"/>
                <w:szCs w:val="14"/>
                <w:color w:val="auto"/>
              </w:rPr>
              <w:t>(198,530)</w:t>
            </w:r>
          </w:p>
        </w:tc>
        <w:tc>
          <w:tcPr>
            <w:tcW w:w="1360" w:type="dxa"/>
            <w:vAlign w:val="bottom"/>
          </w:tcPr>
          <w:p>
            <w:pPr>
              <w:jc w:val="right"/>
              <w:ind w:right="332"/>
              <w:spacing w:after="0"/>
              <w:rPr>
                <w:sz w:val="20"/>
                <w:szCs w:val="20"/>
                <w:color w:val="auto"/>
              </w:rPr>
            </w:pPr>
            <w:r>
              <w:rPr>
                <w:rFonts w:ascii="Arial" w:cs="Arial" w:eastAsia="Arial" w:hAnsi="Arial"/>
                <w:sz w:val="14"/>
                <w:szCs w:val="14"/>
                <w:color w:val="auto"/>
              </w:rPr>
              <w:t>(197,494)</w:t>
            </w:r>
          </w:p>
        </w:tc>
        <w:tc>
          <w:tcPr>
            <w:tcW w:w="1500" w:type="dxa"/>
            <w:vAlign w:val="bottom"/>
          </w:tcPr>
          <w:p>
            <w:pPr>
              <w:jc w:val="right"/>
              <w:ind w:right="452"/>
              <w:spacing w:after="0"/>
              <w:rPr>
                <w:sz w:val="20"/>
                <w:szCs w:val="20"/>
                <w:color w:val="auto"/>
              </w:rPr>
            </w:pPr>
            <w:r>
              <w:rPr>
                <w:rFonts w:ascii="Arial" w:cs="Arial" w:eastAsia="Arial" w:hAnsi="Arial"/>
                <w:sz w:val="14"/>
                <w:szCs w:val="14"/>
                <w:color w:val="auto"/>
              </w:rPr>
              <w:t>(245,209)</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-19.0%</w:t>
            </w:r>
          </w:p>
        </w:tc>
        <w:tc>
          <w:tcPr>
            <w:tcW w:w="9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63"/>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4,948,179</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4,816,761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4,313,836</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14.7%</w:t>
            </w:r>
          </w:p>
        </w:tc>
        <w:tc>
          <w:tcPr>
            <w:tcW w:w="9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39"/>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2,556,547</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2,807,577</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2,593,652</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-1.4%</w:t>
            </w:r>
          </w:p>
        </w:tc>
        <w:tc>
          <w:tcPr>
            <w:tcW w:w="94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44,061</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35,288</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31,123</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41.6%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53,043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57,301</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51,948</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2.1%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244,976</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248,718</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237,681</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3.1%</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45,423</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47,158</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5.2%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72"/>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516,715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317,041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290,899</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77.6%</w:t>
            </w:r>
          </w:p>
        </w:tc>
        <w:tc>
          <w:tcPr>
            <w:tcW w:w="940" w:type="dxa"/>
            <w:vAlign w:val="bottom"/>
          </w:tcPr>
          <w:p>
            <w:pPr>
              <w:jc w:val="right"/>
              <w:spacing w:after="0"/>
              <w:rPr>
                <w:sz w:val="20"/>
                <w:szCs w:val="20"/>
                <w:color w:val="auto"/>
              </w:rPr>
            </w:pPr>
            <w:r>
              <w:rPr>
                <w:rFonts w:ascii="Arial" w:cs="Arial" w:eastAsia="Arial" w:hAnsi="Arial"/>
                <w:sz w:val="14"/>
                <w:szCs w:val="14"/>
                <w:color w:val="auto"/>
              </w:rPr>
              <w:t>63.0%</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63"/>
        </w:trPr>
        <w:tc>
          <w:tcPr>
            <w:tcW w:w="1520" w:type="dxa"/>
            <w:vAlign w:val="bottom"/>
          </w:tcPr>
          <w:p>
            <w:pPr>
              <w:jc w:val="right"/>
              <w:ind w:right="292"/>
              <w:spacing w:after="0"/>
              <w:rPr>
                <w:sz w:val="20"/>
                <w:szCs w:val="20"/>
                <w:color w:val="auto"/>
              </w:rPr>
            </w:pPr>
            <w:r>
              <w:rPr>
                <w:rFonts w:ascii="Arial" w:cs="Arial" w:eastAsia="Arial" w:hAnsi="Arial"/>
                <w:sz w:val="14"/>
                <w:szCs w:val="14"/>
                <w:b w:val="1"/>
                <w:bCs w:val="1"/>
                <w:color w:val="auto"/>
              </w:rPr>
              <w:t>11,623,571</w:t>
            </w:r>
          </w:p>
        </w:tc>
        <w:tc>
          <w:tcPr>
            <w:tcW w:w="1360" w:type="dxa"/>
            <w:vAlign w:val="bottom"/>
          </w:tcPr>
          <w:p>
            <w:pPr>
              <w:jc w:val="right"/>
              <w:ind w:right="372"/>
              <w:spacing w:after="0"/>
              <w:rPr>
                <w:sz w:val="20"/>
                <w:szCs w:val="20"/>
                <w:color w:val="auto"/>
              </w:rPr>
            </w:pPr>
            <w:r>
              <w:rPr>
                <w:rFonts w:ascii="Arial" w:cs="Arial" w:eastAsia="Arial" w:hAnsi="Arial"/>
                <w:sz w:val="14"/>
                <w:szCs w:val="14"/>
                <w:b w:val="1"/>
                <w:bCs w:val="1"/>
                <w:color w:val="auto"/>
              </w:rPr>
              <w:t>11,049,850</w:t>
            </w:r>
          </w:p>
        </w:tc>
        <w:tc>
          <w:tcPr>
            <w:tcW w:w="1500" w:type="dxa"/>
            <w:vAlign w:val="bottom"/>
          </w:tcPr>
          <w:p>
            <w:pPr>
              <w:jc w:val="right"/>
              <w:ind w:right="492"/>
              <w:spacing w:after="0"/>
              <w:rPr>
                <w:sz w:val="20"/>
                <w:szCs w:val="20"/>
                <w:color w:val="auto"/>
              </w:rPr>
            </w:pPr>
            <w:r>
              <w:rPr>
                <w:rFonts w:ascii="Arial" w:cs="Arial" w:eastAsia="Arial" w:hAnsi="Arial"/>
                <w:sz w:val="14"/>
                <w:szCs w:val="14"/>
                <w:b w:val="1"/>
                <w:bCs w:val="1"/>
                <w:color w:val="auto"/>
              </w:rPr>
              <w:t>9,360,931</w:t>
            </w:r>
          </w:p>
        </w:tc>
        <w:tc>
          <w:tcPr>
            <w:tcW w:w="1460" w:type="dxa"/>
            <w:vAlign w:val="bottom"/>
          </w:tcPr>
          <w:p>
            <w:pPr>
              <w:jc w:val="right"/>
              <w:ind w:right="432"/>
              <w:spacing w:after="0"/>
              <w:rPr>
                <w:sz w:val="20"/>
                <w:szCs w:val="20"/>
                <w:color w:val="auto"/>
              </w:rPr>
            </w:pPr>
            <w:r>
              <w:rPr>
                <w:rFonts w:ascii="Arial" w:cs="Arial" w:eastAsia="Arial" w:hAnsi="Arial"/>
                <w:sz w:val="14"/>
                <w:szCs w:val="14"/>
                <w:b w:val="1"/>
                <w:bCs w:val="1"/>
                <w:color w:val="auto"/>
              </w:rPr>
              <w:t>24.2%</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536"/>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1,709,042</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1,671,621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1,432,730</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19.3%</w:t>
            </w: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72"/>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5,608,391</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5,421,807</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5,093,637</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10.1%</w:t>
            </w: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63"/>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7,317,432</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7,093,428</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6,526,367</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12.1%</w:t>
            </w:r>
          </w:p>
        </w:tc>
        <w:tc>
          <w:tcPr>
            <w:tcW w:w="9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95"/>
        </w:trPr>
        <w:tc>
          <w:tcPr>
            <w:tcW w:w="15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39"/>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1,387,985</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1,303,371</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415,966</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233.7%</w:t>
            </w:r>
          </w:p>
        </w:tc>
        <w:tc>
          <w:tcPr>
            <w:tcW w:w="94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45,423</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47,158</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5.2%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501,296</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464,578</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417,036</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20.2%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83,993</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81,516</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70,133</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19.8%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15,616</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36,580</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9,547</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63.6%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-57.3%</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435,934</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429,365</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421,831</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152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575,801</w:t>
            </w:r>
          </w:p>
        </w:tc>
        <w:tc>
          <w:tcPr>
            <w:tcW w:w="13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303,637</w:t>
            </w:r>
          </w:p>
        </w:tc>
        <w:tc>
          <w:tcPr>
            <w:tcW w:w="150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327,438</w:t>
            </w:r>
          </w:p>
        </w:tc>
        <w:tc>
          <w:tcPr>
            <w:tcW w:w="146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75.9%</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r>
      <w:tr>
        <w:trPr>
          <w:trHeight w:val="172"/>
        </w:trPr>
        <w:tc>
          <w:tcPr>
            <w:tcW w:w="1520" w:type="dxa"/>
            <w:vAlign w:val="bottom"/>
          </w:tcPr>
          <w:p>
            <w:pPr>
              <w:jc w:val="right"/>
              <w:ind w:right="292"/>
              <w:spacing w:after="0"/>
              <w:rPr>
                <w:sz w:val="20"/>
                <w:szCs w:val="20"/>
                <w:color w:val="auto"/>
              </w:rPr>
            </w:pPr>
            <w:r>
              <w:rPr>
                <w:rFonts w:ascii="Arial" w:cs="Arial" w:eastAsia="Arial" w:hAnsi="Arial"/>
                <w:sz w:val="14"/>
                <w:szCs w:val="14"/>
                <w:color w:val="auto"/>
              </w:rPr>
              <w:t>94,650</w:t>
            </w:r>
          </w:p>
        </w:tc>
        <w:tc>
          <w:tcPr>
            <w:tcW w:w="1360" w:type="dxa"/>
            <w:vAlign w:val="bottom"/>
          </w:tcPr>
          <w:p>
            <w:pPr>
              <w:jc w:val="right"/>
              <w:ind w:right="372"/>
              <w:spacing w:after="0"/>
              <w:rPr>
                <w:sz w:val="20"/>
                <w:szCs w:val="20"/>
                <w:color w:val="auto"/>
              </w:rPr>
            </w:pPr>
            <w:r>
              <w:rPr>
                <w:rFonts w:ascii="Arial" w:cs="Arial" w:eastAsia="Arial" w:hAnsi="Arial"/>
                <w:sz w:val="14"/>
                <w:szCs w:val="14"/>
                <w:color w:val="auto"/>
              </w:rPr>
              <w:t>101,512</w:t>
            </w:r>
          </w:p>
        </w:tc>
        <w:tc>
          <w:tcPr>
            <w:tcW w:w="1500" w:type="dxa"/>
            <w:vAlign w:val="bottom"/>
          </w:tcPr>
          <w:p>
            <w:pPr>
              <w:jc w:val="right"/>
              <w:ind w:right="492"/>
              <w:spacing w:after="0"/>
              <w:rPr>
                <w:sz w:val="20"/>
                <w:szCs w:val="20"/>
                <w:color w:val="auto"/>
              </w:rPr>
            </w:pPr>
            <w:r>
              <w:rPr>
                <w:rFonts w:ascii="Arial" w:cs="Arial" w:eastAsia="Arial" w:hAnsi="Arial"/>
                <w:sz w:val="14"/>
                <w:szCs w:val="14"/>
                <w:color w:val="auto"/>
              </w:rPr>
              <w:t>76,958</w:t>
            </w:r>
          </w:p>
        </w:tc>
        <w:tc>
          <w:tcPr>
            <w:tcW w:w="1460" w:type="dxa"/>
            <w:vAlign w:val="bottom"/>
          </w:tcPr>
          <w:p>
            <w:pPr>
              <w:jc w:val="right"/>
              <w:ind w:right="452"/>
              <w:spacing w:after="0"/>
              <w:rPr>
                <w:sz w:val="20"/>
                <w:szCs w:val="20"/>
                <w:color w:val="auto"/>
              </w:rPr>
            </w:pPr>
            <w:r>
              <w:rPr>
                <w:rFonts w:ascii="Arial" w:cs="Arial" w:eastAsia="Arial" w:hAnsi="Arial"/>
                <w:sz w:val="14"/>
                <w:szCs w:val="14"/>
                <w:color w:val="auto"/>
              </w:rPr>
              <w:t>23.0%</w:t>
            </w: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-3146425</wp:posOffset>
            </wp:positionV>
            <wp:extent cx="72466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-2957830</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-2717800</wp:posOffset>
            </wp:positionV>
            <wp:extent cx="7246620"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-2477135</wp:posOffset>
            </wp:positionV>
            <wp:extent cx="72466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-2288540</wp:posOffset>
            </wp:positionV>
            <wp:extent cx="7246620" cy="94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-2099945</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-1765935</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-1525270</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-1336675</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-1002665</wp:posOffset>
            </wp:positionV>
            <wp:extent cx="72466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-762000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-573405</wp:posOffset>
            </wp:positionV>
            <wp:extent cx="72466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-384810</wp:posOffset>
            </wp:positionV>
            <wp:extent cx="7246620" cy="94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-196215</wp:posOffset>
            </wp:positionV>
            <wp:extent cx="7246620"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60325</wp:posOffset>
            </wp:positionV>
            <wp:extent cx="43053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780"/>
          </w:cols>
          <w:pgMar w:left="240" w:top="1440" w:right="21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shd w:val="clear" w:color="auto" w:fill="CCEEFF"/>
          </w:tcPr>
          <w:p>
            <w:pPr>
              <w:ind w:left="1280"/>
              <w:spacing w:after="0"/>
              <w:rPr>
                <w:sz w:val="20"/>
                <w:szCs w:val="20"/>
                <w:color w:val="auto"/>
              </w:rPr>
            </w:pPr>
            <w:r>
              <w:rPr>
                <w:rFonts w:ascii="Arial" w:cs="Arial" w:eastAsia="Arial" w:hAnsi="Arial"/>
                <w:sz w:val="14"/>
                <w:szCs w:val="14"/>
                <w:b w:val="1"/>
                <w:bCs w:val="1"/>
                <w:color w:val="auto"/>
              </w:rPr>
              <w:t>Total liabilities</w:t>
            </w:r>
          </w:p>
        </w:tc>
        <w:tc>
          <w:tcPr>
            <w:tcW w:w="150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10,462,321</w:t>
            </w: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9,859,410</w:t>
            </w:r>
          </w:p>
        </w:tc>
        <w:tc>
          <w:tcPr>
            <w:tcW w:w="154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8,312,434</w:t>
            </w:r>
          </w:p>
        </w:tc>
        <w:tc>
          <w:tcPr>
            <w:tcW w:w="14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25.9%</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1,161,250</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1,190,440</w:t>
            </w:r>
          </w:p>
        </w:tc>
        <w:tc>
          <w:tcPr>
            <w:tcW w:w="154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1,048,497</w:t>
            </w:r>
          </w:p>
        </w:tc>
        <w:tc>
          <w:tcPr>
            <w:tcW w:w="14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10.8%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b w:val="1"/>
                <w:bCs w:val="1"/>
                <w:color w:val="auto"/>
              </w:rPr>
              <w:t>11,623,571</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11,049,850</w:t>
            </w:r>
          </w:p>
        </w:tc>
        <w:tc>
          <w:tcPr>
            <w:tcW w:w="154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b w:val="1"/>
                <w:bCs w:val="1"/>
                <w:color w:val="auto"/>
              </w:rPr>
              <w:t>9,360,931</w:t>
            </w:r>
          </w:p>
        </w:tc>
        <w:tc>
          <w:tcPr>
            <w:tcW w:w="14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b w:val="1"/>
                <w:bCs w:val="1"/>
                <w:color w:val="auto"/>
              </w:rPr>
              <w:t>24.2%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5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3,290,702</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2,962,498</w:t>
            </w:r>
          </w:p>
        </w:tc>
        <w:tc>
          <w:tcPr>
            <w:tcW w:w="154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1,896,442</w:t>
            </w:r>
          </w:p>
        </w:tc>
        <w:tc>
          <w:tcPr>
            <w:tcW w:w="14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73.5%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type w:val="continuous"/>
        </w:sectPr>
      </w:pPr>
    </w:p>
    <w:bookmarkStart w:id="25" w:name="page26"/>
    <w:bookmarkEnd w:id="25"/>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right"/>
              <w:ind w:right="532"/>
              <w:spacing w:after="0"/>
              <w:rPr>
                <w:sz w:val="20"/>
                <w:szCs w:val="20"/>
                <w:color w:val="auto"/>
              </w:rPr>
            </w:pPr>
            <w:r>
              <w:rPr>
                <w:rFonts w:ascii="Arial" w:cs="Arial" w:eastAsia="Arial" w:hAnsi="Arial"/>
                <w:sz w:val="14"/>
                <w:szCs w:val="14"/>
                <w:b w:val="1"/>
                <w:bCs w:val="1"/>
                <w:color w:val="auto"/>
              </w:rPr>
              <w:t>31-Mar</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31-Dec</w:t>
            </w: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31-Mar</w:t>
            </w: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1Q 2006</w:t>
            </w:r>
          </w:p>
        </w:tc>
        <w:tc>
          <w:tcPr>
            <w:tcW w:w="1240" w:type="dxa"/>
            <w:vAlign w:val="bottom"/>
          </w:tcPr>
          <w:p>
            <w:pPr>
              <w:jc w:val="center"/>
              <w:ind w:right="252"/>
              <w:spacing w:after="0"/>
              <w:rPr>
                <w:sz w:val="20"/>
                <w:szCs w:val="20"/>
                <w:color w:val="auto"/>
              </w:rPr>
            </w:pPr>
            <w:r>
              <w:rPr>
                <w:rFonts w:ascii="Arial" w:cs="Arial" w:eastAsia="Arial" w:hAnsi="Arial"/>
                <w:sz w:val="14"/>
                <w:szCs w:val="14"/>
                <w:b w:val="1"/>
                <w:bCs w:val="1"/>
                <w:color w:val="auto"/>
                <w:w w:val="89"/>
              </w:rPr>
              <w:t>4Q 2005</w:t>
            </w:r>
          </w:p>
        </w:tc>
        <w:tc>
          <w:tcPr>
            <w:tcW w:w="122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1Q 2005</w:t>
            </w:r>
          </w:p>
        </w:tc>
        <w:tc>
          <w:tcPr>
            <w:tcW w:w="1300" w:type="dxa"/>
            <w:vAlign w:val="bottom"/>
          </w:tcPr>
          <w:p>
            <w:pPr>
              <w:jc w:val="right"/>
              <w:ind w:right="452"/>
              <w:spacing w:after="0"/>
              <w:rPr>
                <w:sz w:val="20"/>
                <w:szCs w:val="20"/>
                <w:color w:val="auto"/>
              </w:rPr>
            </w:pPr>
            <w:r>
              <w:rPr>
                <w:rFonts w:ascii="Arial" w:cs="Arial" w:eastAsia="Arial" w:hAnsi="Arial"/>
                <w:sz w:val="14"/>
                <w:szCs w:val="14"/>
                <w:b w:val="1"/>
                <w:bCs w:val="1"/>
                <w:color w:val="auto"/>
              </w:rPr>
              <w:t>% change</w:t>
            </w:r>
          </w:p>
        </w:tc>
        <w:tc>
          <w:tcPr>
            <w:tcW w:w="1140" w:type="dxa"/>
            <w:vAlign w:val="bottom"/>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1520" w:type="dxa"/>
            <w:vAlign w:val="bottom"/>
          </w:tcPr>
          <w:p>
            <w:pPr>
              <w:jc w:val="right"/>
              <w:ind w:right="592"/>
              <w:spacing w:after="0"/>
              <w:rPr>
                <w:sz w:val="20"/>
                <w:szCs w:val="20"/>
                <w:color w:val="auto"/>
              </w:rPr>
            </w:pPr>
            <w:r>
              <w:rPr>
                <w:rFonts w:ascii="Arial" w:cs="Arial" w:eastAsia="Arial" w:hAnsi="Arial"/>
                <w:sz w:val="14"/>
                <w:szCs w:val="14"/>
                <w:b w:val="1"/>
                <w:bCs w:val="1"/>
                <w:color w:val="auto"/>
              </w:rPr>
              <w:t>2006</w:t>
            </w: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2005</w:t>
            </w: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2005</w:t>
            </w: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1Q06/1Q05</w:t>
            </w:r>
          </w:p>
        </w:tc>
        <w:tc>
          <w:tcPr>
            <w:tcW w:w="1140" w:type="dxa"/>
            <w:vAlign w:val="bottom"/>
          </w:tcPr>
          <w:p>
            <w:pPr>
              <w:jc w:val="right"/>
              <w:ind w:right="272"/>
              <w:spacing w:after="0"/>
              <w:rPr>
                <w:sz w:val="20"/>
                <w:szCs w:val="20"/>
                <w:color w:val="auto"/>
              </w:rPr>
            </w:pPr>
            <w:r>
              <w:rPr>
                <w:rFonts w:ascii="Arial" w:cs="Arial" w:eastAsia="Arial" w:hAnsi="Arial"/>
                <w:sz w:val="14"/>
                <w:szCs w:val="14"/>
                <w:b w:val="1"/>
                <w:bCs w:val="1"/>
                <w:color w:val="auto"/>
              </w:rPr>
              <w:t>1Q06/4Q05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520" w:type="dxa"/>
            <w:vAlign w:val="bottom"/>
          </w:tcPr>
          <w:p>
            <w:pPr>
              <w:jc w:val="right"/>
              <w:ind w:right="492"/>
              <w:spacing w:after="0"/>
              <w:rPr>
                <w:sz w:val="20"/>
                <w:szCs w:val="20"/>
                <w:color w:val="auto"/>
              </w:rPr>
            </w:pPr>
            <w:r>
              <w:rPr>
                <w:rFonts w:ascii="Arial" w:cs="Arial" w:eastAsia="Arial" w:hAnsi="Arial"/>
                <w:sz w:val="14"/>
                <w:szCs w:val="14"/>
                <w:b w:val="1"/>
                <w:bCs w:val="1"/>
                <w:color w:val="auto"/>
              </w:rPr>
              <w:t>US$000</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US$000</w:t>
            </w:r>
          </w:p>
        </w:tc>
        <w:tc>
          <w:tcPr>
            <w:tcW w:w="1220" w:type="dxa"/>
            <w:vAlign w:val="bottom"/>
          </w:tcPr>
          <w:p>
            <w:pPr>
              <w:jc w:val="right"/>
              <w:ind w:right="472"/>
              <w:spacing w:after="0"/>
              <w:rPr>
                <w:sz w:val="20"/>
                <w:szCs w:val="20"/>
                <w:color w:val="auto"/>
              </w:rPr>
            </w:pPr>
            <w:r>
              <w:rPr>
                <w:rFonts w:ascii="Arial" w:cs="Arial" w:eastAsia="Arial" w:hAnsi="Arial"/>
                <w:sz w:val="14"/>
                <w:szCs w:val="14"/>
                <w:b w:val="1"/>
                <w:bCs w:val="1"/>
                <w:color w:val="auto"/>
              </w:rPr>
              <w:t>US$000</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174,658</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165,836</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141,139</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(59,870)</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(48,462)</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(37,224)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60.8%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420"/>
              <w:spacing w:after="0"/>
              <w:rPr>
                <w:sz w:val="20"/>
                <w:szCs w:val="20"/>
                <w:color w:val="auto"/>
              </w:rPr>
            </w:pPr>
            <w:r>
              <w:rPr>
                <w:rFonts w:ascii="Arial" w:cs="Arial" w:eastAsia="Arial" w:hAnsi="Arial"/>
                <w:sz w:val="14"/>
                <w:szCs w:val="14"/>
                <w:color w:val="auto"/>
              </w:rPr>
              <w:t>Net interest and dividend income</w:t>
            </w:r>
          </w:p>
        </w:tc>
        <w:tc>
          <w:tcPr>
            <w:tcW w:w="1520" w:type="dxa"/>
            <w:vAlign w:val="bottom"/>
          </w:tcPr>
          <w:p>
            <w:pPr>
              <w:jc w:val="right"/>
              <w:ind w:right="212"/>
              <w:spacing w:after="0"/>
              <w:rPr>
                <w:sz w:val="20"/>
                <w:szCs w:val="20"/>
                <w:color w:val="auto"/>
              </w:rPr>
            </w:pPr>
            <w:r>
              <w:rPr>
                <w:rFonts w:ascii="Arial" w:cs="Arial" w:eastAsia="Arial" w:hAnsi="Arial"/>
                <w:sz w:val="14"/>
                <w:szCs w:val="14"/>
                <w:color w:val="auto"/>
              </w:rPr>
              <w:t>114,788</w:t>
            </w:r>
          </w:p>
        </w:tc>
        <w:tc>
          <w:tcPr>
            <w:tcW w:w="1240" w:type="dxa"/>
            <w:vAlign w:val="bottom"/>
          </w:tcPr>
          <w:p>
            <w:pPr>
              <w:jc w:val="right"/>
              <w:ind w:right="192"/>
              <w:spacing w:after="0"/>
              <w:rPr>
                <w:sz w:val="20"/>
                <w:szCs w:val="20"/>
                <w:color w:val="auto"/>
              </w:rPr>
            </w:pPr>
            <w:r>
              <w:rPr>
                <w:rFonts w:ascii="Arial" w:cs="Arial" w:eastAsia="Arial" w:hAnsi="Arial"/>
                <w:sz w:val="14"/>
                <w:szCs w:val="14"/>
                <w:color w:val="auto"/>
              </w:rPr>
              <w:t>117,374</w:t>
            </w:r>
          </w:p>
        </w:tc>
        <w:tc>
          <w:tcPr>
            <w:tcW w:w="1220" w:type="dxa"/>
            <w:vAlign w:val="bottom"/>
          </w:tcPr>
          <w:p>
            <w:pPr>
              <w:jc w:val="right"/>
              <w:ind w:right="172"/>
              <w:spacing w:after="0"/>
              <w:rPr>
                <w:sz w:val="20"/>
                <w:szCs w:val="20"/>
                <w:color w:val="auto"/>
              </w:rPr>
            </w:pPr>
            <w:r>
              <w:rPr>
                <w:rFonts w:ascii="Arial" w:cs="Arial" w:eastAsia="Arial" w:hAnsi="Arial"/>
                <w:sz w:val="14"/>
                <w:szCs w:val="14"/>
                <w:color w:val="auto"/>
              </w:rPr>
              <w:t>103,915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10.5%</w:t>
            </w: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(3,547)</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(3,730)</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4,413</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-180.4%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55,549</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54,599</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47,685</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10,375</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8,233</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6,264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65.6%</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5,577</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264</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433</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1188.2%</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7,313</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6,912</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5,755</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27.1%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Total other income</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78,814</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70,009</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60,137</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Net premiums earned</w:t>
            </w:r>
          </w:p>
        </w:tc>
        <w:tc>
          <w:tcPr>
            <w:tcW w:w="15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58,732</w:t>
            </w:r>
          </w:p>
        </w:tc>
        <w:tc>
          <w:tcPr>
            <w:tcW w:w="12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55,252</w:t>
            </w:r>
          </w:p>
        </w:tc>
        <w:tc>
          <w:tcPr>
            <w:tcW w:w="12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53,358</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10.1%</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claims incurred</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(13,661)</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(11,368)</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(10,776)</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26.8%</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ind w:left="420"/>
              <w:spacing w:after="0"/>
              <w:rPr>
                <w:sz w:val="20"/>
                <w:szCs w:val="20"/>
                <w:color w:val="auto"/>
              </w:rPr>
            </w:pPr>
            <w:r>
              <w:rPr>
                <w:rFonts w:ascii="Arial" w:cs="Arial" w:eastAsia="Arial" w:hAnsi="Arial"/>
                <w:sz w:val="14"/>
                <w:szCs w:val="14"/>
                <w:color w:val="auto"/>
              </w:rPr>
              <w:t>Increase in cost for life and health policies</w:t>
            </w:r>
          </w:p>
        </w:tc>
        <w:tc>
          <w:tcPr>
            <w:tcW w:w="1520" w:type="dxa"/>
            <w:vAlign w:val="bottom"/>
          </w:tcPr>
          <w:p>
            <w:pPr>
              <w:jc w:val="right"/>
              <w:ind w:right="152"/>
              <w:spacing w:after="0"/>
              <w:rPr>
                <w:sz w:val="20"/>
                <w:szCs w:val="20"/>
                <w:color w:val="auto"/>
              </w:rPr>
            </w:pPr>
            <w:r>
              <w:rPr>
                <w:rFonts w:ascii="Arial" w:cs="Arial" w:eastAsia="Arial" w:hAnsi="Arial"/>
                <w:sz w:val="14"/>
                <w:szCs w:val="14"/>
                <w:color w:val="auto"/>
              </w:rPr>
              <w:t>(34,273)</w:t>
            </w:r>
          </w:p>
        </w:tc>
        <w:tc>
          <w:tcPr>
            <w:tcW w:w="1240" w:type="dxa"/>
            <w:vAlign w:val="bottom"/>
          </w:tcPr>
          <w:p>
            <w:pPr>
              <w:jc w:val="right"/>
              <w:ind w:right="152"/>
              <w:spacing w:after="0"/>
              <w:rPr>
                <w:sz w:val="20"/>
                <w:szCs w:val="20"/>
                <w:color w:val="auto"/>
              </w:rPr>
            </w:pPr>
            <w:r>
              <w:rPr>
                <w:rFonts w:ascii="Arial" w:cs="Arial" w:eastAsia="Arial" w:hAnsi="Arial"/>
                <w:sz w:val="14"/>
                <w:szCs w:val="14"/>
                <w:color w:val="auto"/>
              </w:rPr>
              <w:t>(35,168)</w:t>
            </w:r>
          </w:p>
        </w:tc>
        <w:tc>
          <w:tcPr>
            <w:tcW w:w="1220" w:type="dxa"/>
            <w:vAlign w:val="bottom"/>
          </w:tcPr>
          <w:p>
            <w:pPr>
              <w:jc w:val="right"/>
              <w:ind w:right="112"/>
              <w:spacing w:after="0"/>
              <w:rPr>
                <w:sz w:val="20"/>
                <w:szCs w:val="20"/>
                <w:color w:val="auto"/>
              </w:rPr>
            </w:pPr>
            <w:r>
              <w:rPr>
                <w:rFonts w:ascii="Arial" w:cs="Arial" w:eastAsia="Arial" w:hAnsi="Arial"/>
                <w:sz w:val="14"/>
                <w:szCs w:val="14"/>
                <w:color w:val="auto"/>
              </w:rPr>
              <w:t>(29,825)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14.9%</w:t>
            </w:r>
          </w:p>
        </w:tc>
        <w:tc>
          <w:tcPr>
            <w:tcW w:w="114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8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operating income, net</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10,797</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8,716</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12,757</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5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(53,833)</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(59,774)</w:t>
            </w:r>
          </w:p>
        </w:tc>
        <w:tc>
          <w:tcPr>
            <w:tcW w:w="12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(47,904)</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12.4%</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(36,719)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(35,602)</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(33,715)</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5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(11,318)</w:t>
            </w:r>
          </w:p>
        </w:tc>
        <w:tc>
          <w:tcPr>
            <w:tcW w:w="12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(9,461)</w:t>
            </w:r>
          </w:p>
        </w:tc>
        <w:tc>
          <w:tcPr>
            <w:tcW w:w="12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(10,314)</w:t>
            </w:r>
          </w:p>
        </w:tc>
        <w:tc>
          <w:tcPr>
            <w:tcW w:w="13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(22,380)</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(8,825)</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(17,861)</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25.3%</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(124,249)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(113,662)</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(109,794)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13.2%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Income before translation results,workers’ profit sharing and income taxes</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76,604</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78,707</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71,428</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5,221</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(5,931)</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774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574.9%</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(2,689)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(2,954)</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(2,895)</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(24,539)</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(20,361)</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(22,793)</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7.7%</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54,596</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49,461</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46,514</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Minority interest</w:t>
            </w:r>
          </w:p>
        </w:tc>
        <w:tc>
          <w:tcPr>
            <w:tcW w:w="1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(3,411)</w:t>
            </w:r>
          </w:p>
        </w:tc>
        <w:tc>
          <w:tcPr>
            <w:tcW w:w="12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(5,124)</w:t>
            </w:r>
          </w:p>
        </w:tc>
        <w:tc>
          <w:tcPr>
            <w:tcW w:w="12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(2,910)</w:t>
            </w:r>
          </w:p>
        </w:tc>
        <w:tc>
          <w:tcPr>
            <w:tcW w:w="13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17.2%</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5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51,185</w:t>
            </w:r>
          </w:p>
        </w:tc>
        <w:tc>
          <w:tcPr>
            <w:tcW w:w="12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44,337</w:t>
            </w:r>
          </w:p>
        </w:tc>
        <w:tc>
          <w:tcPr>
            <w:tcW w:w="12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43,604</w:t>
            </w:r>
          </w:p>
        </w:tc>
        <w:tc>
          <w:tcPr>
            <w:tcW w:w="13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17.4%</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6" w:name="page27"/>
    <w:bookmarkEnd w:id="2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 CREDICORP LTD. AND SUBSISIARIES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right"/>
              <w:ind w:right="212"/>
              <w:spacing w:after="0"/>
              <w:rPr>
                <w:sz w:val="20"/>
                <w:szCs w:val="20"/>
                <w:color w:val="auto"/>
              </w:rPr>
            </w:pPr>
            <w:r>
              <w:rPr>
                <w:rFonts w:ascii="Arial" w:cs="Arial" w:eastAsia="Arial" w:hAnsi="Arial"/>
                <w:sz w:val="14"/>
                <w:szCs w:val="14"/>
                <w:b w:val="1"/>
                <w:bCs w:val="1"/>
                <w:color w:val="auto"/>
                <w:w w:val="88"/>
              </w:rPr>
              <w:t>Three months ended</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31- Mar06</w:t>
            </w:r>
          </w:p>
        </w:tc>
        <w:tc>
          <w:tcPr>
            <w:tcW w:w="152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31 - Dec05</w:t>
            </w: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31- Mar05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1Q06</w:t>
            </w: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4Q05</w:t>
            </w:r>
          </w:p>
        </w:tc>
        <w:tc>
          <w:tcPr>
            <w:tcW w:w="1200" w:type="dxa"/>
            <w:vAlign w:val="bottom"/>
          </w:tcPr>
          <w:p>
            <w:pPr>
              <w:jc w:val="center"/>
              <w:ind w:right="152"/>
              <w:spacing w:after="0"/>
              <w:rPr>
                <w:sz w:val="20"/>
                <w:szCs w:val="20"/>
                <w:color w:val="auto"/>
              </w:rPr>
            </w:pPr>
            <w:r>
              <w:rPr>
                <w:rFonts w:ascii="Arial" w:cs="Arial" w:eastAsia="Arial" w:hAnsi="Arial"/>
                <w:sz w:val="14"/>
                <w:szCs w:val="14"/>
                <w:b w:val="1"/>
                <w:bCs w:val="1"/>
                <w:color w:val="auto"/>
                <w:w w:val="87"/>
              </w:rPr>
              <w:t>1Q05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6460" w:type="dxa"/>
            <w:vAlign w:val="bottom"/>
            <w:tcBorders>
              <w:bottom w:val="single" w:sz="8" w:color="CCEEFF"/>
            </w:tcBorders>
            <w:gridSpan w:val="4"/>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Net income per common share (US$per share)(1)</w:t>
            </w:r>
          </w:p>
        </w:tc>
        <w:tc>
          <w:tcPr>
            <w:tcW w:w="1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0.642</w:t>
            </w:r>
          </w:p>
        </w:tc>
        <w:tc>
          <w:tcPr>
            <w:tcW w:w="15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0.556</w:t>
            </w:r>
          </w:p>
        </w:tc>
        <w:tc>
          <w:tcPr>
            <w:tcW w:w="12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0.547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5.44%</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1.70%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15.02%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No. of outstanding shares (millions)(4)</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79.76</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79.76</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top w:val="single" w:sz="8" w:color="auto"/>
            </w:tcBorders>
            <w:gridSpan w:val="3"/>
          </w:tcPr>
          <w:p>
            <w:pPr>
              <w:ind w:left="420"/>
              <w:spacing w:after="0" w:line="122" w:lineRule="exact"/>
              <w:rPr>
                <w:sz w:val="20"/>
                <w:szCs w:val="20"/>
                <w:color w:val="auto"/>
              </w:rPr>
            </w:pPr>
            <w:r>
              <w:rPr>
                <w:rFonts w:ascii="Arial" w:cs="Arial" w:eastAsia="Arial" w:hAnsi="Arial"/>
                <w:sz w:val="14"/>
                <w:szCs w:val="14"/>
                <w:color w:val="auto"/>
                <w:w w:val="84"/>
              </w:rPr>
              <w:t>Past due loans as</w:t>
            </w:r>
          </w:p>
        </w:tc>
        <w:tc>
          <w:tcPr>
            <w:tcW w:w="57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a percentage of total loans</w:t>
            </w:r>
          </w:p>
        </w:tc>
        <w:tc>
          <w:tcPr>
            <w:tcW w:w="15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1.94%</w:t>
            </w:r>
          </w:p>
        </w:tc>
        <w:tc>
          <w:tcPr>
            <w:tcW w:w="1520" w:type="dxa"/>
            <w:vAlign w:val="bottom"/>
            <w:tcBorders>
              <w:top w:val="single" w:sz="8" w:color="CCEEFF"/>
            </w:tcBorders>
          </w:tcPr>
          <w:p>
            <w:pPr>
              <w:jc w:val="right"/>
              <w:ind w:right="132"/>
              <w:spacing w:after="0" w:line="122" w:lineRule="exact"/>
              <w:rPr>
                <w:sz w:val="20"/>
                <w:szCs w:val="20"/>
                <w:color w:val="auto"/>
              </w:rPr>
            </w:pPr>
            <w:r>
              <w:rPr>
                <w:rFonts w:ascii="Arial" w:cs="Arial" w:eastAsia="Arial" w:hAnsi="Arial"/>
                <w:sz w:val="14"/>
                <w:szCs w:val="14"/>
                <w:color w:val="auto"/>
              </w:rPr>
              <w:t>1.94%</w:t>
            </w:r>
          </w:p>
        </w:tc>
        <w:tc>
          <w:tcPr>
            <w:tcW w:w="12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3.33%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199.34%</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202.78%</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3.94%</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5"/>
          </w:tcPr>
          <w:p>
            <w:pPr>
              <w:ind w:left="420"/>
              <w:spacing w:after="0" w:line="142" w:lineRule="exact"/>
              <w:rPr>
                <w:sz w:val="20"/>
                <w:szCs w:val="20"/>
                <w:color w:val="auto"/>
              </w:rPr>
            </w:pPr>
            <w:r>
              <w:rPr>
                <w:rFonts w:ascii="Arial" w:cs="Arial" w:eastAsia="Arial" w:hAnsi="Arial"/>
                <w:sz w:val="14"/>
                <w:szCs w:val="14"/>
                <w:color w:val="auto"/>
              </w:rPr>
              <w:t>Oper. expense as a percent. of total income (5)</w:t>
            </w:r>
          </w:p>
        </w:tc>
        <w:tc>
          <w:tcPr>
            <w:tcW w:w="1520" w:type="dxa"/>
            <w:vAlign w:val="bottom"/>
          </w:tcPr>
          <w:p>
            <w:pPr>
              <w:jc w:val="right"/>
              <w:spacing w:after="0" w:line="142" w:lineRule="exact"/>
              <w:rPr>
                <w:sz w:val="20"/>
                <w:szCs w:val="20"/>
                <w:color w:val="auto"/>
              </w:rPr>
            </w:pPr>
            <w:r>
              <w:rPr>
                <w:rFonts w:ascii="Arial" w:cs="Arial" w:eastAsia="Arial" w:hAnsi="Arial"/>
                <w:sz w:val="14"/>
                <w:szCs w:val="14"/>
                <w:color w:val="auto"/>
              </w:rPr>
              <w:t>42.54%</w:t>
            </w:r>
          </w:p>
        </w:tc>
        <w:tc>
          <w:tcPr>
            <w:tcW w:w="1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44.52%</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43.52%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4.02%</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 xml:space="preserve">Average balances (millions of </w:t>
            </w: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(3)</w:t>
            </w: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4"/>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49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CCEEFF"/>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9,476.6</w:t>
            </w:r>
          </w:p>
        </w:tc>
        <w:tc>
          <w:tcPr>
            <w:tcW w:w="1520" w:type="dxa"/>
            <w:vAlign w:val="bottom"/>
            <w:tcBorders>
              <w:top w:val="single" w:sz="8" w:color="CCEEFF"/>
            </w:tcBorders>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8,624.9</w:t>
            </w:r>
          </w:p>
        </w:tc>
        <w:tc>
          <w:tcPr>
            <w:tcW w:w="1200" w:type="dxa"/>
            <w:vAlign w:val="bottom"/>
            <w:tcBorders>
              <w:top w:val="single" w:sz="8" w:color="CCEEFF"/>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7,623.8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tcPr>
          <w:p>
            <w:pPr>
              <w:ind w:left="420"/>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11,336.7</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10,425.5</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9,240.8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5"/>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1,175.8</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1,180.5</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1,056.8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9" w:lineRule="exact"/>
        <w:rPr>
          <w:rFonts w:ascii="Arial" w:cs="Arial" w:eastAsia="Arial" w:hAnsi="Arial"/>
          <w:sz w:val="18"/>
          <w:szCs w:val="18"/>
          <w:color w:val="auto"/>
        </w:rPr>
      </w:pPr>
    </w:p>
    <w:p>
      <w:pPr>
        <w:ind w:right="540" w:firstLine="8"/>
        <w:spacing w:after="0" w:line="261"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permiums earned. Operating expense does not include Other expenses.</w:t>
      </w:r>
    </w:p>
    <w:p>
      <w:pPr>
        <w:spacing w:after="0" w:line="19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7" w:name="page28"/>
    <w:bookmarkEnd w:id="27"/>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BANCO DE CREDITO DEL PERU AND SUBSIDIARIES</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ectPr>
          <w:pgSz w:w="11900" w:h="16838" w:orient="portrait"/>
          <w:cols w:equalWidth="0" w:num="1">
            <w:col w:w="11440"/>
          </w:cols>
          <w:pgMar w:left="240" w:top="1440"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ASSETS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due from banks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Cash and BCRP</w:t>
      </w:r>
    </w:p>
    <w:p>
      <w:pPr>
        <w:ind w:left="440"/>
        <w:spacing w:after="0" w:line="221" w:lineRule="auto"/>
        <w:rPr>
          <w:sz w:val="20"/>
          <w:szCs w:val="20"/>
          <w:color w:val="auto"/>
        </w:rPr>
      </w:pPr>
      <w:r>
        <w:rPr>
          <w:rFonts w:ascii="Arial" w:cs="Arial" w:eastAsia="Arial" w:hAnsi="Arial"/>
          <w:sz w:val="14"/>
          <w:szCs w:val="14"/>
          <w:color w:val="auto"/>
        </w:rPr>
        <w:t>Deposits in other Banks</w:t>
      </w:r>
    </w:p>
    <w:p>
      <w:pPr>
        <w:ind w:left="440"/>
        <w:spacing w:after="0" w:line="221" w:lineRule="auto"/>
        <w:rPr>
          <w:sz w:val="20"/>
          <w:szCs w:val="20"/>
          <w:color w:val="auto"/>
        </w:rPr>
      </w:pPr>
      <w:r>
        <w:rPr>
          <w:rFonts w:ascii="Arial" w:cs="Arial" w:eastAsia="Arial" w:hAnsi="Arial"/>
          <w:sz w:val="14"/>
          <w:szCs w:val="14"/>
          <w:color w:val="auto"/>
        </w:rPr>
        <w:t>Interbanks</w:t>
      </w:r>
    </w:p>
    <w:p>
      <w:pPr>
        <w:spacing w:after="0" w:line="1" w:lineRule="exact"/>
        <w:rPr>
          <w:sz w:val="20"/>
          <w:szCs w:val="20"/>
          <w:color w:val="auto"/>
        </w:rPr>
      </w:pPr>
    </w:p>
    <w:p>
      <w:pPr>
        <w:ind w:right="760" w:firstLine="432"/>
        <w:spacing w:after="0" w:line="230" w:lineRule="auto"/>
        <w:rPr>
          <w:sz w:val="20"/>
          <w:szCs w:val="20"/>
          <w:color w:val="auto"/>
        </w:rPr>
      </w:pPr>
      <w:r>
        <w:rPr>
          <w:rFonts w:ascii="Arial" w:cs="Arial" w:eastAsia="Arial" w:hAnsi="Arial"/>
          <w:sz w:val="14"/>
          <w:szCs w:val="14"/>
          <w:color w:val="auto"/>
        </w:rPr>
        <w:t xml:space="preserve">Accrued interest on cash and due from banks </w:t>
      </w:r>
      <w:r>
        <w:rPr>
          <w:rFonts w:ascii="Arial" w:cs="Arial" w:eastAsia="Arial" w:hAnsi="Arial"/>
          <w:sz w:val="14"/>
          <w:szCs w:val="14"/>
          <w:b w:val="1"/>
          <w:bCs w:val="1"/>
          <w:color w:val="auto"/>
        </w:rPr>
        <w:t>Marketable securities,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Current</w:t>
      </w:r>
    </w:p>
    <w:p>
      <w:pPr>
        <w:ind w:left="440"/>
        <w:spacing w:after="0" w:line="221" w:lineRule="auto"/>
        <w:rPr>
          <w:sz w:val="20"/>
          <w:szCs w:val="20"/>
          <w:color w:val="auto"/>
        </w:rPr>
      </w:pPr>
      <w:r>
        <w:rPr>
          <w:rFonts w:ascii="Arial" w:cs="Arial" w:eastAsia="Arial" w:hAnsi="Arial"/>
          <w:sz w:val="14"/>
          <w:szCs w:val="14"/>
          <w:color w:val="auto"/>
        </w:rPr>
        <w:t>Past Due</w:t>
      </w:r>
    </w:p>
    <w:p>
      <w:pPr>
        <w:ind w:left="440"/>
        <w:spacing w:after="0"/>
        <w:rPr>
          <w:sz w:val="20"/>
          <w:szCs w:val="20"/>
          <w:color w:val="auto"/>
        </w:rPr>
      </w:pPr>
      <w:r>
        <w:rPr>
          <w:rFonts w:ascii="Arial" w:cs="Arial" w:eastAsia="Arial" w:hAnsi="Arial"/>
          <w:sz w:val="14"/>
          <w:szCs w:val="14"/>
          <w:color w:val="auto"/>
        </w:rPr>
        <w:t>Less - Reserve for possible loan losses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net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securities available for sale</w:t>
      </w:r>
    </w:p>
    <w:p>
      <w:pPr>
        <w:spacing w:after="0" w:line="223" w:lineRule="auto"/>
        <w:rPr>
          <w:sz w:val="20"/>
          <w:szCs w:val="20"/>
          <w:color w:val="auto"/>
        </w:rPr>
      </w:pPr>
      <w:r>
        <w:rPr>
          <w:rFonts w:ascii="Arial" w:cs="Arial" w:eastAsia="Arial" w:hAnsi="Arial"/>
          <w:sz w:val="14"/>
          <w:szCs w:val="14"/>
          <w:b w:val="1"/>
          <w:bCs w:val="1"/>
          <w:color w:val="auto"/>
        </w:rPr>
        <w:t>Property, plant and equipment, net</w:t>
      </w:r>
    </w:p>
    <w:p>
      <w:pPr>
        <w:spacing w:after="0" w:line="222" w:lineRule="auto"/>
        <w:rPr>
          <w:sz w:val="20"/>
          <w:szCs w:val="20"/>
          <w:color w:val="auto"/>
        </w:rPr>
      </w:pPr>
      <w:r>
        <w:rPr>
          <w:rFonts w:ascii="Arial" w:cs="Arial" w:eastAsia="Arial" w:hAnsi="Arial"/>
          <w:sz w:val="14"/>
          <w:szCs w:val="14"/>
          <w:b w:val="1"/>
          <w:bCs w:val="1"/>
          <w:color w:val="auto"/>
        </w:rPr>
        <w:t>Due from customers acceptances</w:t>
      </w:r>
    </w:p>
    <w:p>
      <w:pPr>
        <w:spacing w:after="0"/>
        <w:rPr>
          <w:sz w:val="20"/>
          <w:szCs w:val="20"/>
          <w:color w:val="auto"/>
        </w:rPr>
      </w:pPr>
      <w:r>
        <w:rPr>
          <w:rFonts w:ascii="Arial" w:cs="Arial" w:eastAsia="Arial" w:hAnsi="Arial"/>
          <w:sz w:val="14"/>
          <w:szCs w:val="14"/>
          <w:b w:val="1"/>
          <w:bCs w:val="1"/>
          <w:color w:val="auto"/>
        </w:rPr>
        <w:t>Other assets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Total Assets</w:t>
      </w:r>
    </w:p>
    <w:p>
      <w:pPr>
        <w:spacing w:after="0" w:line="217" w:lineRule="exact"/>
        <w:rPr>
          <w:sz w:val="20"/>
          <w:szCs w:val="20"/>
          <w:color w:val="auto"/>
        </w:rPr>
      </w:pPr>
    </w:p>
    <w:p>
      <w:pPr>
        <w:jc w:val="center"/>
        <w:ind w:left="720"/>
        <w:spacing w:after="0"/>
        <w:rPr>
          <w:sz w:val="20"/>
          <w:szCs w:val="20"/>
          <w:color w:val="auto"/>
        </w:rPr>
      </w:pPr>
      <w:r>
        <w:rPr>
          <w:rFonts w:ascii="Arial" w:cs="Arial" w:eastAsia="Arial" w:hAnsi="Arial"/>
          <w:sz w:val="12"/>
          <w:szCs w:val="12"/>
          <w:b w:val="1"/>
          <w:bCs w:val="1"/>
          <w:color w:val="auto"/>
        </w:rPr>
        <w:t>LIABILITIES AND SHAREHOLDERS’ EQUITY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jc w:val="right"/>
              <w:ind w:right="572"/>
              <w:spacing w:after="0"/>
              <w:rPr>
                <w:sz w:val="20"/>
                <w:szCs w:val="20"/>
                <w:color w:val="auto"/>
              </w:rPr>
            </w:pPr>
            <w:r>
              <w:rPr>
                <w:rFonts w:ascii="Arial" w:cs="Arial" w:eastAsia="Arial" w:hAnsi="Arial"/>
                <w:sz w:val="14"/>
                <w:szCs w:val="14"/>
                <w:b w:val="1"/>
                <w:bCs w:val="1"/>
                <w:color w:val="auto"/>
              </w:rPr>
              <w:t>31-Mar</w:t>
            </w:r>
          </w:p>
        </w:tc>
        <w:tc>
          <w:tcPr>
            <w:tcW w:w="1360" w:type="dxa"/>
            <w:vAlign w:val="bottom"/>
          </w:tcPr>
          <w:p>
            <w:pPr>
              <w:jc w:val="right"/>
              <w:ind w:right="652"/>
              <w:spacing w:after="0"/>
              <w:rPr>
                <w:sz w:val="20"/>
                <w:szCs w:val="20"/>
                <w:color w:val="auto"/>
              </w:rPr>
            </w:pPr>
            <w:r>
              <w:rPr>
                <w:rFonts w:ascii="Arial" w:cs="Arial" w:eastAsia="Arial" w:hAnsi="Arial"/>
                <w:sz w:val="14"/>
                <w:szCs w:val="14"/>
                <w:b w:val="1"/>
                <w:bCs w:val="1"/>
                <w:color w:val="auto"/>
              </w:rPr>
              <w:t>31-Dec</w:t>
            </w:r>
          </w:p>
        </w:tc>
        <w:tc>
          <w:tcPr>
            <w:tcW w:w="1300" w:type="dxa"/>
            <w:vAlign w:val="bottom"/>
          </w:tcPr>
          <w:p>
            <w:pPr>
              <w:jc w:val="right"/>
              <w:ind w:right="512"/>
              <w:spacing w:after="0"/>
              <w:rPr>
                <w:sz w:val="20"/>
                <w:szCs w:val="20"/>
                <w:color w:val="auto"/>
              </w:rPr>
            </w:pPr>
            <w:r>
              <w:rPr>
                <w:rFonts w:ascii="Arial" w:cs="Arial" w:eastAsia="Arial" w:hAnsi="Arial"/>
                <w:sz w:val="14"/>
                <w:szCs w:val="14"/>
                <w:b w:val="1"/>
                <w:bCs w:val="1"/>
                <w:color w:val="auto"/>
              </w:rPr>
              <w:t>31-Mar</w:t>
            </w: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 change</w:t>
            </w:r>
          </w:p>
        </w:tc>
        <w:tc>
          <w:tcPr>
            <w:tcW w:w="1300" w:type="dxa"/>
            <w:vAlign w:val="bottom"/>
          </w:tcPr>
          <w:p>
            <w:pPr>
              <w:jc w:val="right"/>
              <w:ind w:right="392"/>
              <w:spacing w:after="0"/>
              <w:rPr>
                <w:sz w:val="20"/>
                <w:szCs w:val="20"/>
                <w:color w:val="auto"/>
              </w:rPr>
            </w:pPr>
            <w:r>
              <w:rPr>
                <w:rFonts w:ascii="Arial" w:cs="Arial" w:eastAsia="Arial" w:hAnsi="Arial"/>
                <w:sz w:val="14"/>
                <w:szCs w:val="14"/>
                <w:b w:val="1"/>
                <w:bCs w:val="1"/>
                <w:color w:val="auto"/>
              </w:rPr>
              <w:t>% change</w:t>
            </w:r>
          </w:p>
        </w:tc>
      </w:tr>
      <w:tr>
        <w:trPr>
          <w:trHeight w:val="174"/>
        </w:trPr>
        <w:tc>
          <w:tcPr>
            <w:tcW w:w="1660" w:type="dxa"/>
            <w:vAlign w:val="bottom"/>
          </w:tcPr>
          <w:p>
            <w:pPr>
              <w:jc w:val="right"/>
              <w:ind w:right="672"/>
              <w:spacing w:after="0"/>
              <w:rPr>
                <w:sz w:val="20"/>
                <w:szCs w:val="20"/>
                <w:color w:val="auto"/>
              </w:rPr>
            </w:pPr>
            <w:r>
              <w:rPr>
                <w:rFonts w:ascii="Arial" w:cs="Arial" w:eastAsia="Arial" w:hAnsi="Arial"/>
                <w:sz w:val="14"/>
                <w:szCs w:val="14"/>
                <w:b w:val="1"/>
                <w:bCs w:val="1"/>
                <w:color w:val="auto"/>
              </w:rPr>
              <w:t>2006</w:t>
            </w:r>
          </w:p>
        </w:tc>
        <w:tc>
          <w:tcPr>
            <w:tcW w:w="1360" w:type="dxa"/>
            <w:vAlign w:val="bottom"/>
          </w:tcPr>
          <w:p>
            <w:pPr>
              <w:jc w:val="right"/>
              <w:ind w:right="712"/>
              <w:spacing w:after="0"/>
              <w:rPr>
                <w:sz w:val="20"/>
                <w:szCs w:val="20"/>
                <w:color w:val="auto"/>
              </w:rPr>
            </w:pPr>
            <w:r>
              <w:rPr>
                <w:rFonts w:ascii="Arial" w:cs="Arial" w:eastAsia="Arial" w:hAnsi="Arial"/>
                <w:sz w:val="14"/>
                <w:szCs w:val="14"/>
                <w:b w:val="1"/>
                <w:bCs w:val="1"/>
                <w:color w:val="auto"/>
              </w:rPr>
              <w:t>2005</w:t>
            </w: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2005</w:t>
            </w:r>
          </w:p>
        </w:tc>
        <w:tc>
          <w:tcPr>
            <w:tcW w:w="1480" w:type="dxa"/>
            <w:vAlign w:val="bottom"/>
          </w:tcPr>
          <w:p>
            <w:pPr>
              <w:jc w:val="right"/>
              <w:ind w:right="372"/>
              <w:spacing w:after="0"/>
              <w:rPr>
                <w:sz w:val="20"/>
                <w:szCs w:val="20"/>
                <w:color w:val="auto"/>
              </w:rPr>
            </w:pPr>
            <w:r>
              <w:rPr>
                <w:rFonts w:ascii="Arial" w:cs="Arial" w:eastAsia="Arial" w:hAnsi="Arial"/>
                <w:sz w:val="14"/>
                <w:szCs w:val="14"/>
                <w:b w:val="1"/>
                <w:bCs w:val="1"/>
                <w:color w:val="auto"/>
              </w:rPr>
              <w:t>Mar.06/Mar.05</w:t>
            </w:r>
          </w:p>
        </w:tc>
        <w:tc>
          <w:tcPr>
            <w:tcW w:w="1300" w:type="dxa"/>
            <w:vAlign w:val="bottom"/>
          </w:tcPr>
          <w:p>
            <w:pPr>
              <w:jc w:val="right"/>
              <w:ind w:right="252"/>
              <w:spacing w:after="0"/>
              <w:rPr>
                <w:sz w:val="20"/>
                <w:szCs w:val="20"/>
                <w:color w:val="auto"/>
              </w:rPr>
            </w:pPr>
            <w:r>
              <w:rPr>
                <w:rFonts w:ascii="Arial" w:cs="Arial" w:eastAsia="Arial" w:hAnsi="Arial"/>
                <w:sz w:val="14"/>
                <w:szCs w:val="14"/>
                <w:b w:val="1"/>
                <w:bCs w:val="1"/>
                <w:color w:val="auto"/>
              </w:rPr>
              <w:t>Mar.06/Dec.05</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63"/>
        </w:trPr>
        <w:tc>
          <w:tcPr>
            <w:tcW w:w="1660" w:type="dxa"/>
            <w:vAlign w:val="bottom"/>
          </w:tcPr>
          <w:p>
            <w:pPr>
              <w:jc w:val="right"/>
              <w:ind w:right="532"/>
              <w:spacing w:after="0"/>
              <w:rPr>
                <w:sz w:val="20"/>
                <w:szCs w:val="20"/>
                <w:color w:val="auto"/>
              </w:rPr>
            </w:pPr>
            <w:r>
              <w:rPr>
                <w:rFonts w:ascii="Arial" w:cs="Arial" w:eastAsia="Arial" w:hAnsi="Arial"/>
                <w:sz w:val="14"/>
                <w:szCs w:val="14"/>
                <w:b w:val="1"/>
                <w:bCs w:val="1"/>
                <w:color w:val="auto"/>
              </w:rPr>
              <w:t>US$000</w:t>
            </w:r>
          </w:p>
        </w:tc>
        <w:tc>
          <w:tcPr>
            <w:tcW w:w="1360" w:type="dxa"/>
            <w:vAlign w:val="bottom"/>
          </w:tcPr>
          <w:p>
            <w:pPr>
              <w:jc w:val="right"/>
              <w:ind w:right="572"/>
              <w:spacing w:after="0"/>
              <w:rPr>
                <w:sz w:val="20"/>
                <w:szCs w:val="20"/>
                <w:color w:val="auto"/>
              </w:rPr>
            </w:pPr>
            <w:r>
              <w:rPr>
                <w:rFonts w:ascii="Arial" w:cs="Arial" w:eastAsia="Arial" w:hAnsi="Arial"/>
                <w:sz w:val="14"/>
                <w:szCs w:val="14"/>
                <w:b w:val="1"/>
                <w:bCs w:val="1"/>
                <w:color w:val="auto"/>
              </w:rPr>
              <w:t>US$000</w:t>
            </w:r>
          </w:p>
        </w:tc>
        <w:tc>
          <w:tcPr>
            <w:tcW w:w="1300" w:type="dxa"/>
            <w:vAlign w:val="bottom"/>
          </w:tcPr>
          <w:p>
            <w:pPr>
              <w:jc w:val="right"/>
              <w:ind w:right="452"/>
              <w:spacing w:after="0"/>
              <w:rPr>
                <w:sz w:val="20"/>
                <w:szCs w:val="20"/>
                <w:color w:val="auto"/>
              </w:rPr>
            </w:pPr>
            <w:r>
              <w:rPr>
                <w:rFonts w:ascii="Arial" w:cs="Arial" w:eastAsia="Arial" w:hAnsi="Arial"/>
                <w:sz w:val="14"/>
                <w:szCs w:val="14"/>
                <w:b w:val="1"/>
                <w:bCs w:val="1"/>
                <w:color w:val="auto"/>
              </w:rPr>
              <w:t>US$000</w:t>
            </w:r>
          </w:p>
        </w:tc>
        <w:tc>
          <w:tcPr>
            <w:tcW w:w="14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4"/>
        </w:trPr>
        <w:tc>
          <w:tcPr>
            <w:tcW w:w="16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r>
        <w:trPr>
          <w:trHeight w:val="263"/>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2,924,752</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2,453,264</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1,646,088</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77.7%</w:t>
            </w:r>
          </w:p>
        </w:tc>
        <w:tc>
          <w:tcPr>
            <w:tcW w:w="13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39"/>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2,372,801</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1,958,830</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1,276,073</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85.9%</w:t>
            </w:r>
          </w:p>
        </w:tc>
        <w:tc>
          <w:tcPr>
            <w:tcW w:w="13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149"/>
        </w:trPr>
        <w:tc>
          <w:tcPr>
            <w:tcW w:w="1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491,012</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491,793</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365,437</w:t>
            </w: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34.4%</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r>
      <w:tr>
        <w:trPr>
          <w:trHeight w:val="149"/>
        </w:trPr>
        <w:tc>
          <w:tcPr>
            <w:tcW w:w="1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58,151</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146</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2,481</w:t>
            </w: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2244.2%</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39791.9%</w:t>
            </w:r>
          </w:p>
        </w:tc>
      </w:tr>
      <w:tr>
        <w:trPr>
          <w:trHeight w:val="149"/>
        </w:trPr>
        <w:tc>
          <w:tcPr>
            <w:tcW w:w="1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2,788</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2,495</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2,097</w:t>
            </w: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33.0%</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r>
      <w:tr>
        <w:trPr>
          <w:trHeight w:val="172"/>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44,982</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21,149</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32,307</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39.2%</w:t>
            </w:r>
          </w:p>
        </w:tc>
        <w:tc>
          <w:tcPr>
            <w:tcW w:w="1300" w:type="dxa"/>
            <w:vAlign w:val="bottom"/>
          </w:tcPr>
          <w:p>
            <w:pPr>
              <w:jc w:val="right"/>
              <w:spacing w:after="0"/>
              <w:rPr>
                <w:sz w:val="20"/>
                <w:szCs w:val="20"/>
                <w:color w:val="auto"/>
              </w:rPr>
            </w:pPr>
            <w:r>
              <w:rPr>
                <w:rFonts w:ascii="Arial" w:cs="Arial" w:eastAsia="Arial" w:hAnsi="Arial"/>
                <w:sz w:val="14"/>
                <w:szCs w:val="14"/>
                <w:color w:val="auto"/>
              </w:rPr>
              <w:t>112.7%</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63"/>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5,005,176</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4,869,428</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4,398,746</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13.8%</w:t>
            </w:r>
          </w:p>
        </w:tc>
        <w:tc>
          <w:tcPr>
            <w:tcW w:w="13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39"/>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4,909,363</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4,775,721</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4,250,641</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15.5%</w:t>
            </w:r>
          </w:p>
        </w:tc>
        <w:tc>
          <w:tcPr>
            <w:tcW w:w="13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49"/>
        </w:trPr>
        <w:tc>
          <w:tcPr>
            <w:tcW w:w="1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95,812</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93,707</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148,105</w:t>
            </w: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-35.3%</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72"/>
        </w:trPr>
        <w:tc>
          <w:tcPr>
            <w:tcW w:w="1660" w:type="dxa"/>
            <w:vAlign w:val="bottom"/>
          </w:tcPr>
          <w:p>
            <w:pPr>
              <w:jc w:val="right"/>
              <w:ind w:right="172"/>
              <w:spacing w:after="0"/>
              <w:rPr>
                <w:sz w:val="20"/>
                <w:szCs w:val="20"/>
                <w:color w:val="auto"/>
              </w:rPr>
            </w:pPr>
            <w:r>
              <w:rPr>
                <w:rFonts w:ascii="Arial" w:cs="Arial" w:eastAsia="Arial" w:hAnsi="Arial"/>
                <w:sz w:val="14"/>
                <w:szCs w:val="14"/>
                <w:color w:val="auto"/>
              </w:rPr>
              <w:t>(195,271)</w:t>
            </w:r>
          </w:p>
        </w:tc>
        <w:tc>
          <w:tcPr>
            <w:tcW w:w="1360" w:type="dxa"/>
            <w:vAlign w:val="bottom"/>
          </w:tcPr>
          <w:p>
            <w:pPr>
              <w:jc w:val="right"/>
              <w:ind w:right="212"/>
              <w:spacing w:after="0"/>
              <w:rPr>
                <w:sz w:val="20"/>
                <w:szCs w:val="20"/>
                <w:color w:val="auto"/>
              </w:rPr>
            </w:pPr>
            <w:r>
              <w:rPr>
                <w:rFonts w:ascii="Arial" w:cs="Arial" w:eastAsia="Arial" w:hAnsi="Arial"/>
                <w:sz w:val="14"/>
                <w:szCs w:val="14"/>
                <w:color w:val="auto"/>
              </w:rPr>
              <w:t>(194,585)</w:t>
            </w:r>
          </w:p>
        </w:tc>
        <w:tc>
          <w:tcPr>
            <w:tcW w:w="1300" w:type="dxa"/>
            <w:vAlign w:val="bottom"/>
          </w:tcPr>
          <w:p>
            <w:pPr>
              <w:jc w:val="right"/>
              <w:ind w:right="92"/>
              <w:spacing w:after="0"/>
              <w:rPr>
                <w:sz w:val="20"/>
                <w:szCs w:val="20"/>
                <w:color w:val="auto"/>
              </w:rPr>
            </w:pPr>
            <w:r>
              <w:rPr>
                <w:rFonts w:ascii="Arial" w:cs="Arial" w:eastAsia="Arial" w:hAnsi="Arial"/>
                <w:sz w:val="14"/>
                <w:szCs w:val="14"/>
                <w:color w:val="auto"/>
              </w:rPr>
              <w:t>(242,263)</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-19.4%</w:t>
            </w:r>
          </w:p>
        </w:tc>
        <w:tc>
          <w:tcPr>
            <w:tcW w:w="130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63"/>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4,809,904</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4,674,843</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4,156,483</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15.7%</w:t>
            </w:r>
          </w:p>
        </w:tc>
        <w:tc>
          <w:tcPr>
            <w:tcW w:w="13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39"/>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1,341,998</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1,684,823</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1,600,072</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-16.1%</w:t>
            </w:r>
          </w:p>
        </w:tc>
        <w:tc>
          <w:tcPr>
            <w:tcW w:w="130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149"/>
        </w:trPr>
        <w:tc>
          <w:tcPr>
            <w:tcW w:w="1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197,866</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201,541</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204,326</w:t>
            </w: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49"/>
        </w:trPr>
        <w:tc>
          <w:tcPr>
            <w:tcW w:w="16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45,423</w:t>
            </w:r>
          </w:p>
        </w:tc>
        <w:tc>
          <w:tcPr>
            <w:tcW w:w="13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47,158</w:t>
            </w:r>
          </w:p>
        </w:tc>
        <w:tc>
          <w:tcPr>
            <w:tcW w:w="14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5.2%</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r>
      <w:tr>
        <w:trPr>
          <w:trHeight w:val="172"/>
        </w:trPr>
        <w:tc>
          <w:tcPr>
            <w:tcW w:w="1660" w:type="dxa"/>
            <w:vAlign w:val="bottom"/>
          </w:tcPr>
          <w:p>
            <w:pPr>
              <w:jc w:val="right"/>
              <w:ind w:right="232"/>
              <w:spacing w:after="0"/>
              <w:rPr>
                <w:sz w:val="20"/>
                <w:szCs w:val="20"/>
                <w:color w:val="auto"/>
              </w:rPr>
            </w:pPr>
            <w:r>
              <w:rPr>
                <w:rFonts w:ascii="Arial" w:cs="Arial" w:eastAsia="Arial" w:hAnsi="Arial"/>
                <w:sz w:val="14"/>
                <w:szCs w:val="14"/>
                <w:color w:val="auto"/>
              </w:rPr>
              <w:t>290,520</w:t>
            </w:r>
          </w:p>
        </w:tc>
        <w:tc>
          <w:tcPr>
            <w:tcW w:w="1360" w:type="dxa"/>
            <w:vAlign w:val="bottom"/>
          </w:tcPr>
          <w:p>
            <w:pPr>
              <w:jc w:val="right"/>
              <w:ind w:right="252"/>
              <w:spacing w:after="0"/>
              <w:rPr>
                <w:sz w:val="20"/>
                <w:szCs w:val="20"/>
                <w:color w:val="auto"/>
              </w:rPr>
            </w:pPr>
            <w:r>
              <w:rPr>
                <w:rFonts w:ascii="Arial" w:cs="Arial" w:eastAsia="Arial" w:hAnsi="Arial"/>
                <w:sz w:val="14"/>
                <w:szCs w:val="14"/>
                <w:color w:val="auto"/>
              </w:rPr>
              <w:t>235,782</w:t>
            </w:r>
          </w:p>
        </w:tc>
        <w:tc>
          <w:tcPr>
            <w:tcW w:w="1300" w:type="dxa"/>
            <w:vAlign w:val="bottom"/>
          </w:tcPr>
          <w:p>
            <w:pPr>
              <w:jc w:val="right"/>
              <w:ind w:right="152"/>
              <w:spacing w:after="0"/>
              <w:rPr>
                <w:sz w:val="20"/>
                <w:szCs w:val="20"/>
                <w:color w:val="auto"/>
              </w:rPr>
            </w:pPr>
            <w:r>
              <w:rPr>
                <w:rFonts w:ascii="Arial" w:cs="Arial" w:eastAsia="Arial" w:hAnsi="Arial"/>
                <w:sz w:val="14"/>
                <w:szCs w:val="14"/>
                <w:color w:val="auto"/>
              </w:rPr>
              <w:t>239,040</w:t>
            </w:r>
          </w:p>
        </w:tc>
        <w:tc>
          <w:tcPr>
            <w:tcW w:w="1480" w:type="dxa"/>
            <w:vAlign w:val="bottom"/>
          </w:tcPr>
          <w:p>
            <w:pPr>
              <w:jc w:val="right"/>
              <w:ind w:right="112"/>
              <w:spacing w:after="0"/>
              <w:rPr>
                <w:sz w:val="20"/>
                <w:szCs w:val="20"/>
                <w:color w:val="auto"/>
              </w:rPr>
            </w:pPr>
            <w:r>
              <w:rPr>
                <w:rFonts w:ascii="Arial" w:cs="Arial" w:eastAsia="Arial" w:hAnsi="Arial"/>
                <w:sz w:val="14"/>
                <w:szCs w:val="14"/>
                <w:color w:val="auto"/>
              </w:rPr>
              <w:t>21.5%</w:t>
            </w:r>
          </w:p>
        </w:tc>
        <w:tc>
          <w:tcPr>
            <w:tcW w:w="130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r>
        <w:trPr>
          <w:trHeight w:val="263"/>
        </w:trPr>
        <w:tc>
          <w:tcPr>
            <w:tcW w:w="1660" w:type="dxa"/>
            <w:vAlign w:val="bottom"/>
          </w:tcPr>
          <w:p>
            <w:pPr>
              <w:jc w:val="right"/>
              <w:ind w:right="232"/>
              <w:spacing w:after="0"/>
              <w:rPr>
                <w:sz w:val="20"/>
                <w:szCs w:val="20"/>
                <w:color w:val="auto"/>
              </w:rPr>
            </w:pPr>
            <w:r>
              <w:rPr>
                <w:rFonts w:ascii="Arial" w:cs="Arial" w:eastAsia="Arial" w:hAnsi="Arial"/>
                <w:sz w:val="14"/>
                <w:szCs w:val="14"/>
                <w:b w:val="1"/>
                <w:bCs w:val="1"/>
                <w:color w:val="auto"/>
              </w:rPr>
              <w:t>9,659,637</w:t>
            </w: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9,316,825</w:t>
            </w:r>
          </w:p>
        </w:tc>
        <w:tc>
          <w:tcPr>
            <w:tcW w:w="1300" w:type="dxa"/>
            <w:vAlign w:val="bottom"/>
          </w:tcPr>
          <w:p>
            <w:pPr>
              <w:jc w:val="right"/>
              <w:ind w:right="152"/>
              <w:spacing w:after="0"/>
              <w:rPr>
                <w:sz w:val="20"/>
                <w:szCs w:val="20"/>
                <w:color w:val="auto"/>
              </w:rPr>
            </w:pPr>
            <w:r>
              <w:rPr>
                <w:rFonts w:ascii="Arial" w:cs="Arial" w:eastAsia="Arial" w:hAnsi="Arial"/>
                <w:sz w:val="14"/>
                <w:szCs w:val="14"/>
                <w:b w:val="1"/>
                <w:bCs w:val="1"/>
                <w:color w:val="auto"/>
              </w:rPr>
              <w:t>7,925,474</w:t>
            </w:r>
          </w:p>
        </w:tc>
        <w:tc>
          <w:tcPr>
            <w:tcW w:w="1480" w:type="dxa"/>
            <w:vAlign w:val="bottom"/>
          </w:tcPr>
          <w:p>
            <w:pPr>
              <w:jc w:val="right"/>
              <w:ind w:right="92"/>
              <w:spacing w:after="0"/>
              <w:rPr>
                <w:sz w:val="20"/>
                <w:szCs w:val="20"/>
                <w:color w:val="auto"/>
              </w:rPr>
            </w:pPr>
            <w:r>
              <w:rPr>
                <w:rFonts w:ascii="Arial" w:cs="Arial" w:eastAsia="Arial" w:hAnsi="Arial"/>
                <w:sz w:val="14"/>
                <w:szCs w:val="14"/>
                <w:b w:val="1"/>
                <w:bCs w:val="1"/>
                <w:color w:val="auto"/>
              </w:rPr>
              <w:t>21.9%</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95"/>
        </w:trPr>
        <w:tc>
          <w:tcPr>
            <w:tcW w:w="16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-2700655</wp:posOffset>
            </wp:positionV>
            <wp:extent cx="724662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-2460625</wp:posOffset>
            </wp:positionV>
            <wp:extent cx="724662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-2220595</wp:posOffset>
            </wp:positionV>
            <wp:extent cx="7246620"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-2032000</wp:posOffset>
            </wp:positionV>
            <wp:extent cx="724662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-1843405</wp:posOffset>
            </wp:positionV>
            <wp:extent cx="7246620" cy="94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-1602740</wp:posOffset>
            </wp:positionV>
            <wp:extent cx="724662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-1362710</wp:posOffset>
            </wp:positionV>
            <wp:extent cx="7246620"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-1174115</wp:posOffset>
            </wp:positionV>
            <wp:extent cx="724662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-934085</wp:posOffset>
            </wp:positionV>
            <wp:extent cx="7246620" cy="94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-694055</wp:posOffset>
            </wp:positionV>
            <wp:extent cx="724662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-505460</wp:posOffset>
            </wp:positionV>
            <wp:extent cx="7246620" cy="94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-170815</wp:posOffset>
            </wp:positionV>
            <wp:extent cx="724662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68580</wp:posOffset>
            </wp:positionV>
            <wp:extent cx="7246620" cy="946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231775</wp:posOffset>
            </wp:positionV>
            <wp:extent cx="45110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11040" cy="8890"/>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3640" w:space="700"/>
            <w:col w:w="7100"/>
          </w:cols>
          <w:pgMar w:left="240" w:top="1440" w:right="21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Deposits and obligations</w:t>
            </w:r>
          </w:p>
        </w:tc>
        <w:tc>
          <w:tcPr>
            <w:tcW w:w="176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6,914,341</w:t>
            </w:r>
          </w:p>
        </w:tc>
        <w:tc>
          <w:tcPr>
            <w:tcW w:w="136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6,676,245</w:t>
            </w:r>
          </w:p>
        </w:tc>
        <w:tc>
          <w:tcPr>
            <w:tcW w:w="154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6,050,938</w:t>
            </w:r>
          </w:p>
        </w:tc>
        <w:tc>
          <w:tcPr>
            <w:tcW w:w="150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14.3%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Demand deposits</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2,142,478</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2,186,273</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1,990,828</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7.6%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420"/>
              <w:spacing w:after="0" w:line="149" w:lineRule="exact"/>
              <w:rPr>
                <w:sz w:val="20"/>
                <w:szCs w:val="20"/>
                <w:color w:val="auto"/>
              </w:rPr>
            </w:pPr>
            <w:r>
              <w:rPr>
                <w:rFonts w:ascii="Arial" w:cs="Arial" w:eastAsia="Arial" w:hAnsi="Arial"/>
                <w:sz w:val="14"/>
                <w:szCs w:val="14"/>
                <w:color w:val="auto"/>
              </w:rPr>
              <w:t>Saving deposits</w:t>
            </w:r>
          </w:p>
        </w:tc>
        <w:tc>
          <w:tcPr>
            <w:tcW w:w="1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1,763,128</w:t>
            </w:r>
          </w:p>
        </w:tc>
        <w:tc>
          <w:tcPr>
            <w:tcW w:w="13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1,656,470</w:t>
            </w:r>
          </w:p>
        </w:tc>
        <w:tc>
          <w:tcPr>
            <w:tcW w:w="15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1,542,382</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14.3%</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Time deposits</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2,350,413</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2,155,015</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1,978,154</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18.8%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420"/>
              <w:spacing w:after="0" w:line="149" w:lineRule="exact"/>
              <w:rPr>
                <w:sz w:val="20"/>
                <w:szCs w:val="20"/>
                <w:color w:val="auto"/>
              </w:rPr>
            </w:pPr>
            <w:r>
              <w:rPr>
                <w:rFonts w:ascii="Arial" w:cs="Arial" w:eastAsia="Arial" w:hAnsi="Arial"/>
                <w:sz w:val="14"/>
                <w:szCs w:val="14"/>
                <w:color w:val="auto"/>
              </w:rPr>
              <w:t>Severance indemnity deposits (CTS)</w:t>
            </w:r>
          </w:p>
        </w:tc>
        <w:tc>
          <w:tcPr>
            <w:tcW w:w="1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631,796</w:t>
            </w:r>
          </w:p>
        </w:tc>
        <w:tc>
          <w:tcPr>
            <w:tcW w:w="13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654,791</w:t>
            </w:r>
          </w:p>
        </w:tc>
        <w:tc>
          <w:tcPr>
            <w:tcW w:w="15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517,544</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22.1%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payable</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26,525</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23,695</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22,031</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20.4%</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998,198</w:t>
            </w:r>
          </w:p>
        </w:tc>
        <w:tc>
          <w:tcPr>
            <w:tcW w:w="13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995,105</w:t>
            </w:r>
          </w:p>
        </w:tc>
        <w:tc>
          <w:tcPr>
            <w:tcW w:w="15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315,809</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216.1%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450,809</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449,372</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441,944</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49,613</w:t>
            </w:r>
          </w:p>
        </w:tc>
        <w:tc>
          <w:tcPr>
            <w:tcW w:w="13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45,423</w:t>
            </w:r>
          </w:p>
        </w:tc>
        <w:tc>
          <w:tcPr>
            <w:tcW w:w="15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47,158</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5.2%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481,722</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273,261</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338,418</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42.3%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b w:val="1"/>
                <w:bCs w:val="1"/>
                <w:color w:val="auto"/>
              </w:rPr>
              <w:t>Total liabilities</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8,894,683</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8,439,407</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7,194,268</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23.6%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764,954</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877,418</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731,206</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4.6%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stock</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364,706</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364,706</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364,706</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420"/>
              <w:spacing w:after="0" w:line="149" w:lineRule="exact"/>
              <w:rPr>
                <w:sz w:val="20"/>
                <w:szCs w:val="20"/>
                <w:color w:val="auto"/>
              </w:rPr>
            </w:pPr>
            <w:r>
              <w:rPr>
                <w:rFonts w:ascii="Arial" w:cs="Arial" w:eastAsia="Arial" w:hAnsi="Arial"/>
                <w:sz w:val="14"/>
                <w:szCs w:val="14"/>
                <w:color w:val="auto"/>
              </w:rPr>
              <w:t>Reserves</w:t>
            </w:r>
          </w:p>
        </w:tc>
        <w:tc>
          <w:tcPr>
            <w:tcW w:w="1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242,889</w:t>
            </w:r>
          </w:p>
        </w:tc>
        <w:tc>
          <w:tcPr>
            <w:tcW w:w="13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210,928</w:t>
            </w:r>
          </w:p>
        </w:tc>
        <w:tc>
          <w:tcPr>
            <w:tcW w:w="15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210,928</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15.2%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Gains and Losses</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41,144</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37,204</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29,751</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38.3%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7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56,334</w:t>
            </w:r>
          </w:p>
        </w:tc>
        <w:tc>
          <w:tcPr>
            <w:tcW w:w="13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80,424</w:t>
            </w:r>
          </w:p>
        </w:tc>
        <w:tc>
          <w:tcPr>
            <w:tcW w:w="154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80,423</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-30.0%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for the year</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59,880</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184,156</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45,397</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31.9%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b w:val="1"/>
                <w:bCs w:val="1"/>
                <w:color w:val="auto"/>
              </w:rPr>
              <w:t>9,659,637</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b w:val="1"/>
                <w:bCs w:val="1"/>
                <w:color w:val="auto"/>
              </w:rPr>
              <w:t>9,316,825</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b w:val="1"/>
                <w:bCs w:val="1"/>
                <w:color w:val="auto"/>
              </w:rPr>
              <w:t>7,925,474</w:t>
            </w:r>
          </w:p>
        </w:tc>
        <w:tc>
          <w:tcPr>
            <w:tcW w:w="150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b w:val="1"/>
                <w:bCs w:val="1"/>
                <w:color w:val="auto"/>
              </w:rPr>
              <w:t>21.9%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CONTINGENT CREDITS</w:t>
            </w:r>
          </w:p>
        </w:tc>
        <w:tc>
          <w:tcPr>
            <w:tcW w:w="176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3,050,450</w:t>
            </w:r>
          </w:p>
        </w:tc>
        <w:tc>
          <w:tcPr>
            <w:tcW w:w="13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2,707,158</w:t>
            </w:r>
          </w:p>
        </w:tc>
        <w:tc>
          <w:tcPr>
            <w:tcW w:w="154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1,845,528</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65.3%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type w:val="continuous"/>
        </w:sectPr>
      </w:pPr>
    </w:p>
    <w:bookmarkStart w:id="28" w:name="page29"/>
    <w:bookmarkEnd w:id="2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jc w:val="right"/>
              <w:ind w:right="572"/>
              <w:spacing w:after="0"/>
              <w:rPr>
                <w:sz w:val="20"/>
                <w:szCs w:val="20"/>
                <w:color w:val="auto"/>
              </w:rPr>
            </w:pPr>
            <w:r>
              <w:rPr>
                <w:rFonts w:ascii="Arial" w:cs="Arial" w:eastAsia="Arial" w:hAnsi="Arial"/>
                <w:sz w:val="14"/>
                <w:szCs w:val="14"/>
                <w:b w:val="1"/>
                <w:bCs w:val="1"/>
                <w:color w:val="auto"/>
              </w:rPr>
              <w:t>31-Mars</w:t>
            </w:r>
          </w:p>
        </w:tc>
        <w:tc>
          <w:tcPr>
            <w:tcW w:w="1360" w:type="dxa"/>
            <w:vAlign w:val="bottom"/>
          </w:tcPr>
          <w:p>
            <w:pPr>
              <w:jc w:val="right"/>
              <w:ind w:right="612"/>
              <w:spacing w:after="0"/>
              <w:rPr>
                <w:sz w:val="20"/>
                <w:szCs w:val="20"/>
                <w:color w:val="auto"/>
              </w:rPr>
            </w:pPr>
            <w:r>
              <w:rPr>
                <w:rFonts w:ascii="Arial" w:cs="Arial" w:eastAsia="Arial" w:hAnsi="Arial"/>
                <w:sz w:val="14"/>
                <w:szCs w:val="14"/>
                <w:b w:val="1"/>
                <w:bCs w:val="1"/>
                <w:color w:val="auto"/>
              </w:rPr>
              <w:t>31-Dec</w:t>
            </w:r>
          </w:p>
        </w:tc>
        <w:tc>
          <w:tcPr>
            <w:tcW w:w="1260" w:type="dxa"/>
            <w:vAlign w:val="bottom"/>
          </w:tcPr>
          <w:p>
            <w:pPr>
              <w:jc w:val="right"/>
              <w:ind w:right="472"/>
              <w:spacing w:after="0"/>
              <w:rPr>
                <w:sz w:val="20"/>
                <w:szCs w:val="20"/>
                <w:color w:val="auto"/>
              </w:rPr>
            </w:pPr>
            <w:r>
              <w:rPr>
                <w:rFonts w:ascii="Arial" w:cs="Arial" w:eastAsia="Arial" w:hAnsi="Arial"/>
                <w:sz w:val="14"/>
                <w:szCs w:val="14"/>
                <w:b w:val="1"/>
                <w:bCs w:val="1"/>
                <w:color w:val="auto"/>
              </w:rPr>
              <w:t>31-Mar</w:t>
            </w:r>
          </w:p>
        </w:tc>
        <w:tc>
          <w:tcPr>
            <w:tcW w:w="1440" w:type="dxa"/>
            <w:vAlign w:val="bottom"/>
          </w:tcPr>
          <w:p>
            <w:pPr>
              <w:jc w:val="right"/>
              <w:ind w:right="472"/>
              <w:spacing w:after="0"/>
              <w:rPr>
                <w:sz w:val="20"/>
                <w:szCs w:val="20"/>
                <w:color w:val="auto"/>
              </w:rPr>
            </w:pPr>
            <w:r>
              <w:rPr>
                <w:rFonts w:ascii="Arial" w:cs="Arial" w:eastAsia="Arial" w:hAnsi="Arial"/>
                <w:sz w:val="14"/>
                <w:szCs w:val="14"/>
                <w:b w:val="1"/>
                <w:bCs w:val="1"/>
                <w:color w:val="auto"/>
              </w:rPr>
              <w:t>% change</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80" w:type="dxa"/>
            <w:vAlign w:val="bottom"/>
          </w:tcPr>
          <w:p>
            <w:pPr>
              <w:jc w:val="right"/>
              <w:ind w:right="572"/>
              <w:spacing w:after="0"/>
              <w:rPr>
                <w:sz w:val="20"/>
                <w:szCs w:val="20"/>
                <w:color w:val="auto"/>
              </w:rPr>
            </w:pPr>
            <w:r>
              <w:rPr>
                <w:rFonts w:ascii="Arial" w:cs="Arial" w:eastAsia="Arial" w:hAnsi="Arial"/>
                <w:sz w:val="14"/>
                <w:szCs w:val="14"/>
                <w:b w:val="1"/>
                <w:bCs w:val="1"/>
                <w:color w:val="auto"/>
              </w:rPr>
              <w:t>1Q 2006</w:t>
            </w:r>
          </w:p>
        </w:tc>
        <w:tc>
          <w:tcPr>
            <w:tcW w:w="1360" w:type="dxa"/>
            <w:vAlign w:val="bottom"/>
          </w:tcPr>
          <w:p>
            <w:pPr>
              <w:jc w:val="right"/>
              <w:ind w:right="572"/>
              <w:spacing w:after="0"/>
              <w:rPr>
                <w:sz w:val="20"/>
                <w:szCs w:val="20"/>
                <w:color w:val="auto"/>
              </w:rPr>
            </w:pPr>
            <w:r>
              <w:rPr>
                <w:rFonts w:ascii="Arial" w:cs="Arial" w:eastAsia="Arial" w:hAnsi="Arial"/>
                <w:sz w:val="14"/>
                <w:szCs w:val="14"/>
                <w:b w:val="1"/>
                <w:bCs w:val="1"/>
                <w:color w:val="auto"/>
              </w:rPr>
              <w:t>4Q 2005</w:t>
            </w: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1Q 2005</w:t>
            </w: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1Q 2006/1Q2005</w:t>
            </w: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1Q 2006/4Q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80" w:type="dxa"/>
            <w:vAlign w:val="bottom"/>
          </w:tcPr>
          <w:p>
            <w:pPr>
              <w:jc w:val="right"/>
              <w:ind w:right="532"/>
              <w:spacing w:after="0"/>
              <w:rPr>
                <w:sz w:val="20"/>
                <w:szCs w:val="20"/>
                <w:color w:val="auto"/>
              </w:rPr>
            </w:pPr>
            <w:r>
              <w:rPr>
                <w:rFonts w:ascii="Arial" w:cs="Arial" w:eastAsia="Arial" w:hAnsi="Arial"/>
                <w:sz w:val="14"/>
                <w:szCs w:val="14"/>
                <w:b w:val="1"/>
                <w:bCs w:val="1"/>
                <w:color w:val="auto"/>
              </w:rPr>
              <w:t>US$000</w:t>
            </w:r>
          </w:p>
        </w:tc>
        <w:tc>
          <w:tcPr>
            <w:tcW w:w="1360" w:type="dxa"/>
            <w:vAlign w:val="bottom"/>
          </w:tcPr>
          <w:p>
            <w:pPr>
              <w:jc w:val="right"/>
              <w:ind w:right="532"/>
              <w:spacing w:after="0"/>
              <w:rPr>
                <w:sz w:val="20"/>
                <w:szCs w:val="20"/>
                <w:color w:val="auto"/>
              </w:rPr>
            </w:pPr>
            <w:r>
              <w:rPr>
                <w:rFonts w:ascii="Arial" w:cs="Arial" w:eastAsia="Arial" w:hAnsi="Arial"/>
                <w:sz w:val="14"/>
                <w:szCs w:val="14"/>
                <w:b w:val="1"/>
                <w:bCs w:val="1"/>
                <w:color w:val="auto"/>
              </w:rPr>
              <w:t>US$000</w:t>
            </w: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US$000</w:t>
            </w:r>
          </w:p>
        </w:tc>
        <w:tc>
          <w:tcPr>
            <w:tcW w:w="1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16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Interest and dividend income</w:t>
            </w:r>
          </w:p>
        </w:tc>
        <w:tc>
          <w:tcPr>
            <w:tcW w:w="16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157,884</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146,335</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124,468</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26.8%</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expense</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(53,083)</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(44,069)</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(33,395)</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59.0%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and dividend income</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104,801</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102,267</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91,073</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15.1%</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(4,839)</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(5,316)</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3,125</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-254.8%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16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Banking services commissions</w:t>
            </w:r>
          </w:p>
        </w:tc>
        <w:tc>
          <w:tcPr>
            <w:tcW w:w="16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55,308</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56,023</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48,959</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10,467</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9,165</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6,230</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68.0%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Net gain on sales of securities</w:t>
            </w:r>
          </w:p>
        </w:tc>
        <w:tc>
          <w:tcPr>
            <w:tcW w:w="1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(654)</w:t>
            </w:r>
          </w:p>
        </w:tc>
        <w:tc>
          <w:tcPr>
            <w:tcW w:w="13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109</w:t>
            </w:r>
          </w:p>
        </w:tc>
        <w:tc>
          <w:tcPr>
            <w:tcW w:w="12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1,125</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-158.1%</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-702.6%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3,337</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3,124</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3,300</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income</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68,459</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68,421</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59,613</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16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Salaries and employees benefits</w:t>
            </w:r>
          </w:p>
        </w:tc>
        <w:tc>
          <w:tcPr>
            <w:tcW w:w="1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(41,088)</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(44,766)</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(38,833)</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Administrative expenses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(32,631)</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(33,517)</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(31,757)</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6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(9,066)</w:t>
            </w:r>
          </w:p>
        </w:tc>
        <w:tc>
          <w:tcPr>
            <w:tcW w:w="13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(8,367)</w:t>
            </w:r>
          </w:p>
        </w:tc>
        <w:tc>
          <w:tcPr>
            <w:tcW w:w="12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(9,452)</w:t>
            </w:r>
          </w:p>
        </w:tc>
        <w:tc>
          <w:tcPr>
            <w:tcW w:w="1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-4.1%</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(10,353)</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(1,008)</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(8,789)</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(93,138)</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(87,658)</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(88,831)</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2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2"/>
              </w:rPr>
              <w:t>Income before translation results,workers’ profit sharing and income</w:t>
            </w:r>
          </w:p>
        </w:tc>
        <w:tc>
          <w:tcPr>
            <w:tcW w:w="16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taxes</w:t>
            </w:r>
          </w:p>
        </w:tc>
        <w:tc>
          <w:tcPr>
            <w:tcW w:w="168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75,283</w:t>
            </w:r>
          </w:p>
        </w:tc>
        <w:tc>
          <w:tcPr>
            <w:tcW w:w="136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77,713</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64,980</w:t>
            </w:r>
          </w:p>
        </w:tc>
        <w:tc>
          <w:tcPr>
            <w:tcW w:w="14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15.9%</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result</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4,732</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(5,345)</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343</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1281.4%</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Workers’ profit sharing</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(2,869)</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(3,053)</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(2,861)</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0.3%</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w:t>
            </w:r>
          </w:p>
        </w:tc>
        <w:tc>
          <w:tcPr>
            <w:tcW w:w="168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(17,265)</w:t>
            </w:r>
          </w:p>
        </w:tc>
        <w:tc>
          <w:tcPr>
            <w:tcW w:w="13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(21,523)</w:t>
            </w:r>
          </w:p>
        </w:tc>
        <w:tc>
          <w:tcPr>
            <w:tcW w:w="12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(17,065)</w:t>
            </w:r>
          </w:p>
        </w:tc>
        <w:tc>
          <w:tcPr>
            <w:tcW w:w="14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6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59,880</w:t>
            </w:r>
          </w:p>
        </w:tc>
        <w:tc>
          <w:tcPr>
            <w:tcW w:w="13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47,793</w:t>
            </w:r>
          </w:p>
        </w:tc>
        <w:tc>
          <w:tcPr>
            <w:tcW w:w="126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45,396</w:t>
            </w:r>
          </w:p>
        </w:tc>
        <w:tc>
          <w:tcPr>
            <w:tcW w:w="14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rPr>
              <w:t>31.9%</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440" w:right="219" w:bottom="1440" w:gutter="0" w:footer="0" w:header="0"/>
        </w:sectPr>
      </w:pPr>
    </w:p>
    <w:bookmarkStart w:id="29" w:name="page30"/>
    <w:bookmarkEnd w:id="29"/>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CREDICORP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right"/>
              <w:ind w:right="212"/>
              <w:spacing w:after="0"/>
              <w:rPr>
                <w:sz w:val="20"/>
                <w:szCs w:val="20"/>
                <w:color w:val="auto"/>
              </w:rPr>
            </w:pPr>
            <w:r>
              <w:rPr>
                <w:rFonts w:ascii="Arial" w:cs="Arial" w:eastAsia="Arial" w:hAnsi="Arial"/>
                <w:sz w:val="14"/>
                <w:szCs w:val="14"/>
                <w:b w:val="1"/>
                <w:bCs w:val="1"/>
                <w:color w:val="auto"/>
                <w:w w:val="88"/>
              </w:rPr>
              <w:t>Three months ended</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31- Mar06</w:t>
            </w:r>
          </w:p>
        </w:tc>
        <w:tc>
          <w:tcPr>
            <w:tcW w:w="1520" w:type="dxa"/>
            <w:vAlign w:val="bottom"/>
          </w:tcPr>
          <w:p>
            <w:pPr>
              <w:jc w:val="center"/>
              <w:ind w:right="172"/>
              <w:spacing w:after="0"/>
              <w:rPr>
                <w:sz w:val="20"/>
                <w:szCs w:val="20"/>
                <w:color w:val="auto"/>
              </w:rPr>
            </w:pPr>
            <w:r>
              <w:rPr>
                <w:rFonts w:ascii="Arial" w:cs="Arial" w:eastAsia="Arial" w:hAnsi="Arial"/>
                <w:sz w:val="14"/>
                <w:szCs w:val="14"/>
                <w:b w:val="1"/>
                <w:bCs w:val="1"/>
                <w:color w:val="auto"/>
                <w:w w:val="86"/>
              </w:rPr>
              <w:t>31 - Dec05</w:t>
            </w: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31- Mar05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1Q06</w:t>
            </w: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4Q05</w:t>
            </w:r>
          </w:p>
        </w:tc>
        <w:tc>
          <w:tcPr>
            <w:tcW w:w="1200" w:type="dxa"/>
            <w:vAlign w:val="bottom"/>
          </w:tcPr>
          <w:p>
            <w:pPr>
              <w:jc w:val="center"/>
              <w:ind w:right="152"/>
              <w:spacing w:after="0"/>
              <w:rPr>
                <w:sz w:val="20"/>
                <w:szCs w:val="20"/>
                <w:color w:val="auto"/>
              </w:rPr>
            </w:pPr>
            <w:r>
              <w:rPr>
                <w:rFonts w:ascii="Arial" w:cs="Arial" w:eastAsia="Arial" w:hAnsi="Arial"/>
                <w:sz w:val="14"/>
                <w:szCs w:val="14"/>
                <w:b w:val="1"/>
                <w:bCs w:val="1"/>
                <w:color w:val="auto"/>
                <w:w w:val="87"/>
              </w:rPr>
              <w:t>1Q05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Profitability</w:t>
            </w:r>
          </w:p>
        </w:tc>
        <w:tc>
          <w:tcPr>
            <w:tcW w:w="6460" w:type="dxa"/>
            <w:vAlign w:val="bottom"/>
            <w:tcBorders>
              <w:bottom w:val="single" w:sz="8" w:color="CCEEFF"/>
            </w:tcBorders>
            <w:gridSpan w:val="5"/>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Net income per common share (US$per share)(1)</w:t>
            </w:r>
          </w:p>
        </w:tc>
        <w:tc>
          <w:tcPr>
            <w:tcW w:w="1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0.047</w:t>
            </w:r>
          </w:p>
        </w:tc>
        <w:tc>
          <w:tcPr>
            <w:tcW w:w="15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0.037</w:t>
            </w:r>
          </w:p>
        </w:tc>
        <w:tc>
          <w:tcPr>
            <w:tcW w:w="1200" w:type="dxa"/>
            <w:vAlign w:val="bottom"/>
          </w:tcPr>
          <w:p>
            <w:pPr>
              <w:jc w:val="right"/>
              <w:ind w:right="72"/>
              <w:spacing w:after="0" w:line="142" w:lineRule="exact"/>
              <w:rPr>
                <w:sz w:val="20"/>
                <w:szCs w:val="20"/>
                <w:color w:val="auto"/>
              </w:rPr>
            </w:pPr>
            <w:r>
              <w:rPr>
                <w:rFonts w:ascii="Arial" w:cs="Arial" w:eastAsia="Arial" w:hAnsi="Arial"/>
                <w:sz w:val="14"/>
                <w:szCs w:val="14"/>
                <w:color w:val="auto"/>
              </w:rPr>
              <w:t>0.035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5.45%</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Return on average total assets (2)(3)</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2.18%</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29.17%</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22.26%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No. of outstanding shares (millions)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1286.53</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1286.53</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1286.53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Quality of loan portfolio</w:t>
            </w:r>
          </w:p>
        </w:tc>
        <w:tc>
          <w:tcPr>
            <w:tcW w:w="15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top w:val="single" w:sz="8" w:color="auto"/>
            </w:tcBorders>
            <w:gridSpan w:val="4"/>
          </w:tcPr>
          <w:p>
            <w:pPr>
              <w:ind w:left="420"/>
              <w:spacing w:after="0" w:line="122" w:lineRule="exact"/>
              <w:rPr>
                <w:sz w:val="20"/>
                <w:szCs w:val="20"/>
                <w:color w:val="auto"/>
              </w:rPr>
            </w:pPr>
            <w:r>
              <w:rPr>
                <w:rFonts w:ascii="Arial" w:cs="Arial" w:eastAsia="Arial" w:hAnsi="Arial"/>
                <w:sz w:val="14"/>
                <w:szCs w:val="14"/>
                <w:color w:val="auto"/>
                <w:w w:val="84"/>
              </w:rPr>
              <w:t>Past due loans as</w:t>
            </w:r>
          </w:p>
        </w:tc>
        <w:tc>
          <w:tcPr>
            <w:tcW w:w="57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a percentage of total loans</w:t>
            </w:r>
          </w:p>
        </w:tc>
        <w:tc>
          <w:tcPr>
            <w:tcW w:w="15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1.91%</w:t>
            </w:r>
          </w:p>
        </w:tc>
        <w:tc>
          <w:tcPr>
            <w:tcW w:w="1520" w:type="dxa"/>
            <w:vAlign w:val="bottom"/>
            <w:tcBorders>
              <w:top w:val="single" w:sz="8" w:color="CCEEFF"/>
            </w:tcBorders>
          </w:tcPr>
          <w:p>
            <w:pPr>
              <w:jc w:val="right"/>
              <w:ind w:right="132"/>
              <w:spacing w:after="0" w:line="122" w:lineRule="exact"/>
              <w:rPr>
                <w:sz w:val="20"/>
                <w:szCs w:val="20"/>
                <w:color w:val="auto"/>
              </w:rPr>
            </w:pPr>
            <w:r>
              <w:rPr>
                <w:rFonts w:ascii="Arial" w:cs="Arial" w:eastAsia="Arial" w:hAnsi="Arial"/>
                <w:sz w:val="14"/>
                <w:szCs w:val="14"/>
                <w:color w:val="auto"/>
              </w:rPr>
              <w:t>1.92%</w:t>
            </w:r>
          </w:p>
        </w:tc>
        <w:tc>
          <w:tcPr>
            <w:tcW w:w="12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4"/>
                <w:szCs w:val="14"/>
                <w:color w:val="auto"/>
              </w:rPr>
              <w:t>3.37%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past due loans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203.81%</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207.65%</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6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efficiency</w:t>
            </w:r>
          </w:p>
        </w:tc>
        <w:tc>
          <w:tcPr>
            <w:tcW w:w="1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tcPr>
          <w:p>
            <w:pPr>
              <w:ind w:left="420"/>
              <w:spacing w:after="0" w:line="142" w:lineRule="exact"/>
              <w:rPr>
                <w:sz w:val="20"/>
                <w:szCs w:val="20"/>
                <w:color w:val="auto"/>
              </w:rPr>
            </w:pPr>
            <w:r>
              <w:rPr>
                <w:rFonts w:ascii="Arial" w:cs="Arial" w:eastAsia="Arial" w:hAnsi="Arial"/>
                <w:sz w:val="14"/>
                <w:szCs w:val="14"/>
                <w:color w:val="auto"/>
              </w:rPr>
              <w:t>Oper. expense as a percent. of total income (4)</w:t>
            </w:r>
          </w:p>
        </w:tc>
        <w:tc>
          <w:tcPr>
            <w:tcW w:w="1520" w:type="dxa"/>
            <w:vAlign w:val="bottom"/>
          </w:tcPr>
          <w:p>
            <w:pPr>
              <w:jc w:val="right"/>
              <w:spacing w:after="0" w:line="142" w:lineRule="exact"/>
              <w:rPr>
                <w:sz w:val="20"/>
                <w:szCs w:val="20"/>
                <w:color w:val="auto"/>
              </w:rPr>
            </w:pPr>
            <w:r>
              <w:rPr>
                <w:rFonts w:ascii="Arial" w:cs="Arial" w:eastAsia="Arial" w:hAnsi="Arial"/>
                <w:sz w:val="14"/>
                <w:szCs w:val="14"/>
                <w:color w:val="auto"/>
              </w:rPr>
              <w:t>48.53%</w:t>
            </w:r>
          </w:p>
        </w:tc>
        <w:tc>
          <w:tcPr>
            <w:tcW w:w="1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51.74%</w:t>
            </w:r>
          </w:p>
        </w:tc>
        <w:tc>
          <w:tcPr>
            <w:tcW w:w="1200" w:type="dxa"/>
            <w:vAlign w:val="bottom"/>
          </w:tcPr>
          <w:p>
            <w:pPr>
              <w:jc w:val="right"/>
              <w:spacing w:after="0" w:line="142" w:lineRule="exact"/>
              <w:rPr>
                <w:sz w:val="20"/>
                <w:szCs w:val="20"/>
                <w:color w:val="auto"/>
              </w:rPr>
            </w:pPr>
            <w:r>
              <w:rPr>
                <w:rFonts w:ascii="Arial" w:cs="Arial" w:eastAsia="Arial" w:hAnsi="Arial"/>
                <w:sz w:val="14"/>
                <w:szCs w:val="14"/>
                <w:color w:val="auto"/>
              </w:rPr>
              <w:t>54.73%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Oper. expense as a percent. of av. tot. assets(2)(3)(4)</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3.96%</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5"/>
              </w:rPr>
              <w:t>Capital adequacy</w:t>
            </w:r>
          </w:p>
        </w:tc>
        <w:tc>
          <w:tcPr>
            <w:tcW w:w="6160" w:type="dxa"/>
            <w:vAlign w:val="bottom"/>
            <w:tcBorders>
              <w:bottom w:val="single" w:sz="8" w:color="CCEEFF"/>
            </w:tcBorders>
            <w:gridSpan w:val="4"/>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Regulatory Capital (US$ Mn)</w:t>
            </w:r>
          </w:p>
        </w:tc>
        <w:tc>
          <w:tcPr>
            <w:tcW w:w="15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750.4</w:t>
            </w:r>
          </w:p>
        </w:tc>
        <w:tc>
          <w:tcPr>
            <w:tcW w:w="1520" w:type="dxa"/>
            <w:vAlign w:val="bottom"/>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735.4</w:t>
            </w:r>
          </w:p>
        </w:tc>
        <w:tc>
          <w:tcPr>
            <w:tcW w:w="12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Tier I Capital (US$ Mn)</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658.9</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651.0</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Regulatory capital / risk-weighted assets (5)</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13.9 %</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14.0%</w:t>
            </w: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Borders>
              <w:bottom w:val="single" w:sz="8" w:color="auto"/>
            </w:tcBorders>
            <w:gridSpan w:val="5"/>
          </w:tcPr>
          <w:p>
            <w:pPr>
              <w:spacing w:after="0" w:line="135" w:lineRule="exact"/>
              <w:rPr>
                <w:sz w:val="20"/>
                <w:szCs w:val="20"/>
                <w:color w:val="auto"/>
              </w:rPr>
            </w:pPr>
            <w:r>
              <w:rPr>
                <w:rFonts w:ascii="Arial" w:cs="Arial" w:eastAsia="Arial" w:hAnsi="Arial"/>
                <w:sz w:val="14"/>
                <w:szCs w:val="14"/>
                <w:b w:val="1"/>
                <w:bCs w:val="1"/>
                <w:color w:val="auto"/>
                <w:w w:val="84"/>
              </w:rPr>
              <w:t xml:space="preserve">Average balances (millions of </w:t>
            </w:r>
            <w:r>
              <w:rPr>
                <w:rFonts w:ascii="Arial" w:cs="Arial" w:eastAsia="Arial" w:hAnsi="Arial"/>
                <w:sz w:val="14"/>
                <w:szCs w:val="14"/>
                <w:b w:val="1"/>
                <w:bCs w:val="1"/>
                <w:u w:val="single" w:color="auto"/>
                <w:color w:val="auto"/>
                <w:w w:val="84"/>
              </w:rPr>
              <w:t>US$</w:t>
            </w:r>
            <w:r>
              <w:rPr>
                <w:rFonts w:ascii="Arial" w:cs="Arial" w:eastAsia="Arial" w:hAnsi="Arial"/>
                <w:sz w:val="14"/>
                <w:szCs w:val="14"/>
                <w:b w:val="1"/>
                <w:bCs w:val="1"/>
                <w:color w:val="auto"/>
                <w:w w:val="84"/>
              </w:rPr>
              <w:t>) (3)</w:t>
            </w:r>
          </w:p>
        </w:tc>
        <w:tc>
          <w:tcPr>
            <w:tcW w:w="4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2" w:lineRule="exact"/>
              <w:rPr>
                <w:sz w:val="20"/>
                <w:szCs w:val="20"/>
                <w:color w:val="auto"/>
              </w:rPr>
            </w:pPr>
            <w:r>
              <w:rPr>
                <w:rFonts w:ascii="Arial" w:cs="Arial" w:eastAsia="Arial" w:hAnsi="Arial"/>
                <w:sz w:val="14"/>
                <w:szCs w:val="14"/>
                <w:color w:val="auto"/>
              </w:rPr>
              <w:t>Interest earning assets</w:t>
            </w:r>
          </w:p>
        </w:tc>
        <w:tc>
          <w:tcPr>
            <w:tcW w:w="1520" w:type="dxa"/>
            <w:vAlign w:val="bottom"/>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8,277.6</w:t>
            </w:r>
          </w:p>
        </w:tc>
        <w:tc>
          <w:tcPr>
            <w:tcW w:w="1520" w:type="dxa"/>
            <w:vAlign w:val="bottom"/>
            <w:shd w:val="clear" w:color="auto" w:fill="CCEEFF"/>
          </w:tcPr>
          <w:p>
            <w:pPr>
              <w:jc w:val="right"/>
              <w:ind w:right="252"/>
              <w:spacing w:after="0" w:line="142" w:lineRule="exact"/>
              <w:rPr>
                <w:sz w:val="20"/>
                <w:szCs w:val="20"/>
                <w:color w:val="auto"/>
              </w:rPr>
            </w:pPr>
            <w:r>
              <w:rPr>
                <w:rFonts w:ascii="Arial" w:cs="Arial" w:eastAsia="Arial" w:hAnsi="Arial"/>
                <w:sz w:val="14"/>
                <w:szCs w:val="14"/>
                <w:color w:val="auto"/>
              </w:rPr>
              <w:t>7,509.0</w:t>
            </w:r>
          </w:p>
        </w:tc>
        <w:tc>
          <w:tcPr>
            <w:tcW w:w="12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6,477.4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tcPr>
          <w:p>
            <w:pPr>
              <w:ind w:left="420"/>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9,488.2</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8,750.4</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7,558.2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gridSpan w:val="6"/>
            <w:shd w:val="clear" w:color="auto" w:fill="CCEEFF"/>
          </w:tcPr>
          <w:p>
            <w:pPr>
              <w:ind w:left="420"/>
              <w:spacing w:after="0" w:line="149" w:lineRule="exact"/>
              <w:rPr>
                <w:sz w:val="20"/>
                <w:szCs w:val="20"/>
                <w:color w:val="auto"/>
              </w:rPr>
            </w:pPr>
            <w:r>
              <w:rPr>
                <w:rFonts w:ascii="Arial" w:cs="Arial" w:eastAsia="Arial" w:hAnsi="Arial"/>
                <w:sz w:val="14"/>
                <w:szCs w:val="14"/>
                <w:color w:val="auto"/>
              </w:rPr>
              <w:t>Net equity</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821.2</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858.7</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Shares outstanding of 1,287 million is used for all periods since shares have been issued only for capitalization of profits and inflation adjustment.</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800" w:firstLine="8"/>
        <w:spacing w:after="0" w:line="250"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Operting expense include personnel expenses, administrative expenses and depreciation and amortization.</w:t>
      </w: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1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30" w:name="page31"/>
    <w:bookmarkEnd w:id="3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380365</wp:posOffset>
            </wp:positionV>
            <wp:extent cx="1612265" cy="4546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EL PACIFICO-PERUANO SUIZA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us$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jc w:val="right"/>
              <w:ind w:right="232"/>
              <w:spacing w:after="0"/>
              <w:rPr>
                <w:sz w:val="20"/>
                <w:szCs w:val="20"/>
                <w:color w:val="auto"/>
              </w:rPr>
            </w:pPr>
            <w:r>
              <w:rPr>
                <w:rFonts w:ascii="Arial" w:cs="Arial" w:eastAsia="Arial" w:hAnsi="Arial"/>
                <w:sz w:val="14"/>
                <w:szCs w:val="14"/>
                <w:b w:val="1"/>
                <w:bCs w:val="1"/>
                <w:color w:val="auto"/>
                <w:w w:val="87"/>
              </w:rPr>
              <w:t>Three months ended</w:t>
            </w:r>
          </w:p>
        </w:tc>
        <w:tc>
          <w:tcPr>
            <w:tcW w:w="1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31- Mar06</w:t>
            </w: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86"/>
              </w:rPr>
              <w:t>31 - Dec05</w:t>
            </w:r>
          </w:p>
        </w:tc>
        <w:tc>
          <w:tcPr>
            <w:tcW w:w="1280" w:type="dxa"/>
            <w:vAlign w:val="bottom"/>
          </w:tcPr>
          <w:p>
            <w:pPr>
              <w:jc w:val="center"/>
              <w:ind w:right="252"/>
              <w:spacing w:after="0"/>
              <w:rPr>
                <w:sz w:val="20"/>
                <w:szCs w:val="20"/>
                <w:color w:val="auto"/>
              </w:rPr>
            </w:pPr>
            <w:r>
              <w:rPr>
                <w:rFonts w:ascii="Arial" w:cs="Arial" w:eastAsia="Arial" w:hAnsi="Arial"/>
                <w:sz w:val="14"/>
                <w:szCs w:val="14"/>
                <w:b w:val="1"/>
                <w:bCs w:val="1"/>
                <w:color w:val="auto"/>
                <w:w w:val="92"/>
              </w:rPr>
              <w:t>31- Mar05</w:t>
            </w:r>
          </w:p>
        </w:tc>
        <w:tc>
          <w:tcPr>
            <w:tcW w:w="1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1Q06</w:t>
            </w:r>
          </w:p>
        </w:tc>
        <w:tc>
          <w:tcPr>
            <w:tcW w:w="1520" w:type="dxa"/>
            <w:vAlign w:val="bottom"/>
          </w:tcPr>
          <w:p>
            <w:pPr>
              <w:jc w:val="center"/>
              <w:ind w:right="192"/>
              <w:spacing w:after="0"/>
              <w:rPr>
                <w:sz w:val="20"/>
                <w:szCs w:val="20"/>
                <w:color w:val="auto"/>
              </w:rPr>
            </w:pPr>
            <w:r>
              <w:rPr>
                <w:rFonts w:ascii="Arial" w:cs="Arial" w:eastAsia="Arial" w:hAnsi="Arial"/>
                <w:sz w:val="14"/>
                <w:szCs w:val="14"/>
                <w:b w:val="1"/>
                <w:bCs w:val="1"/>
                <w:color w:val="auto"/>
                <w:w w:val="87"/>
              </w:rPr>
              <w:t>4Q05</w:t>
            </w:r>
          </w:p>
        </w:tc>
        <w:tc>
          <w:tcPr>
            <w:tcW w:w="128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1Q05</w:t>
            </w:r>
          </w:p>
        </w:tc>
        <w:tc>
          <w:tcPr>
            <w:tcW w:w="1600" w:type="dxa"/>
            <w:vAlign w:val="bottom"/>
          </w:tcPr>
          <w:p>
            <w:pPr>
              <w:jc w:val="right"/>
              <w:ind w:right="632"/>
              <w:spacing w:after="0"/>
              <w:rPr>
                <w:sz w:val="20"/>
                <w:szCs w:val="20"/>
                <w:color w:val="auto"/>
              </w:rPr>
            </w:pPr>
            <w:r>
              <w:rPr>
                <w:rFonts w:ascii="Arial" w:cs="Arial" w:eastAsia="Arial" w:hAnsi="Arial"/>
                <w:sz w:val="14"/>
                <w:szCs w:val="14"/>
                <w:b w:val="1"/>
                <w:bCs w:val="1"/>
                <w:color w:val="auto"/>
              </w:rPr>
              <w:t>1Q06/1Q05</w:t>
            </w: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w w:val="91"/>
              </w:rPr>
              <w:t>1Q06/4Q05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40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Results</w:t>
            </w:r>
          </w:p>
        </w:tc>
        <w:tc>
          <w:tcPr>
            <w:tcW w:w="15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00" w:type="dxa"/>
            <w:vAlign w:val="bottom"/>
            <w:gridSpan w:val="3"/>
          </w:tcPr>
          <w:p>
            <w:pPr>
              <w:spacing w:after="0" w:line="142" w:lineRule="exact"/>
              <w:rPr>
                <w:sz w:val="20"/>
                <w:szCs w:val="20"/>
                <w:color w:val="auto"/>
              </w:rPr>
            </w:pPr>
            <w:r>
              <w:rPr>
                <w:rFonts w:ascii="Arial" w:cs="Arial" w:eastAsia="Arial" w:hAnsi="Arial"/>
                <w:sz w:val="14"/>
                <w:szCs w:val="14"/>
                <w:color w:val="auto"/>
              </w:rPr>
              <w:t>Total Gross Premiums</w:t>
            </w:r>
          </w:p>
        </w:tc>
        <w:tc>
          <w:tcPr>
            <w:tcW w:w="1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93,231</w:t>
            </w:r>
          </w:p>
        </w:tc>
        <w:tc>
          <w:tcPr>
            <w:tcW w:w="152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97,404</w:t>
            </w:r>
          </w:p>
        </w:tc>
        <w:tc>
          <w:tcPr>
            <w:tcW w:w="1280" w:type="dxa"/>
            <w:vAlign w:val="bottom"/>
          </w:tcPr>
          <w:p>
            <w:pPr>
              <w:jc w:val="right"/>
              <w:ind w:right="152"/>
              <w:spacing w:after="0" w:line="142" w:lineRule="exact"/>
              <w:rPr>
                <w:sz w:val="20"/>
                <w:szCs w:val="20"/>
                <w:color w:val="auto"/>
              </w:rPr>
            </w:pPr>
            <w:r>
              <w:rPr>
                <w:rFonts w:ascii="Arial" w:cs="Arial" w:eastAsia="Arial" w:hAnsi="Arial"/>
                <w:sz w:val="14"/>
                <w:szCs w:val="14"/>
                <w:color w:val="auto"/>
              </w:rPr>
              <w:t>83,956</w:t>
            </w:r>
          </w:p>
        </w:tc>
        <w:tc>
          <w:tcPr>
            <w:tcW w:w="160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11.0%</w:t>
            </w: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Premiums Earned</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60,792</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56,041</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54,237</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Claims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47,934</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46,536</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40,601</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18.1%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Underwriting Results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4,009</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3,943</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7,279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-44.9%</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Financial Income</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11,808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9,285</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8,723</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35.4%</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4,388</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6,291</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2,379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84.4%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Salaries and Employees Benefits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7,197</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9,231</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6,795</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5.9%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Expenses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5,358</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2,061</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4,180</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28.2%</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Other Operating Expenses</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13,137</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9,118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9,726</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35.1%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TranslationResult</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343</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-328</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363</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-5.5%</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Tax</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-130</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121</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1,032</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-112.6%</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Income before Minority interest</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3,835</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4,222</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3,369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13.8%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Net Income after Minority interest</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2,941</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708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2,413</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21.9%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Contribution to BAP</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2,689</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905</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2,176</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23.6%</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color w:val="auto"/>
              </w:rPr>
              <w:t>(end of the period)</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844,096</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833,572</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707,197</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19.4%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Investments on Securities and Real State</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677,188</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638,851</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546,448</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23.9%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Technical Reserves</w:t>
            </w:r>
          </w:p>
        </w:tc>
        <w:tc>
          <w:tcPr>
            <w:tcW w:w="15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585,289</w:t>
            </w:r>
          </w:p>
        </w:tc>
        <w:tc>
          <w:tcPr>
            <w:tcW w:w="152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546,093</w:t>
            </w:r>
          </w:p>
        </w:tc>
        <w:tc>
          <w:tcPr>
            <w:tcW w:w="12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487,169</w:t>
            </w:r>
          </w:p>
        </w:tc>
        <w:tc>
          <w:tcPr>
            <w:tcW w:w="160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20.1%</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Equity</w:t>
            </w:r>
          </w:p>
        </w:tc>
        <w:tc>
          <w:tcPr>
            <w:tcW w:w="15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177,791</w:t>
            </w:r>
          </w:p>
        </w:tc>
        <w:tc>
          <w:tcPr>
            <w:tcW w:w="15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182,848</w:t>
            </w:r>
          </w:p>
        </w:tc>
        <w:tc>
          <w:tcPr>
            <w:tcW w:w="12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169,839</w:t>
            </w:r>
          </w:p>
        </w:tc>
        <w:tc>
          <w:tcPr>
            <w:tcW w:w="16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4.7%</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Borders>
              <w:bottom w:val="single" w:sz="8" w:color="auto"/>
              <w:right w:val="single" w:sz="8" w:color="CCEEFF"/>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93"/>
              </w:rPr>
              <w:t>Ratios</w:t>
            </w:r>
          </w:p>
        </w:tc>
        <w:tc>
          <w:tcPr>
            <w:tcW w:w="3960" w:type="dxa"/>
            <w:vAlign w:val="bottom"/>
            <w:tcBorders>
              <w:bottom w:val="single" w:sz="8" w:color="CCEEFF"/>
            </w:tcBorders>
            <w:gridSpan w:val="2"/>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gridSpan w:val="3"/>
          </w:tcPr>
          <w:p>
            <w:pPr>
              <w:spacing w:after="0" w:line="142" w:lineRule="exact"/>
              <w:rPr>
                <w:sz w:val="20"/>
                <w:szCs w:val="20"/>
                <w:color w:val="auto"/>
              </w:rPr>
            </w:pPr>
            <w:r>
              <w:rPr>
                <w:rFonts w:ascii="Arial" w:cs="Arial" w:eastAsia="Arial" w:hAnsi="Arial"/>
                <w:sz w:val="14"/>
                <w:szCs w:val="14"/>
                <w:color w:val="auto"/>
              </w:rPr>
              <w:t>Net underwritting Results</w:t>
            </w:r>
          </w:p>
        </w:tc>
        <w:tc>
          <w:tcPr>
            <w:tcW w:w="1520" w:type="dxa"/>
            <w:vAlign w:val="bottom"/>
          </w:tcPr>
          <w:p>
            <w:pPr>
              <w:jc w:val="right"/>
              <w:spacing w:after="0" w:line="142" w:lineRule="exact"/>
              <w:rPr>
                <w:sz w:val="20"/>
                <w:szCs w:val="20"/>
                <w:color w:val="auto"/>
              </w:rPr>
            </w:pPr>
            <w:r>
              <w:rPr>
                <w:rFonts w:ascii="Arial" w:cs="Arial" w:eastAsia="Arial" w:hAnsi="Arial"/>
                <w:sz w:val="14"/>
                <w:szCs w:val="14"/>
                <w:color w:val="auto"/>
              </w:rPr>
              <w:t>4.3%</w:t>
            </w:r>
          </w:p>
        </w:tc>
        <w:tc>
          <w:tcPr>
            <w:tcW w:w="152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4.0%</w:t>
            </w:r>
          </w:p>
        </w:tc>
        <w:tc>
          <w:tcPr>
            <w:tcW w:w="1280" w:type="dxa"/>
            <w:vAlign w:val="bottom"/>
          </w:tcPr>
          <w:p>
            <w:pPr>
              <w:jc w:val="right"/>
              <w:ind w:right="52"/>
              <w:spacing w:after="0" w:line="142" w:lineRule="exact"/>
              <w:rPr>
                <w:sz w:val="20"/>
                <w:szCs w:val="20"/>
                <w:color w:val="auto"/>
              </w:rPr>
            </w:pPr>
            <w:r>
              <w:rPr>
                <w:rFonts w:ascii="Arial" w:cs="Arial" w:eastAsia="Arial" w:hAnsi="Arial"/>
                <w:sz w:val="14"/>
                <w:szCs w:val="14"/>
                <w:color w:val="auto"/>
              </w:rPr>
              <w:t>8.7%</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earned loss ratio</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83.0%</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74.9%</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Return on avge. equity (1)(2)</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w:t>
            </w: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Return on total premiums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0.7%</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Shareholder’s equity/Total Assets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21.9%</w:t>
            </w: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24.0%</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Increase in Risk Reserves</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21.8%</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25.1%</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tcPr>
          <w:p>
            <w:pPr>
              <w:spacing w:after="0" w:line="149" w:lineRule="exact"/>
              <w:rPr>
                <w:sz w:val="20"/>
                <w:szCs w:val="20"/>
                <w:color w:val="auto"/>
              </w:rPr>
            </w:pPr>
            <w:r>
              <w:rPr>
                <w:rFonts w:ascii="Arial" w:cs="Arial" w:eastAsia="Arial" w:hAnsi="Arial"/>
                <w:sz w:val="14"/>
                <w:szCs w:val="14"/>
                <w:color w:val="auto"/>
              </w:rPr>
              <w:t>Expenses / Net Earned Premiums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15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23.0%</w:t>
            </w: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22.8%</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Expenses / Average assets (1)(2)</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5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6.4%</w:t>
            </w:r>
          </w:p>
        </w:tc>
        <w:tc>
          <w:tcPr>
            <w:tcW w:w="12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6"/>
              </w:rPr>
              <w:t>Combined Ratio PPS + PS</w:t>
            </w:r>
          </w:p>
        </w:tc>
        <w:tc>
          <w:tcPr>
            <w:tcW w:w="288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102.8%</w:t>
            </w:r>
          </w:p>
        </w:tc>
        <w:tc>
          <w:tcPr>
            <w:tcW w:w="152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114.8%</w:t>
            </w:r>
          </w:p>
        </w:tc>
        <w:tc>
          <w:tcPr>
            <w:tcW w:w="1280" w:type="dxa"/>
            <w:vAlign w:val="bottom"/>
          </w:tcPr>
          <w:p>
            <w:pPr>
              <w:jc w:val="right"/>
              <w:ind w:right="52"/>
              <w:spacing w:after="0" w:line="135" w:lineRule="exact"/>
              <w:rPr>
                <w:sz w:val="20"/>
                <w:szCs w:val="20"/>
                <w:color w:val="auto"/>
              </w:rPr>
            </w:pPr>
            <w:r>
              <w:rPr>
                <w:rFonts w:ascii="Arial" w:cs="Arial" w:eastAsia="Arial" w:hAnsi="Arial"/>
                <w:sz w:val="14"/>
                <w:szCs w:val="14"/>
                <w:b w:val="1"/>
                <w:bCs w:val="1"/>
                <w:color w:val="auto"/>
              </w:rPr>
              <w:t>100.0</w:t>
            </w:r>
            <w:r>
              <w:rPr>
                <w:rFonts w:ascii="Arial" w:cs="Arial" w:eastAsia="Arial" w:hAnsi="Arial"/>
                <w:sz w:val="14"/>
                <w:szCs w:val="14"/>
                <w:color w:val="auto"/>
              </w:rPr>
              <w:t>%</w:t>
            </w:r>
          </w:p>
        </w:tc>
        <w:tc>
          <w:tcPr>
            <w:tcW w:w="1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 Claims / Net premiums earned</w:t>
            </w:r>
          </w:p>
        </w:tc>
        <w:tc>
          <w:tcPr>
            <w:tcW w:w="1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71.9%</w:t>
            </w:r>
          </w:p>
        </w:tc>
        <w:tc>
          <w:tcPr>
            <w:tcW w:w="1520" w:type="dxa"/>
            <w:vAlign w:val="bottom"/>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82.2%</w:t>
            </w:r>
          </w:p>
        </w:tc>
        <w:tc>
          <w:tcPr>
            <w:tcW w:w="128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73.5%</w:t>
            </w:r>
          </w:p>
        </w:tc>
        <w:tc>
          <w:tcPr>
            <w:tcW w:w="1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00" w:type="dxa"/>
            <w:vAlign w:val="bottom"/>
            <w:gridSpan w:val="3"/>
          </w:tcPr>
          <w:p>
            <w:pPr>
              <w:spacing w:after="0"/>
              <w:rPr>
                <w:sz w:val="20"/>
                <w:szCs w:val="20"/>
                <w:color w:val="auto"/>
              </w:rPr>
            </w:pPr>
            <w:r>
              <w:rPr>
                <w:rFonts w:ascii="Arial" w:cs="Arial" w:eastAsia="Arial" w:hAnsi="Arial"/>
                <w:sz w:val="14"/>
                <w:szCs w:val="14"/>
                <w:color w:val="auto"/>
              </w:rPr>
              <w:t>-Expenses and comissions / Net Prems. Earned</w:t>
            </w:r>
          </w:p>
        </w:tc>
        <w:tc>
          <w:tcPr>
            <w:tcW w:w="1520" w:type="dxa"/>
            <w:vAlign w:val="bottom"/>
          </w:tcPr>
          <w:p>
            <w:pPr>
              <w:jc w:val="right"/>
              <w:spacing w:after="0"/>
              <w:rPr>
                <w:sz w:val="20"/>
                <w:szCs w:val="20"/>
                <w:color w:val="auto"/>
              </w:rPr>
            </w:pPr>
            <w:r>
              <w:rPr>
                <w:rFonts w:ascii="Arial" w:cs="Arial" w:eastAsia="Arial" w:hAnsi="Arial"/>
                <w:sz w:val="14"/>
                <w:szCs w:val="14"/>
                <w:color w:val="auto"/>
              </w:rPr>
              <w:t>30.9%</w:t>
            </w:r>
          </w:p>
        </w:tc>
        <w:tc>
          <w:tcPr>
            <w:tcW w:w="1520" w:type="dxa"/>
            <w:vAlign w:val="bottom"/>
          </w:tcPr>
          <w:p>
            <w:pPr>
              <w:jc w:val="right"/>
              <w:ind w:right="132"/>
              <w:spacing w:after="0"/>
              <w:rPr>
                <w:sz w:val="20"/>
                <w:szCs w:val="20"/>
                <w:color w:val="auto"/>
              </w:rPr>
            </w:pPr>
            <w:r>
              <w:rPr>
                <w:rFonts w:ascii="Arial" w:cs="Arial" w:eastAsia="Arial" w:hAnsi="Arial"/>
                <w:sz w:val="14"/>
                <w:szCs w:val="14"/>
                <w:color w:val="auto"/>
              </w:rPr>
              <w:t>32.6%</w:t>
            </w:r>
          </w:p>
        </w:tc>
        <w:tc>
          <w:tcPr>
            <w:tcW w:w="1280" w:type="dxa"/>
            <w:vAlign w:val="bottom"/>
          </w:tcPr>
          <w:p>
            <w:pPr>
              <w:jc w:val="right"/>
              <w:ind w:right="52"/>
              <w:spacing w:after="0"/>
              <w:rPr>
                <w:sz w:val="20"/>
                <w:szCs w:val="20"/>
                <w:color w:val="auto"/>
              </w:rPr>
            </w:pPr>
            <w:r>
              <w:rPr>
                <w:rFonts w:ascii="Arial" w:cs="Arial" w:eastAsia="Arial" w:hAnsi="Arial"/>
                <w:sz w:val="14"/>
                <w:szCs w:val="14"/>
                <w:color w:val="auto"/>
              </w:rPr>
              <w:t>26.4%</w:t>
            </w: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 Averages are determined as the average of period-beginning and period-ending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May 15,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CREDICORP LTD.</w:t>
      </w:r>
    </w:p>
    <w:p>
      <w:pPr>
        <w:spacing w:after="0" w:line="30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2019-12-14T06:09:41Z</dcterms:created>
  <dcterms:modified xsi:type="dcterms:W3CDTF">2019-12-14T06:09:41Z</dcterms:modified>
</cp:coreProperties>
</file>