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27926_6k.htm"/>
      <w:bookmarkStart w:id="1" w:name="ksef20027926_6k"/>
      <w:bookmarkStart w:id="2" w:name="ef20027926_6k.htm"/>
      <w:bookmarkStart w:id="3" w:name="ksef2002792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April 2024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12,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both"/>
        <w:rPr>
          <w:color w:val="000000"/>
        </w:rPr>
      </w:pPr>
      <w:r>
        <w:rPr>
          <w:color w:val="000000"/>
        </w:rPr>
        <w:drawing>
          <wp:inline distT="0" distB="0" distL="0" distR="0">
            <wp:extent cx="30003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361950"/>
                    </a:xfrm>
                    <a:prstGeom prst="rect">
                      <a:avLst/>
                    </a:prstGeom>
                  </pic:spPr>
                </pic:pic>
              </a:graphicData>
            </a:graphic>
          </wp:inline>
        </w:drawing>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April 26, 2024</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notify you as a Material Event that S&amp;P Global Ratings lowered the credit rating of Credicorp Ltd. (Credicorp) from BBB to BBB- and changed the outlook from negative to stable.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update on the rating mirrors the action on the long-term sovereign ratings of Peru, which were downgraded from BBB to BBB- and the outlook was changed from negative to stable.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regarding the rating of S&amp;P Global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S&amp;P Global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f9964f2444a748a69d66eeb281b202a4"/>
      <w:bookmarkStart w:id="5" w:name="zf9964f2444a748a69d66eeb281b202a4"/>
      <w:bookmarkEnd w:id="5"/>
    </w:p>
    <w:tbl>
      <w:tblPr>
        <w:tblW w:w="4395" w:type="dxa"/>
        <w:jc w:val="left"/>
        <w:tblInd w:w="0" w:type="dxa"/>
        <w:tblLayout w:type="fixed"/>
        <w:tblCellMar>
          <w:top w:w="0" w:type="dxa"/>
          <w:left w:w="0" w:type="dxa"/>
          <w:bottom w:w="0" w:type="dxa"/>
          <w:right w:w="0" w:type="dxa"/>
        </w:tblCellMar>
      </w:tblPr>
      <w:tblGrid>
        <w:gridCol w:w="60"/>
        <w:gridCol w:w="1685"/>
        <w:gridCol w:w="320"/>
        <w:gridCol w:w="2270"/>
        <w:gridCol w:w="60"/>
      </w:tblGrid>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color w:val="000000"/>
                <w:sz w:val="20"/>
              </w:rPr>
            </w:pPr>
            <w:r>
              <w:rPr>
                <w:color w:val="000000"/>
                <w:sz w:val="20"/>
              </w:rPr>
              <w:t>Date: April 26, 2024</w:t>
            </w:r>
          </w:p>
        </w:tc>
        <w:tc>
          <w:tcPr>
            <w:tcW w:w="2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27926_ex99-1.htm"/>
      <w:bookmarkStart w:id="7" w:name="ksef20027926_ex991"/>
      <w:bookmarkStart w:id="8" w:name="ef20027926_ex99-1.htm"/>
      <w:bookmarkStart w:id="9" w:name="ksef20027926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a61265ee0ec841818fbf4aa3498f2e57"/>
      <w:bookmarkStart w:id="11" w:name="za61265ee0ec841818fbf4aa3498f2e57"/>
      <w:bookmarkEnd w:id="11"/>
    </w:p>
    <w:tbl>
      <w:tblPr>
        <w:tblW w:w="4995" w:type="dxa"/>
        <w:jc w:val="left"/>
        <w:tblInd w:w="0" w:type="dxa"/>
        <w:tblLayout w:type="fixed"/>
        <w:tblCellMar>
          <w:top w:w="0" w:type="dxa"/>
          <w:left w:w="0" w:type="dxa"/>
          <w:bottom w:w="0" w:type="dxa"/>
          <w:right w:w="0" w:type="dxa"/>
        </w:tblCellMar>
      </w:tblPr>
      <w:tblGrid>
        <w:gridCol w:w="2115"/>
        <w:gridCol w:w="2880"/>
      </w:tblGrid>
      <w:tr>
        <w:trPr/>
        <w:tc>
          <w:tcPr>
            <w:tcW w:w="2115" w:type="dxa"/>
            <w:tcBorders/>
            <w:vAlign w:val="center"/>
          </w:tcPr>
          <w:p>
            <w:pPr>
              <w:pStyle w:val="TableContents"/>
              <w:bidi w:val="0"/>
              <w:spacing w:before="0" w:after="283"/>
              <w:jc w:val="left"/>
              <w:rPr/>
            </w:pPr>
            <w:r>
              <w:rPr/>
              <w:drawing>
                <wp:inline distT="0" distB="0" distL="0" distR="0">
                  <wp:extent cx="1343025"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3025" cy="695325"/>
                          </a:xfrm>
                          <a:prstGeom prst="rect">
                            <a:avLst/>
                          </a:prstGeom>
                        </pic:spPr>
                      </pic:pic>
                    </a:graphicData>
                  </a:graphic>
                </wp:inline>
              </w:drawing>
            </w:r>
          </w:p>
        </w:tc>
        <w:tc>
          <w:tcPr>
            <w:tcW w:w="2880" w:type="dxa"/>
            <w:tcBorders/>
            <w:vAlign w:val="center"/>
          </w:tcPr>
          <w:p>
            <w:pPr>
              <w:pStyle w:val="TableContents"/>
              <w:bidi w:val="0"/>
              <w:spacing w:before="0" w:after="283"/>
              <w:jc w:val="right"/>
              <w:rPr/>
            </w:pPr>
            <w:r>
              <w:rPr/>
              <w:drawing>
                <wp:inline distT="0" distB="0" distL="0" distR="0">
                  <wp:extent cx="1828800"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352425"/>
                          </a:xfrm>
                          <a:prstGeom prst="rect">
                            <a:avLst/>
                          </a:prstGeom>
                        </pic:spPr>
                      </pic:pic>
                    </a:graphicData>
                  </a:graphic>
                </wp:inline>
              </w:drawing>
            </w:r>
          </w:p>
        </w:tc>
      </w:tr>
    </w:tbl>
    <w:p>
      <w:pPr>
        <w:pStyle w:val="TextBody"/>
        <w:bidi w:val="0"/>
        <w:spacing w:before="60" w:after="283"/>
        <w:jc w:val="left"/>
        <w:rPr>
          <w:sz w:val="20"/>
        </w:rPr>
      </w:pPr>
      <w:r>
        <w:rPr>
          <w:sz w:val="20"/>
        </w:rPr>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Six Peruvian Financial Institutions Downgraded Following Same Action On Peru; Outlooks Stable</w:t>
      </w:r>
    </w:p>
    <w:p>
      <w:pPr>
        <w:pStyle w:val="TextBody"/>
        <w:bidi w:val="0"/>
        <w:spacing w:before="205" w:after="283"/>
        <w:jc w:val="left"/>
        <w:rPr>
          <w:rFonts w:ascii="Times New Roman" w:hAnsi="Times New Roman"/>
          <w:b/>
          <w:color w:val="000000"/>
          <w:sz w:val="20"/>
        </w:rPr>
      </w:pPr>
      <w:r>
        <w:rPr>
          <w:rFonts w:ascii="Times New Roman" w:hAnsi="Times New Roman"/>
          <w:b/>
          <w:color w:val="000000"/>
          <w:sz w:val="20"/>
        </w:rPr>
        <w:t>April 26, 2024</w:t>
      </w:r>
    </w:p>
    <w:p>
      <w:pPr>
        <w:pStyle w:val="TextBody"/>
        <w:bidi w:val="0"/>
        <w:spacing w:before="0" w:after="0"/>
        <w:jc w:val="left"/>
        <w:rPr>
          <w:sz w:val="20"/>
        </w:rPr>
      </w:pPr>
      <w:r>
        <w:rPr>
          <w:sz w:val="20"/>
        </w:rPr>
      </w:r>
    </w:p>
    <w:p>
      <w:pPr>
        <w:pStyle w:val="TextBody"/>
        <w:bidi w:val="0"/>
        <w:spacing w:before="111" w:after="283"/>
        <w:jc w:val="left"/>
        <w:rPr>
          <w:rFonts w:ascii="Times New Roman" w:hAnsi="Times New Roman"/>
          <w:b/>
          <w:color w:val="000000"/>
          <w:sz w:val="20"/>
        </w:rPr>
      </w:pPr>
      <w:r>
        <w:rPr>
          <w:rFonts w:ascii="Times New Roman" w:hAnsi="Times New Roman"/>
          <w:b/>
          <w:color w:val="000000"/>
          <w:sz w:val="20"/>
        </w:rPr>
        <w:t>Overview</w:t>
      </w:r>
    </w:p>
    <w:p>
      <w:pPr>
        <w:pStyle w:val="Normal"/>
        <w:bidi w:val="0"/>
        <w:spacing w:before="0" w:after="0"/>
        <w:jc w:val="left"/>
        <w:rPr>
          <w:sz w:val="4"/>
          <w:szCs w:val="4"/>
        </w:rPr>
      </w:pPr>
      <w:r>
        <w:rPr>
          <w:sz w:val="4"/>
          <w:szCs w:val="4"/>
        </w:rPr>
      </w:r>
      <w:bookmarkStart w:id="12" w:name="z20f78f90f27641618069b11400874a1a"/>
      <w:bookmarkStart w:id="13" w:name="z20f78f90f27641618069b11400874a1a"/>
      <w:bookmarkEnd w:id="13"/>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left"/>
              <w:rPr>
                <w:sz w:val="20"/>
              </w:rPr>
            </w:pPr>
            <w:r>
              <w:rPr>
                <w:sz w:val="20"/>
              </w:rPr>
              <w:t>On April 25, S&amp;P Global Ratings lowered its long-term sovereign ratings on Peru--foreign currency to ‘BBB-’ from ‘BBB’ and local currency to ‘BBB’ from ‘BBB+’--reflecting that a fragmented Congress and limited political capital of the administration weigh on private-sector investment sentiment and pose an opportunity cost to growth.</w:t>
            </w:r>
          </w:p>
        </w:tc>
      </w:tr>
    </w:tbl>
    <w:p>
      <w:pPr>
        <w:pStyle w:val="Normal"/>
        <w:bidi w:val="0"/>
        <w:spacing w:before="0" w:after="0"/>
        <w:jc w:val="left"/>
        <w:rPr>
          <w:sz w:val="4"/>
          <w:szCs w:val="4"/>
        </w:rPr>
      </w:pPr>
      <w:r>
        <w:rPr>
          <w:sz w:val="4"/>
          <w:szCs w:val="4"/>
        </w:rPr>
      </w:r>
      <w:bookmarkStart w:id="14" w:name="z023c0609b983411a9e2b5ba58042455e"/>
      <w:bookmarkStart w:id="15" w:name="z023c0609b983411a9e2b5ba58042455e"/>
      <w:bookmarkEnd w:id="15"/>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left"/>
              <w:rPr>
                <w:sz w:val="20"/>
              </w:rPr>
            </w:pPr>
            <w:r>
              <w:rPr>
                <w:sz w:val="20"/>
              </w:rPr>
              <w:t>We downgraded six financial institutions operating in the country following the action on the sovereign. We rarely rate financial institutions higher than the sovereign where they operate because we consider it unlikely that the institutions would remain unaffected by developments in domestic economies.</w:t>
            </w:r>
          </w:p>
        </w:tc>
      </w:tr>
    </w:tbl>
    <w:p>
      <w:pPr>
        <w:pStyle w:val="Normal"/>
        <w:bidi w:val="0"/>
        <w:spacing w:before="0" w:after="0"/>
        <w:jc w:val="left"/>
        <w:rPr>
          <w:sz w:val="4"/>
          <w:szCs w:val="4"/>
        </w:rPr>
      </w:pPr>
      <w:r>
        <w:rPr>
          <w:sz w:val="4"/>
          <w:szCs w:val="4"/>
        </w:rPr>
      </w:r>
      <w:bookmarkStart w:id="16" w:name="zd05b7a3c81204570a248617b9042e549"/>
      <w:bookmarkStart w:id="17" w:name="zd05b7a3c81204570a248617b9042e549"/>
      <w:bookmarkEnd w:id="17"/>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both"/>
              <w:rPr>
                <w:sz w:val="20"/>
              </w:rPr>
            </w:pPr>
            <w:r>
              <w:rPr>
                <w:sz w:val="20"/>
              </w:rPr>
              <w:t>The outlooks on these companies are now stable, mirroring the outlook on the sovereign, which incorporates our expectation of a moderate recovery in real GDP, while net general government debt continues to rise but remains below 30% of GDP over 2024-2027.</w:t>
            </w:r>
          </w:p>
        </w:tc>
      </w:tr>
    </w:tbl>
    <w:p>
      <w:pPr>
        <w:pStyle w:val="Normal"/>
        <w:bidi w:val="0"/>
        <w:spacing w:before="0" w:after="0"/>
        <w:jc w:val="left"/>
        <w:rPr>
          <w:sz w:val="4"/>
          <w:szCs w:val="4"/>
        </w:rPr>
      </w:pPr>
      <w:r>
        <w:rPr>
          <w:sz w:val="4"/>
          <w:szCs w:val="4"/>
        </w:rPr>
      </w:r>
      <w:bookmarkStart w:id="18" w:name="zef8d594095af460e9458a193489be2b0"/>
      <w:bookmarkStart w:id="19" w:name="zef8d594095af460e9458a193489be2b0"/>
      <w:bookmarkEnd w:id="19"/>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both"/>
              <w:rPr>
                <w:sz w:val="20"/>
              </w:rPr>
            </w:pPr>
            <w:r>
              <w:rPr>
                <w:sz w:val="20"/>
              </w:rPr>
              <w:t>At the same time, we affirmed our ratings on two entities that we already rate at the same level as the sovereign, and the outlooks remain stable.</w:t>
            </w:r>
          </w:p>
        </w:tc>
      </w:tr>
    </w:tbl>
    <w:p>
      <w:pPr>
        <w:pStyle w:val="TextBody"/>
        <w:bidi w:val="0"/>
        <w:spacing w:before="22"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MEXICO CITY (S&amp;P Global Ratings) April 26, 2024--S&amp;P Global Ratings today lowered its ratings on Credicorp Ltd., Banco de Credito del Peru (BCP), MiBanco Banco de La Microempresa S.A., Scotiabank Peru S.A.A., Banco BBVA Peru, and Intercorp Financial Services Inc. (IFS). The outlooks on all entities are stable. At the same time, we affirmed our ratings on Banco Internacional del Peru S.A.A. - Interbank and Corporacion Financiera de Desarrollo S.A. (COFIDE), and the outlooks remain stable. See the ratings list for details.</w:t>
      </w:r>
    </w:p>
    <w:p>
      <w:pPr>
        <w:pStyle w:val="TextBody"/>
        <w:bidi w:val="0"/>
        <w:spacing w:before="135" w:after="283"/>
        <w:jc w:val="left"/>
        <w:rPr>
          <w:rFonts w:ascii="Times New Roman" w:hAnsi="Times New Roman"/>
          <w:color w:val="000000"/>
          <w:sz w:val="18"/>
        </w:rPr>
      </w:pPr>
      <w:r>
        <w:rPr>
          <w:rFonts w:ascii="Times New Roman" w:hAnsi="Times New Roman"/>
          <w:b/>
          <w:color w:val="000000"/>
          <w:sz w:val="20"/>
        </w:rPr>
        <w:t xml:space="preserve">The rating actions on the financial entities follow our downgrade of Peru. </w:t>
      </w:r>
      <w:r>
        <w:rPr>
          <w:rFonts w:ascii="Times New Roman" w:hAnsi="Times New Roman"/>
          <w:color w:val="000000"/>
          <w:sz w:val="20"/>
        </w:rPr>
        <w:t>This is because we believe the sovereign influences the creditworthiness of financial institutions due to the direct and indirect effects sovereign stress would have on banks’ business conditions. S&amp;P Global Ratings lowered its foreign currency ratings on Peru to ‘BBB-/A-3’ from ‘BBB/A-2’ and its local currency ratings to ‘BBB/A-2’ from ‘BBB+/A-2’. The outlook on the long-term ratings is stable.</w:t>
      </w:r>
    </w:p>
    <w:p>
      <w:pPr>
        <w:pStyle w:val="TextBody"/>
        <w:bidi w:val="0"/>
        <w:spacing w:before="162" w:after="283"/>
        <w:jc w:val="left"/>
        <w:rPr>
          <w:rFonts w:ascii="Times New Roman" w:hAnsi="Times New Roman"/>
          <w:color w:val="000000"/>
          <w:sz w:val="20"/>
        </w:rPr>
      </w:pPr>
      <w:r>
        <w:rPr>
          <w:rFonts w:ascii="Times New Roman" w:hAnsi="Times New Roman"/>
          <w:color w:val="000000"/>
          <w:sz w:val="20"/>
        </w:rPr>
        <w:t>We expect Peru’s complex political landscape will persist in the run-up to the next presidential and Congressional elections. This, in turn, limits the government’s capacity to implement more timely policies to boost the investment and economic growth outlook, in our view. Lingering political uncertainties pose an opportunity cost to growth despite favorable copper prices.</w:t>
      </w:r>
    </w:p>
    <w:p>
      <w:pPr>
        <w:pStyle w:val="TextBody"/>
        <w:bidi w:val="0"/>
        <w:spacing w:before="124" w:after="283"/>
        <w:ind w:left="108" w:right="0" w:hanging="0"/>
        <w:jc w:val="left"/>
        <w:rPr>
          <w:sz w:val="20"/>
        </w:rPr>
      </w:pPr>
      <w:r>
        <w:rPr>
          <w:sz w:val="20"/>
        </w:rPr>
      </w:r>
    </w:p>
    <w:p>
      <w:pPr>
        <w:pStyle w:val="TextBody"/>
        <w:bidi w:val="0"/>
        <w:spacing w:before="1" w:after="283"/>
        <w:jc w:val="left"/>
        <w:rPr>
          <w:rFonts w:ascii="Times New Roman" w:hAnsi="Times New Roman"/>
          <w:b/>
          <w:color w:val="D50029"/>
          <w:sz w:val="20"/>
        </w:rPr>
      </w:pPr>
      <w:r>
        <w:rPr>
          <w:rFonts w:ascii="Times New Roman" w:hAnsi="Times New Roman"/>
          <w:b/>
          <w:color w:val="D50029"/>
          <w:sz w:val="20"/>
        </w:rPr>
        <w:t>PRIMARY CREDIT ANALYST</w:t>
      </w:r>
    </w:p>
    <w:p>
      <w:pPr>
        <w:pStyle w:val="TextBody"/>
        <w:bidi w:val="0"/>
        <w:spacing w:before="4" w:after="283"/>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Camilo Andres Perez</w:t>
      </w:r>
    </w:p>
    <w:p>
      <w:pPr>
        <w:pStyle w:val="TextBody"/>
        <w:bidi w:val="0"/>
        <w:spacing w:before="76" w:after="283"/>
        <w:jc w:val="left"/>
        <w:rPr>
          <w:rFonts w:ascii="Times New Roman" w:hAnsi="Times New Roman"/>
          <w:color w:val="000000"/>
          <w:sz w:val="20"/>
        </w:rPr>
      </w:pPr>
      <w:r>
        <w:rPr>
          <w:rFonts w:ascii="Times New Roman" w:hAnsi="Times New Roman"/>
          <w:color w:val="000000"/>
          <w:sz w:val="20"/>
        </w:rPr>
        <w:t>Mexico City</w:t>
      </w:r>
    </w:p>
    <w:p>
      <w:pPr>
        <w:pStyle w:val="TextBody"/>
        <w:bidi w:val="0"/>
        <w:spacing w:before="61" w:after="283"/>
        <w:jc w:val="left"/>
        <w:rPr>
          <w:rFonts w:ascii="Times New Roman" w:hAnsi="Times New Roman"/>
          <w:color w:val="000000"/>
          <w:sz w:val="20"/>
        </w:rPr>
      </w:pPr>
      <w:r>
        <w:rPr>
          <w:rFonts w:ascii="Times New Roman" w:hAnsi="Times New Roman"/>
          <w:color w:val="000000"/>
          <w:sz w:val="20"/>
        </w:rPr>
        <w:t>+ 52 55 5081 4446</w:t>
      </w:r>
    </w:p>
    <w:p>
      <w:pPr>
        <w:pStyle w:val="TextBody"/>
        <w:bidi w:val="0"/>
        <w:spacing w:before="62" w:after="283"/>
        <w:jc w:val="left"/>
        <w:rPr>
          <w:rFonts w:ascii="Times New Roman" w:hAnsi="Times New Roman"/>
          <w:color w:val="000000"/>
          <w:sz w:val="20"/>
        </w:rPr>
      </w:pPr>
      <w:r>
        <w:rPr>
          <w:rFonts w:ascii="Times New Roman" w:hAnsi="Times New Roman"/>
          <w:color w:val="000000"/>
          <w:sz w:val="20"/>
        </w:rPr>
        <w:t>camilo.perez@spglobal.com</w:t>
      </w:r>
    </w:p>
    <w:p>
      <w:pPr>
        <w:pStyle w:val="TextBody"/>
        <w:bidi w:val="0"/>
        <w:spacing w:before="133" w:after="283"/>
        <w:jc w:val="left"/>
        <w:rPr>
          <w:rFonts w:ascii="Times New Roman" w:hAnsi="Times New Roman"/>
          <w:b/>
          <w:color w:val="D50029"/>
          <w:sz w:val="20"/>
        </w:rPr>
      </w:pPr>
      <w:r>
        <w:rPr>
          <w:rFonts w:ascii="Times New Roman" w:hAnsi="Times New Roman"/>
          <w:b/>
          <w:color w:val="D50029"/>
          <w:sz w:val="20"/>
        </w:rPr>
        <w:t>SECONDARY CONTACT</w:t>
      </w:r>
    </w:p>
    <w:p>
      <w:pPr>
        <w:pStyle w:val="TextBody"/>
        <w:bidi w:val="0"/>
        <w:spacing w:before="4" w:after="283"/>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Ivana L Recalde</w:t>
      </w:r>
    </w:p>
    <w:p>
      <w:pPr>
        <w:pStyle w:val="TextBody"/>
        <w:bidi w:val="0"/>
        <w:spacing w:before="76" w:after="283"/>
        <w:jc w:val="left"/>
        <w:rPr>
          <w:rFonts w:ascii="Times New Roman" w:hAnsi="Times New Roman"/>
          <w:color w:val="000000"/>
          <w:sz w:val="20"/>
        </w:rPr>
      </w:pPr>
      <w:r>
        <w:rPr>
          <w:rFonts w:ascii="Times New Roman" w:hAnsi="Times New Roman"/>
          <w:color w:val="000000"/>
          <w:sz w:val="20"/>
        </w:rPr>
        <w:t>Buenos Aires</w:t>
      </w:r>
    </w:p>
    <w:p>
      <w:pPr>
        <w:pStyle w:val="TextBody"/>
        <w:bidi w:val="0"/>
        <w:spacing w:before="61" w:after="283"/>
        <w:jc w:val="left"/>
        <w:rPr>
          <w:rFonts w:ascii="Times New Roman" w:hAnsi="Times New Roman"/>
          <w:color w:val="000000"/>
          <w:sz w:val="20"/>
        </w:rPr>
      </w:pPr>
      <w:r>
        <w:rPr>
          <w:rFonts w:ascii="Times New Roman" w:hAnsi="Times New Roman"/>
          <w:color w:val="000000"/>
          <w:sz w:val="20"/>
        </w:rPr>
        <w:t>+ 54 11 4891 2127</w:t>
      </w:r>
    </w:p>
    <w:p>
      <w:pPr>
        <w:pStyle w:val="TextBody"/>
        <w:bidi w:val="0"/>
        <w:spacing w:before="62" w:after="283"/>
        <w:jc w:val="left"/>
        <w:rPr>
          <w:rFonts w:ascii="Times New Roman" w:hAnsi="Times New Roman"/>
          <w:color w:val="000000"/>
          <w:sz w:val="20"/>
        </w:rPr>
      </w:pPr>
      <w:r>
        <w:rPr>
          <w:rFonts w:ascii="Times New Roman" w:hAnsi="Times New Roman"/>
          <w:color w:val="000000"/>
          <w:sz w:val="20"/>
        </w:rPr>
        <w:t>ivana.recalde@spglobal.com</w:t>
      </w:r>
    </w:p>
    <w:p>
      <w:pPr>
        <w:pStyle w:val="TextBody"/>
        <w:bidi w:val="0"/>
        <w:spacing w:before="0" w:after="0"/>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1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Moderate growth, especially in per capita terms, will limit improvement in Peru’s socioeconomic conditions. Peru already has lower income levels than many regional and similarly rated peers. Subdued growth also limits the resilience to weather new shocks.</w:t>
      </w:r>
    </w:p>
    <w:p>
      <w:pPr>
        <w:pStyle w:val="TextBody"/>
        <w:bidi w:val="0"/>
        <w:spacing w:before="133" w:after="283"/>
        <w:jc w:val="left"/>
        <w:rPr>
          <w:rFonts w:ascii="Times New Roman" w:hAnsi="Times New Roman"/>
          <w:color w:val="000000"/>
          <w:sz w:val="18"/>
        </w:rPr>
      </w:pPr>
      <w:r>
        <w:rPr>
          <w:rFonts w:ascii="Times New Roman" w:hAnsi="Times New Roman"/>
          <w:b/>
          <w:color w:val="000000"/>
          <w:sz w:val="20"/>
        </w:rPr>
        <w:t xml:space="preserve">Our Banking Industry Country Risk Assessment (BICRA) of Peru already incorporates challenging political conditions. </w:t>
      </w:r>
      <w:r>
        <w:rPr>
          <w:rFonts w:ascii="Times New Roman" w:hAnsi="Times New Roman"/>
          <w:color w:val="000000"/>
          <w:sz w:val="20"/>
        </w:rPr>
        <w:t>Our bank criteria use our BICRA’s economic risk and industry risk scores to determine a bank’s anchor, the starting point in assigning an issuer credit rating. For Peru, our anchor for a commercial bank operating only in the country is ‘bbb-’. Peru’s economic risk trend remains negative based on the downside risks to growth and investment from continued political volatility.</w:t>
      </w:r>
    </w:p>
    <w:p>
      <w:pPr>
        <w:pStyle w:val="TextBody"/>
        <w:bidi w:val="0"/>
        <w:spacing w:before="162" w:after="283"/>
        <w:jc w:val="left"/>
        <w:rPr>
          <w:rFonts w:ascii="Times New Roman" w:hAnsi="Times New Roman"/>
          <w:color w:val="000000"/>
          <w:sz w:val="20"/>
        </w:rPr>
      </w:pPr>
      <w:r>
        <w:rPr>
          <w:rFonts w:ascii="Times New Roman" w:hAnsi="Times New Roman"/>
          <w:color w:val="000000"/>
          <w:sz w:val="20"/>
        </w:rPr>
        <w:t>Our assessment of Peru’s economic risk could weaken if political developments and other events (like climate events) significantly dent economic resilience, damaging banks’ operating performance and asset quality.</w:t>
      </w:r>
    </w:p>
    <w:p>
      <w:pPr>
        <w:pStyle w:val="TextBody"/>
        <w:bidi w:val="0"/>
        <w:spacing w:before="123" w:after="283"/>
        <w:jc w:val="left"/>
        <w:rPr>
          <w:rFonts w:ascii="Times New Roman" w:hAnsi="Times New Roman"/>
          <w:color w:val="000000"/>
          <w:sz w:val="20"/>
        </w:rPr>
      </w:pPr>
      <w:r>
        <w:rPr>
          <w:rFonts w:ascii="Times New Roman" w:hAnsi="Times New Roman"/>
          <w:color w:val="000000"/>
          <w:sz w:val="20"/>
        </w:rPr>
        <w:t>If we were to revise down our economic risk assessment, the starting point (or anchor) would remain ‘bbb-’. However, the weaker economic risk score, which calibrates the risk weights for our risk-adjusted capital (RAC) framework, could lead to higher risk charges. This could lower the RAC ratios for some financial institutions operating in the country, which could affect the stand-alone credit profiles (SACPs), but not our ratings on these entities.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Credicorp</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Credicorp for the next two years reflects that on Peru, which will continue influencing the group’s credit fundamentals. Credicorp, the holding company, receives a substantial portion of dividends from its Peruvian operations across various financial segments. In addition, the holding company has substantial liquid assets that ensure debt service coverage, even in a scenario of low or no dividends.</w:t>
      </w:r>
    </w:p>
    <w:p>
      <w:pPr>
        <w:pStyle w:val="TextBody"/>
        <w:bidi w:val="0"/>
        <w:spacing w:before="125" w:after="283"/>
        <w:jc w:val="left"/>
        <w:rPr>
          <w:rFonts w:ascii="Times New Roman" w:hAnsi="Times New Roman"/>
          <w:color w:val="000000"/>
          <w:sz w:val="20"/>
        </w:rPr>
      </w:pPr>
      <w:r>
        <w:rPr>
          <w:rFonts w:ascii="Times New Roman" w:hAnsi="Times New Roman"/>
          <w:color w:val="000000"/>
          <w:sz w:val="20"/>
        </w:rPr>
        <w:t>The stable rating outlook on the holding company also indicates the resilience of the group’s largest subsidiary, BCP, which we don’t expect to downgrade unless its SACP falls below ‘bbb-’, which is unlikely.</w:t>
      </w:r>
    </w:p>
    <w:p>
      <w:pPr>
        <w:pStyle w:val="TextBody"/>
        <w:bidi w:val="0"/>
        <w:spacing w:before="131"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A downgrade of Peru could trigger a similar action on Credicorp. We could also lower the rating on the holding company if its liquidity decreases and the challenging business conditions result in a significant weakening in dividends received.</w:t>
      </w:r>
    </w:p>
    <w:p>
      <w:pPr>
        <w:pStyle w:val="TextBody"/>
        <w:bidi w:val="0"/>
        <w:spacing w:before="172"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upgrade Credicorp if we were to take a similar action on the sovereign, while the group’s intrinsic creditworthiness fundamentals remain unchanged.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BCP during the next two years mirrors the outlook on Peru. We expect that the ratings on the bank will move in tandem with those on the sovereign because of BCP’s high exposure to the domestic market. We rarely rate financial institutions higher than the sovereign where they operate because we consider it unlikely that these institutions would remain unaffected by developments in domestic economies.</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On the other hand, if higher risks materialize, damaging the operating conditions for banks in Peru--indicated by a downward revision of the BICRA economic risk score--it could hurt the bank’s capitalization and intrinsic credit fundamentals, but not the ratings.</w:t>
      </w:r>
    </w:p>
    <w:p>
      <w:pPr>
        <w:pStyle w:val="TextBody"/>
        <w:bidi w:val="0"/>
        <w:spacing w:before="1" w:after="283"/>
        <w:ind w:left="108" w:right="0" w:hanging="0"/>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2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TextBody"/>
        <w:bidi w:val="0"/>
        <w:spacing w:before="156" w:after="283"/>
        <w:jc w:val="left"/>
        <w:rPr>
          <w:rFonts w:ascii="Times New Roman" w:hAnsi="Times New Roman"/>
          <w:color w:val="000000"/>
          <w:sz w:val="20"/>
        </w:rPr>
      </w:pPr>
      <w:r>
        <w:rPr>
          <w:rFonts w:ascii="Times New Roman" w:hAnsi="Times New Roman"/>
          <w:color w:val="000000"/>
          <w:sz w:val="20"/>
        </w:rPr>
        <w:t>The stable outlook on BCP also considers that increased systemic risks for financial entities operating in Peru, combined with a hypothetical deterioration in the bank’s intrinsic creditworthiness, would not have an impact on the ratings, unless the SACP falls below ‘bbb-’, which is unlikely at this point.</w:t>
      </w:r>
    </w:p>
    <w:p>
      <w:pPr>
        <w:pStyle w:val="TextBody"/>
        <w:bidi w:val="0"/>
        <w:spacing w:before="132"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We could take a negative rating action on BCP if we were to take a similar action on the sovereign.</w:t>
      </w:r>
    </w:p>
    <w:p>
      <w:pPr>
        <w:pStyle w:val="TextBody"/>
        <w:bidi w:val="0"/>
        <w:spacing w:before="173"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upgrade BCP if we were to take a similar action on the sovereign, while the bank’s SACP remains above ‘bbb-’.</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MiBanco</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MiBanco during the next two years is based on that on its parent, BCP, as long as the former remains a core subsidiary to the group.</w:t>
      </w:r>
    </w:p>
    <w:p>
      <w:pPr>
        <w:pStyle w:val="TextBody"/>
        <w:bidi w:val="0"/>
        <w:spacing w:before="131"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We could downgrade MiBanco if we were to take the same action on BCP, which could happen if we downgrade Peru.</w:t>
      </w:r>
    </w:p>
    <w:p>
      <w:pPr>
        <w:pStyle w:val="TextBody"/>
        <w:bidi w:val="0"/>
        <w:spacing w:before="172"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upgrade MiBanco if we were to take a similar action on BCP.</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Scotiabank Peru</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Scotiabank Peru during the next two years reflects the outlook on Peru. We expect that the ratings on the bank will move in tandem with those on the sovereign because Scotiabank Peru has operations only in the country. We rarely rate financial institutions higher than the sovereign where they operate because we consider it unlikely that these institutions would remain unaffected by developments in domestic economies.</w:t>
      </w:r>
    </w:p>
    <w:p>
      <w:pPr>
        <w:pStyle w:val="TextBody"/>
        <w:bidi w:val="0"/>
        <w:spacing w:before="124" w:after="283"/>
        <w:jc w:val="left"/>
        <w:rPr>
          <w:rFonts w:ascii="Times New Roman" w:hAnsi="Times New Roman"/>
          <w:color w:val="000000"/>
          <w:sz w:val="20"/>
        </w:rPr>
      </w:pPr>
      <w:r>
        <w:rPr>
          <w:rFonts w:ascii="Times New Roman" w:hAnsi="Times New Roman"/>
          <w:color w:val="000000"/>
          <w:sz w:val="20"/>
        </w:rPr>
        <w:t>Increased systemic risks for financial entities operating in Peru, combined with a hypothetical deterioration in the bank’s intrinsic creditworthiness, would not have an impact on the ratings because of parent support. However, if the SACP falls below ‘bb-’, which is unlikely, that would affect the ratings. Scotiabank Peru is a strategically important subsidiary that could receive group support, which could result in up to three notches of rating uplift above the subsidiary’s SACP.</w:t>
      </w:r>
    </w:p>
    <w:p>
      <w:pPr>
        <w:pStyle w:val="TextBody"/>
        <w:bidi w:val="0"/>
        <w:spacing w:before="134"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We could downgrade the bank if we were to take a similar action on the sovereign.</w:t>
      </w:r>
    </w:p>
    <w:p>
      <w:pPr>
        <w:pStyle w:val="TextBody"/>
        <w:bidi w:val="0"/>
        <w:spacing w:before="172"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upgrade Scotiabank Peru if we were to take a similar action on the sovereign.</w:t>
      </w:r>
    </w:p>
    <w:p>
      <w:pPr>
        <w:pStyle w:val="TextBody"/>
        <w:bidi w:val="0"/>
        <w:spacing w:before="0" w:after="0"/>
        <w:jc w:val="left"/>
        <w:rPr>
          <w:sz w:val="20"/>
        </w:rPr>
      </w:pPr>
      <w:r>
        <w:rPr>
          <w:sz w:val="20"/>
        </w:rPr>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Banco BBVA Peru</w:t>
      </w:r>
    </w:p>
    <w:p>
      <w:pPr>
        <w:pStyle w:val="TextBody"/>
        <w:bidi w:val="0"/>
        <w:spacing w:before="175" w:after="283"/>
        <w:jc w:val="left"/>
        <w:rPr>
          <w:rFonts w:ascii="Times New Roman" w:hAnsi="Times New Roman"/>
          <w:color w:val="000000"/>
          <w:sz w:val="20"/>
        </w:rPr>
      </w:pPr>
      <w:r>
        <w:rPr>
          <w:rFonts w:ascii="Times New Roman" w:hAnsi="Times New Roman"/>
          <w:color w:val="000000"/>
          <w:sz w:val="20"/>
        </w:rPr>
        <w:t>The stable outlook on Banco BBVA Peru for the next two years mirrors the outlook on Peru. We expect that the ratings on the bank will move in tandem with those on the sovereign because of Banco BBVA Peru’s high exposure to the domestic market. We rarely rate financial institutions higher than the sovereign where they operate because we consider it unlikely that these institutions would remain unaffected by developments in domestic economies.</w:t>
      </w:r>
    </w:p>
    <w:p>
      <w:pPr>
        <w:pStyle w:val="TextBody"/>
        <w:bidi w:val="0"/>
        <w:spacing w:before="0" w:after="0"/>
        <w:ind w:left="108" w:right="3004" w:hanging="0"/>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3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Increased systemic risks for financial entities operating in Peru, combined with a hypothetical deterioration in the bank’s intrinsic creditworthiness, would not have an impact on the ratings because of parent support. However, if the SACP falls below ‘bb-’, which is unlikely, that would affect the ratings. Banco BBVA Peru is a strategically important subsidiary that could receive group support, which could result in up to three notches of rating uplift above the bank’s SACP.</w:t>
      </w:r>
    </w:p>
    <w:p>
      <w:pPr>
        <w:pStyle w:val="TextBody"/>
        <w:bidi w:val="0"/>
        <w:spacing w:before="132"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We could downgrade the bank if we were to take a similar action on the sovereign.</w:t>
      </w:r>
    </w:p>
    <w:p>
      <w:pPr>
        <w:pStyle w:val="TextBody"/>
        <w:bidi w:val="0"/>
        <w:spacing w:before="173"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raise the rating on Banco BBVA Peru if we were to take a similar action on the sovereign.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IFS</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IFS for the next two years reflects that on Peru, which will continue influencing the group’s credit fundamentals. In addition, we expect that the holding company will retain enough liquidity to cover debt service and that it will keep an adequate debt maturity profile.</w:t>
      </w:r>
    </w:p>
    <w:p>
      <w:pPr>
        <w:pStyle w:val="TextBody"/>
        <w:bidi w:val="0"/>
        <w:spacing w:before="124" w:after="283"/>
        <w:jc w:val="left"/>
        <w:rPr>
          <w:rFonts w:ascii="Times New Roman" w:hAnsi="Times New Roman"/>
          <w:color w:val="000000"/>
          <w:sz w:val="20"/>
        </w:rPr>
      </w:pPr>
      <w:r>
        <w:rPr>
          <w:rFonts w:ascii="Times New Roman" w:hAnsi="Times New Roman"/>
          <w:color w:val="000000"/>
          <w:sz w:val="20"/>
        </w:rPr>
        <w:t>Higher risks could materialize, damaging the operating conditions for financial institutions in Peru--as indicated by a downward revision of the BICRA economic risk score. However, that would not affect the group’s intrinsic credit fundamentals and ratings given its high capital buffer within its current category under our capital framework.</w:t>
      </w:r>
    </w:p>
    <w:p>
      <w:pPr>
        <w:pStyle w:val="TextBody"/>
        <w:bidi w:val="0"/>
        <w:spacing w:before="132"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A downgrade of Peru could trigger a similar action on IFS. We could also lower the ratings on IFS if the challenging business conditions result in a significant weakening in dividends received by the holding company.</w:t>
      </w:r>
    </w:p>
    <w:p>
      <w:pPr>
        <w:pStyle w:val="TextBody"/>
        <w:bidi w:val="0"/>
        <w:spacing w:before="172"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upgrade IFS if we were to take a similar action on the sovereign, while the group’s intrinsic creditworthiness fundamentals remain unchanged.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Interbank</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Interbank in the next two years reflects the outlook on Peru’s foreign currency rating and our expectation that the bank will maintain stable intrinsic credit fundamentals.</w:t>
      </w:r>
    </w:p>
    <w:p>
      <w:pPr>
        <w:pStyle w:val="TextBody"/>
        <w:bidi w:val="0"/>
        <w:spacing w:before="122" w:after="283"/>
        <w:jc w:val="left"/>
        <w:rPr>
          <w:rFonts w:ascii="Times New Roman" w:hAnsi="Times New Roman"/>
          <w:color w:val="000000"/>
          <w:sz w:val="20"/>
        </w:rPr>
      </w:pPr>
      <w:r>
        <w:rPr>
          <w:rFonts w:ascii="Times New Roman" w:hAnsi="Times New Roman"/>
          <w:color w:val="000000"/>
          <w:sz w:val="20"/>
        </w:rPr>
        <w:t>Higher risks could materialize, damaging the operating conditions for banks in Peru--as indicated by a downward revision of the BICRA economic risk score. However, that would not affect the bank’s intrinsic credit fundamentals and rating given its high capital buffer within its current category under our capital framework.</w:t>
      </w:r>
    </w:p>
    <w:p>
      <w:pPr>
        <w:pStyle w:val="TextBody"/>
        <w:bidi w:val="0"/>
        <w:spacing w:before="133"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We could lower our rating on Interbank if we were to lower our foreign currency sovereign rating on Peru. We rarely rate financial institutions higher than the sovereign where they operate because we consider it unlikely that these institutions would remain unaffected by developments in domestic economies.</w:t>
      </w:r>
    </w:p>
    <w:p>
      <w:pPr>
        <w:pStyle w:val="TextBody"/>
        <w:bidi w:val="0"/>
        <w:spacing w:before="163" w:after="283"/>
        <w:jc w:val="left"/>
        <w:rPr>
          <w:rFonts w:ascii="Times New Roman" w:hAnsi="Times New Roman"/>
          <w:color w:val="000000"/>
          <w:sz w:val="20"/>
        </w:rPr>
      </w:pPr>
      <w:r>
        <w:rPr>
          <w:rFonts w:ascii="Times New Roman" w:hAnsi="Times New Roman"/>
          <w:color w:val="000000"/>
          <w:sz w:val="20"/>
        </w:rPr>
        <w:t>We would also downgrade Interbank if its SACP were to fall below ‘bbb-’, but we believe this is unlikely in the next 12-24 months.</w:t>
      </w:r>
    </w:p>
    <w:p>
      <w:pPr>
        <w:pStyle w:val="TextBody"/>
        <w:bidi w:val="0"/>
        <w:spacing w:before="131"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We could upgrade Interbank if we were to take the same action on the foreign currency sovereign rating and revise up the bank’s SACP above ‘bbb-'--for example, owing to consistent capital strengthening.</w:t>
      </w:r>
    </w:p>
    <w:p>
      <w:pPr>
        <w:pStyle w:val="TextBody"/>
        <w:bidi w:val="0"/>
        <w:spacing w:before="0" w:after="0"/>
        <w:ind w:left="108" w:right="3004" w:hanging="0"/>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4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COFIDE</w:t>
      </w:r>
    </w:p>
    <w:p>
      <w:pPr>
        <w:pStyle w:val="TextBody"/>
        <w:bidi w:val="0"/>
        <w:spacing w:before="176" w:after="283"/>
        <w:jc w:val="left"/>
        <w:rPr>
          <w:rFonts w:ascii="Times New Roman" w:hAnsi="Times New Roman"/>
          <w:color w:val="000000"/>
          <w:sz w:val="20"/>
        </w:rPr>
      </w:pPr>
      <w:r>
        <w:rPr>
          <w:rFonts w:ascii="Times New Roman" w:hAnsi="Times New Roman"/>
          <w:color w:val="000000"/>
          <w:sz w:val="20"/>
        </w:rPr>
        <w:t>The stable outlook on COFIDE in the next two years reflects the outlook on Peru and our expectation that its intrinsic creditworthiness will remain stable, with a RAC ratio above 5% in 2024-2025. In addition, we expect the government to continue providing support to COFIDE given our view that it will remain the government's important financing tool in its plans to restart the domestic infrastructure sector. The entity also continues to be a key lending intermediary to small and midsize enterprises.</w:t>
      </w:r>
    </w:p>
    <w:p>
      <w:pPr>
        <w:pStyle w:val="TextBody"/>
        <w:bidi w:val="0"/>
        <w:spacing w:before="135" w:after="283"/>
        <w:jc w:val="left"/>
        <w:rPr>
          <w:rFonts w:ascii="Times New Roman" w:hAnsi="Times New Roman"/>
          <w:color w:val="000000"/>
          <w:sz w:val="18"/>
        </w:rPr>
      </w:pPr>
      <w:r>
        <w:rPr>
          <w:rFonts w:ascii="Times New Roman" w:hAnsi="Times New Roman"/>
          <w:b/>
          <w:color w:val="000000"/>
          <w:sz w:val="20"/>
        </w:rPr>
        <w:t xml:space="preserve">Downside scenario. </w:t>
      </w:r>
      <w:r>
        <w:rPr>
          <w:rFonts w:ascii="Times New Roman" w:hAnsi="Times New Roman"/>
          <w:color w:val="000000"/>
          <w:sz w:val="20"/>
        </w:rPr>
        <w:t>We could downgrade COFIDE if we lower our ratings on Peru. We rarely rate financial institutions higher than the sovereign where they operate because we consider it unlikely that these institutions would remain unaffected by developments in domestic economies.</w:t>
      </w:r>
    </w:p>
    <w:p>
      <w:pPr>
        <w:pStyle w:val="TextBody"/>
        <w:bidi w:val="0"/>
        <w:spacing w:before="163" w:after="283"/>
        <w:jc w:val="left"/>
        <w:rPr>
          <w:rFonts w:ascii="Times New Roman" w:hAnsi="Times New Roman"/>
          <w:color w:val="000000"/>
          <w:sz w:val="20"/>
        </w:rPr>
      </w:pPr>
      <w:r>
        <w:rPr>
          <w:rFonts w:ascii="Times New Roman" w:hAnsi="Times New Roman"/>
          <w:color w:val="000000"/>
          <w:sz w:val="20"/>
        </w:rPr>
        <w:t>We could also lower the ratings on COFIDE if we were to revise down its SACP.</w:t>
      </w:r>
    </w:p>
    <w:p>
      <w:pPr>
        <w:pStyle w:val="TextBody"/>
        <w:bidi w:val="0"/>
        <w:spacing w:before="165" w:after="283"/>
        <w:jc w:val="left"/>
        <w:rPr>
          <w:rFonts w:ascii="Times New Roman" w:hAnsi="Times New Roman"/>
          <w:color w:val="000000"/>
          <w:sz w:val="18"/>
        </w:rPr>
      </w:pPr>
      <w:r>
        <w:rPr>
          <w:rFonts w:ascii="Times New Roman" w:hAnsi="Times New Roman"/>
          <w:b/>
          <w:color w:val="000000"/>
          <w:sz w:val="20"/>
        </w:rPr>
        <w:t xml:space="preserve">Upside scenario. </w:t>
      </w:r>
      <w:r>
        <w:rPr>
          <w:rFonts w:ascii="Times New Roman" w:hAnsi="Times New Roman"/>
          <w:color w:val="000000"/>
          <w:sz w:val="20"/>
        </w:rPr>
        <w:t>An upgrade of the entity is unlikely at this point, given the challenging conditions for the Peruvian government that somewhat limit its capacity to support government entities. We could upgrade COFIDE if we were to take the same action on Peru and revise up COFIDE's SACP.</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Related Criteria</w:t>
      </w:r>
    </w:p>
    <w:p>
      <w:pPr>
        <w:pStyle w:val="Normal"/>
        <w:bidi w:val="0"/>
        <w:spacing w:before="0" w:after="0"/>
        <w:jc w:val="left"/>
        <w:rPr>
          <w:sz w:val="4"/>
          <w:szCs w:val="4"/>
        </w:rPr>
      </w:pPr>
      <w:r>
        <w:rPr>
          <w:sz w:val="4"/>
          <w:szCs w:val="4"/>
        </w:rPr>
      </w:r>
      <w:bookmarkStart w:id="20" w:name="z6c0c258a80d847dbabcab8aedda7a35e"/>
      <w:bookmarkStart w:id="21" w:name="z6c0c258a80d847dbabcab8aedda7a35e"/>
      <w:bookmarkEnd w:id="21"/>
    </w:p>
    <w:tbl>
      <w:tblPr>
        <w:tblW w:w="9550" w:type="dxa"/>
        <w:jc w:val="left"/>
        <w:tblInd w:w="0" w:type="dxa"/>
        <w:tblLayout w:type="fixed"/>
        <w:tblCellMar>
          <w:top w:w="0" w:type="dxa"/>
          <w:left w:w="0" w:type="dxa"/>
          <w:bottom w:w="0" w:type="dxa"/>
          <w:right w:w="0" w:type="dxa"/>
        </w:tblCellMar>
      </w:tblPr>
      <w:tblGrid>
        <w:gridCol w:w="95"/>
        <w:gridCol w:w="9455"/>
      </w:tblGrid>
      <w:tr>
        <w:trPr/>
        <w:tc>
          <w:tcPr>
            <w:tcW w:w="95" w:type="dxa"/>
            <w:tcBorders/>
            <w:vAlign w:val="center"/>
          </w:tcPr>
          <w:p>
            <w:pPr>
              <w:pStyle w:val="TableContents"/>
              <w:bidi w:val="0"/>
              <w:spacing w:before="0" w:after="283"/>
              <w:jc w:val="left"/>
              <w:rPr>
                <w:sz w:val="20"/>
              </w:rPr>
            </w:pPr>
            <w:r>
              <w:rPr>
                <w:sz w:val="20"/>
              </w:rPr>
              <w:t>-</w:t>
            </w:r>
          </w:p>
        </w:tc>
        <w:tc>
          <w:tcPr>
            <w:tcW w:w="9455" w:type="dxa"/>
            <w:tcBorders/>
            <w:vAlign w:val="center"/>
          </w:tcPr>
          <w:p>
            <w:pPr>
              <w:pStyle w:val="TableContents"/>
              <w:bidi w:val="0"/>
              <w:spacing w:before="0" w:after="0"/>
              <w:jc w:val="left"/>
              <w:rPr>
                <w:sz w:val="20"/>
              </w:rPr>
            </w:pPr>
            <w:r>
              <w:rPr>
                <w:sz w:val="20"/>
              </w:rPr>
              <w:t>Criteria | Insurance | General: Insurer Risk-Based Capital Adequacy--Methodology And Assumptions, Nov. 15, 2023</w:t>
            </w:r>
          </w:p>
        </w:tc>
      </w:tr>
    </w:tbl>
    <w:p>
      <w:pPr>
        <w:pStyle w:val="Normal"/>
        <w:bidi w:val="0"/>
        <w:spacing w:before="0" w:after="0"/>
        <w:jc w:val="left"/>
        <w:rPr>
          <w:sz w:val="4"/>
          <w:szCs w:val="4"/>
        </w:rPr>
      </w:pPr>
      <w:r>
        <w:rPr>
          <w:sz w:val="4"/>
          <w:szCs w:val="4"/>
        </w:rPr>
      </w:r>
      <w:bookmarkStart w:id="22" w:name="z48dd3173e34f405192349204d80a6722"/>
      <w:bookmarkStart w:id="23" w:name="z48dd3173e34f405192349204d80a6722"/>
      <w:bookmarkEnd w:id="23"/>
    </w:p>
    <w:tbl>
      <w:tblPr>
        <w:tblW w:w="6730" w:type="dxa"/>
        <w:jc w:val="left"/>
        <w:tblInd w:w="0" w:type="dxa"/>
        <w:tblLayout w:type="fixed"/>
        <w:tblCellMar>
          <w:top w:w="0" w:type="dxa"/>
          <w:left w:w="0" w:type="dxa"/>
          <w:bottom w:w="0" w:type="dxa"/>
          <w:right w:w="0" w:type="dxa"/>
        </w:tblCellMar>
      </w:tblPr>
      <w:tblGrid>
        <w:gridCol w:w="95"/>
        <w:gridCol w:w="6635"/>
      </w:tblGrid>
      <w:tr>
        <w:trPr/>
        <w:tc>
          <w:tcPr>
            <w:tcW w:w="95" w:type="dxa"/>
            <w:tcBorders/>
            <w:vAlign w:val="center"/>
          </w:tcPr>
          <w:p>
            <w:pPr>
              <w:pStyle w:val="TableContents"/>
              <w:bidi w:val="0"/>
              <w:spacing w:before="0" w:after="283"/>
              <w:jc w:val="left"/>
              <w:rPr>
                <w:sz w:val="20"/>
              </w:rPr>
            </w:pPr>
            <w:r>
              <w:rPr>
                <w:sz w:val="20"/>
              </w:rPr>
              <w:t>-</w:t>
            </w:r>
          </w:p>
        </w:tc>
        <w:tc>
          <w:tcPr>
            <w:tcW w:w="6635" w:type="dxa"/>
            <w:tcBorders/>
            <w:vAlign w:val="center"/>
          </w:tcPr>
          <w:p>
            <w:pPr>
              <w:pStyle w:val="TableContents"/>
              <w:bidi w:val="0"/>
              <w:spacing w:before="0" w:after="0"/>
              <w:jc w:val="left"/>
              <w:rPr>
                <w:sz w:val="20"/>
              </w:rPr>
            </w:pPr>
            <w:r>
              <w:rPr>
                <w:sz w:val="20"/>
              </w:rPr>
              <w:t>General Criteria: Hybrid Capital: Methodology And Assumptions, March 2, 2022</w:t>
            </w:r>
          </w:p>
        </w:tc>
      </w:tr>
    </w:tbl>
    <w:p>
      <w:pPr>
        <w:pStyle w:val="Normal"/>
        <w:bidi w:val="0"/>
        <w:spacing w:before="0" w:after="0"/>
        <w:jc w:val="left"/>
        <w:rPr>
          <w:sz w:val="4"/>
          <w:szCs w:val="4"/>
        </w:rPr>
      </w:pPr>
      <w:r>
        <w:rPr>
          <w:sz w:val="4"/>
          <w:szCs w:val="4"/>
        </w:rPr>
      </w:r>
      <w:bookmarkStart w:id="24" w:name="z4ba85e8651a74ac88441a7b0545b2ebd"/>
      <w:bookmarkStart w:id="25" w:name="z4ba85e8651a74ac88441a7b0545b2ebd"/>
      <w:bookmarkEnd w:id="25"/>
    </w:p>
    <w:tbl>
      <w:tblPr>
        <w:tblW w:w="8110" w:type="dxa"/>
        <w:jc w:val="left"/>
        <w:tblInd w:w="0" w:type="dxa"/>
        <w:tblLayout w:type="fixed"/>
        <w:tblCellMar>
          <w:top w:w="0" w:type="dxa"/>
          <w:left w:w="0" w:type="dxa"/>
          <w:bottom w:w="0" w:type="dxa"/>
          <w:right w:w="0" w:type="dxa"/>
        </w:tblCellMar>
      </w:tblPr>
      <w:tblGrid>
        <w:gridCol w:w="95"/>
        <w:gridCol w:w="8015"/>
      </w:tblGrid>
      <w:tr>
        <w:trPr/>
        <w:tc>
          <w:tcPr>
            <w:tcW w:w="95" w:type="dxa"/>
            <w:tcBorders/>
            <w:vAlign w:val="center"/>
          </w:tcPr>
          <w:p>
            <w:pPr>
              <w:pStyle w:val="TableContents"/>
              <w:bidi w:val="0"/>
              <w:spacing w:before="0" w:after="283"/>
              <w:jc w:val="left"/>
              <w:rPr>
                <w:sz w:val="20"/>
              </w:rPr>
            </w:pPr>
            <w:r>
              <w:rPr>
                <w:sz w:val="20"/>
              </w:rPr>
              <w:t>-</w:t>
            </w:r>
          </w:p>
        </w:tc>
        <w:tc>
          <w:tcPr>
            <w:tcW w:w="8015" w:type="dxa"/>
            <w:tcBorders/>
            <w:vAlign w:val="center"/>
          </w:tcPr>
          <w:p>
            <w:pPr>
              <w:pStyle w:val="TableContents"/>
              <w:bidi w:val="0"/>
              <w:spacing w:before="0" w:after="0"/>
              <w:jc w:val="left"/>
              <w:rPr>
                <w:sz w:val="20"/>
              </w:rPr>
            </w:pPr>
            <w:r>
              <w:rPr>
                <w:sz w:val="20"/>
              </w:rPr>
              <w:t>Criteria | Financial Institutions | General: Financial Institutions Rating Methodology, Dec. 9, 2021</w:t>
            </w:r>
          </w:p>
        </w:tc>
      </w:tr>
    </w:tbl>
    <w:p>
      <w:pPr>
        <w:pStyle w:val="Normal"/>
        <w:bidi w:val="0"/>
        <w:spacing w:before="0" w:after="0"/>
        <w:jc w:val="left"/>
        <w:rPr>
          <w:sz w:val="4"/>
          <w:szCs w:val="4"/>
        </w:rPr>
      </w:pPr>
      <w:r>
        <w:rPr>
          <w:sz w:val="4"/>
          <w:szCs w:val="4"/>
        </w:rPr>
      </w:r>
      <w:bookmarkStart w:id="26" w:name="zfbcbb5e44a9e47bd99da75878e3c01fe"/>
      <w:bookmarkStart w:id="27" w:name="zfbcbb5e44a9e47bd99da75878e3c01fe"/>
      <w:bookmarkEnd w:id="27"/>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left"/>
              <w:rPr>
                <w:sz w:val="20"/>
              </w:rPr>
            </w:pPr>
            <w:r>
              <w:rPr>
                <w:sz w:val="20"/>
              </w:rPr>
              <w:t>Criteria | Financial Institutions | Banks: Banking Industry Country Risk Assessment Methodology And Assumptions, Dec. 9, 2021</w:t>
            </w:r>
          </w:p>
        </w:tc>
      </w:tr>
    </w:tbl>
    <w:p>
      <w:pPr>
        <w:pStyle w:val="Normal"/>
        <w:bidi w:val="0"/>
        <w:spacing w:before="0" w:after="0"/>
        <w:jc w:val="left"/>
        <w:rPr>
          <w:sz w:val="4"/>
          <w:szCs w:val="4"/>
        </w:rPr>
      </w:pPr>
      <w:r>
        <w:rPr>
          <w:sz w:val="4"/>
          <w:szCs w:val="4"/>
        </w:rPr>
      </w:r>
      <w:bookmarkStart w:id="28" w:name="z5771f54ed0794266ad56a127ac8ca157"/>
      <w:bookmarkStart w:id="29" w:name="z5771f54ed0794266ad56a127ac8ca157"/>
      <w:bookmarkEnd w:id="29"/>
    </w:p>
    <w:tbl>
      <w:tblPr>
        <w:tblW w:w="8275" w:type="dxa"/>
        <w:jc w:val="left"/>
        <w:tblInd w:w="0" w:type="dxa"/>
        <w:tblLayout w:type="fixed"/>
        <w:tblCellMar>
          <w:top w:w="0" w:type="dxa"/>
          <w:left w:w="0" w:type="dxa"/>
          <w:bottom w:w="0" w:type="dxa"/>
          <w:right w:w="0" w:type="dxa"/>
        </w:tblCellMar>
      </w:tblPr>
      <w:tblGrid>
        <w:gridCol w:w="95"/>
        <w:gridCol w:w="8180"/>
      </w:tblGrid>
      <w:tr>
        <w:trPr/>
        <w:tc>
          <w:tcPr>
            <w:tcW w:w="95" w:type="dxa"/>
            <w:tcBorders/>
            <w:vAlign w:val="center"/>
          </w:tcPr>
          <w:p>
            <w:pPr>
              <w:pStyle w:val="TableContents"/>
              <w:bidi w:val="0"/>
              <w:spacing w:before="0" w:after="283"/>
              <w:jc w:val="left"/>
              <w:rPr>
                <w:sz w:val="20"/>
              </w:rPr>
            </w:pPr>
            <w:r>
              <w:rPr>
                <w:sz w:val="20"/>
              </w:rPr>
              <w:t>-</w:t>
            </w:r>
          </w:p>
        </w:tc>
        <w:tc>
          <w:tcPr>
            <w:tcW w:w="8180" w:type="dxa"/>
            <w:tcBorders/>
            <w:vAlign w:val="center"/>
          </w:tcPr>
          <w:p>
            <w:pPr>
              <w:pStyle w:val="TableContents"/>
              <w:bidi w:val="0"/>
              <w:spacing w:before="0" w:after="0"/>
              <w:jc w:val="left"/>
              <w:rPr>
                <w:sz w:val="20"/>
              </w:rPr>
            </w:pPr>
            <w:r>
              <w:rPr>
                <w:sz w:val="20"/>
              </w:rPr>
              <w:t>General Criteria: Environmental, Social, And Governance Principles In Credit Ratings, Oct. 10, 2021</w:t>
            </w:r>
          </w:p>
        </w:tc>
      </w:tr>
    </w:tbl>
    <w:p>
      <w:pPr>
        <w:pStyle w:val="Normal"/>
        <w:bidi w:val="0"/>
        <w:spacing w:before="0" w:after="0"/>
        <w:jc w:val="left"/>
        <w:rPr>
          <w:sz w:val="4"/>
          <w:szCs w:val="4"/>
        </w:rPr>
      </w:pPr>
      <w:r>
        <w:rPr>
          <w:sz w:val="4"/>
          <w:szCs w:val="4"/>
        </w:rPr>
      </w:r>
      <w:bookmarkStart w:id="30" w:name="z75cbf133b1f64829809873f2ee7df41f"/>
      <w:bookmarkStart w:id="31" w:name="z75cbf133b1f64829809873f2ee7df41f"/>
      <w:bookmarkEnd w:id="31"/>
    </w:p>
    <w:tbl>
      <w:tblPr>
        <w:tblW w:w="4900" w:type="dxa"/>
        <w:jc w:val="left"/>
        <w:tblInd w:w="0" w:type="dxa"/>
        <w:tblLayout w:type="fixed"/>
        <w:tblCellMar>
          <w:top w:w="0" w:type="dxa"/>
          <w:left w:w="0" w:type="dxa"/>
          <w:bottom w:w="0" w:type="dxa"/>
          <w:right w:w="0" w:type="dxa"/>
        </w:tblCellMar>
      </w:tblPr>
      <w:tblGrid>
        <w:gridCol w:w="95"/>
        <w:gridCol w:w="4805"/>
      </w:tblGrid>
      <w:tr>
        <w:trPr/>
        <w:tc>
          <w:tcPr>
            <w:tcW w:w="95" w:type="dxa"/>
            <w:tcBorders/>
            <w:vAlign w:val="center"/>
          </w:tcPr>
          <w:p>
            <w:pPr>
              <w:pStyle w:val="TableContents"/>
              <w:bidi w:val="0"/>
              <w:spacing w:before="0" w:after="283"/>
              <w:jc w:val="left"/>
              <w:rPr>
                <w:sz w:val="20"/>
              </w:rPr>
            </w:pPr>
            <w:r>
              <w:rPr>
                <w:sz w:val="20"/>
              </w:rPr>
              <w:t>-</w:t>
            </w:r>
          </w:p>
        </w:tc>
        <w:tc>
          <w:tcPr>
            <w:tcW w:w="4805" w:type="dxa"/>
            <w:tcBorders/>
            <w:vAlign w:val="center"/>
          </w:tcPr>
          <w:p>
            <w:pPr>
              <w:pStyle w:val="TableContents"/>
              <w:bidi w:val="0"/>
              <w:spacing w:before="0" w:after="0"/>
              <w:jc w:val="left"/>
              <w:rPr>
                <w:sz w:val="20"/>
              </w:rPr>
            </w:pPr>
            <w:r>
              <w:rPr>
                <w:sz w:val="20"/>
              </w:rPr>
              <w:t>General Criteria: Group Rating Methodology, July 1, 2019</w:t>
            </w:r>
          </w:p>
        </w:tc>
      </w:tr>
    </w:tbl>
    <w:p>
      <w:pPr>
        <w:pStyle w:val="Normal"/>
        <w:bidi w:val="0"/>
        <w:spacing w:before="0" w:after="0"/>
        <w:jc w:val="left"/>
        <w:rPr>
          <w:sz w:val="4"/>
          <w:szCs w:val="4"/>
        </w:rPr>
      </w:pPr>
      <w:r>
        <w:rPr>
          <w:sz w:val="4"/>
          <w:szCs w:val="4"/>
        </w:rPr>
      </w:r>
      <w:bookmarkStart w:id="32" w:name="z64499ea7f35c49ee82c740b2973412df"/>
      <w:bookmarkStart w:id="33" w:name="z64499ea7f35c49ee82c740b2973412df"/>
      <w:bookmarkEnd w:id="33"/>
    </w:p>
    <w:tbl>
      <w:tblPr>
        <w:tblW w:w="8620" w:type="dxa"/>
        <w:jc w:val="left"/>
        <w:tblInd w:w="0" w:type="dxa"/>
        <w:tblLayout w:type="fixed"/>
        <w:tblCellMar>
          <w:top w:w="0" w:type="dxa"/>
          <w:left w:w="0" w:type="dxa"/>
          <w:bottom w:w="0" w:type="dxa"/>
          <w:right w:w="0" w:type="dxa"/>
        </w:tblCellMar>
      </w:tblPr>
      <w:tblGrid>
        <w:gridCol w:w="95"/>
        <w:gridCol w:w="8525"/>
      </w:tblGrid>
      <w:tr>
        <w:trPr/>
        <w:tc>
          <w:tcPr>
            <w:tcW w:w="95" w:type="dxa"/>
            <w:tcBorders/>
            <w:vAlign w:val="center"/>
          </w:tcPr>
          <w:p>
            <w:pPr>
              <w:pStyle w:val="TableContents"/>
              <w:bidi w:val="0"/>
              <w:spacing w:before="0" w:after="283"/>
              <w:jc w:val="left"/>
              <w:rPr>
                <w:sz w:val="20"/>
              </w:rPr>
            </w:pPr>
            <w:r>
              <w:rPr>
                <w:sz w:val="20"/>
              </w:rPr>
              <w:t>-</w:t>
            </w:r>
          </w:p>
        </w:tc>
        <w:tc>
          <w:tcPr>
            <w:tcW w:w="8525" w:type="dxa"/>
            <w:tcBorders/>
            <w:vAlign w:val="center"/>
          </w:tcPr>
          <w:p>
            <w:pPr>
              <w:pStyle w:val="TableContents"/>
              <w:bidi w:val="0"/>
              <w:spacing w:before="0" w:after="0"/>
              <w:jc w:val="left"/>
              <w:rPr>
                <w:sz w:val="20"/>
              </w:rPr>
            </w:pPr>
            <w:r>
              <w:rPr>
                <w:sz w:val="20"/>
              </w:rPr>
              <w:t>Criteria | Financial Institutions | General: Risk-Adjusted Capital Framework Methodology, July 20, 2017</w:t>
            </w:r>
          </w:p>
        </w:tc>
      </w:tr>
    </w:tbl>
    <w:p>
      <w:pPr>
        <w:pStyle w:val="Normal"/>
        <w:bidi w:val="0"/>
        <w:spacing w:before="0" w:after="0"/>
        <w:jc w:val="left"/>
        <w:rPr>
          <w:sz w:val="4"/>
          <w:szCs w:val="4"/>
        </w:rPr>
      </w:pPr>
      <w:r>
        <w:rPr>
          <w:sz w:val="4"/>
          <w:szCs w:val="4"/>
        </w:rPr>
      </w:r>
      <w:bookmarkStart w:id="34" w:name="ze19d0e2104c34ec889cedda3a1a8a2a5"/>
      <w:bookmarkStart w:id="35" w:name="ze19d0e2104c34ec889cedda3a1a8a2a5"/>
      <w:bookmarkEnd w:id="35"/>
    </w:p>
    <w:tbl>
      <w:tblPr>
        <w:tblW w:w="7825" w:type="dxa"/>
        <w:jc w:val="left"/>
        <w:tblInd w:w="0" w:type="dxa"/>
        <w:tblLayout w:type="fixed"/>
        <w:tblCellMar>
          <w:top w:w="0" w:type="dxa"/>
          <w:left w:w="0" w:type="dxa"/>
          <w:bottom w:w="0" w:type="dxa"/>
          <w:right w:w="0" w:type="dxa"/>
        </w:tblCellMar>
      </w:tblPr>
      <w:tblGrid>
        <w:gridCol w:w="95"/>
        <w:gridCol w:w="7730"/>
      </w:tblGrid>
      <w:tr>
        <w:trPr/>
        <w:tc>
          <w:tcPr>
            <w:tcW w:w="95" w:type="dxa"/>
            <w:tcBorders/>
            <w:vAlign w:val="center"/>
          </w:tcPr>
          <w:p>
            <w:pPr>
              <w:pStyle w:val="TableContents"/>
              <w:bidi w:val="0"/>
              <w:spacing w:before="0" w:after="283"/>
              <w:jc w:val="left"/>
              <w:rPr>
                <w:sz w:val="20"/>
              </w:rPr>
            </w:pPr>
            <w:r>
              <w:rPr>
                <w:sz w:val="20"/>
              </w:rPr>
              <w:t>-</w:t>
            </w:r>
          </w:p>
        </w:tc>
        <w:tc>
          <w:tcPr>
            <w:tcW w:w="7730" w:type="dxa"/>
            <w:tcBorders/>
            <w:vAlign w:val="center"/>
          </w:tcPr>
          <w:p>
            <w:pPr>
              <w:pStyle w:val="TableContents"/>
              <w:bidi w:val="0"/>
              <w:spacing w:before="0" w:after="0"/>
              <w:jc w:val="left"/>
              <w:rPr>
                <w:sz w:val="20"/>
              </w:rPr>
            </w:pPr>
            <w:r>
              <w:rPr>
                <w:sz w:val="20"/>
              </w:rPr>
              <w:t>General Criteria: Methodology For Linking Long-Term And Short-Term Ratings, April 7, 2017</w:t>
            </w:r>
          </w:p>
        </w:tc>
      </w:tr>
    </w:tbl>
    <w:p>
      <w:pPr>
        <w:pStyle w:val="Normal"/>
        <w:bidi w:val="0"/>
        <w:spacing w:before="0" w:after="0"/>
        <w:jc w:val="left"/>
        <w:rPr>
          <w:sz w:val="4"/>
          <w:szCs w:val="4"/>
        </w:rPr>
      </w:pPr>
      <w:r>
        <w:rPr>
          <w:sz w:val="4"/>
          <w:szCs w:val="4"/>
        </w:rPr>
      </w:r>
      <w:bookmarkStart w:id="36" w:name="zf51d55938f3945ff9a1abe8ee013c957"/>
      <w:bookmarkStart w:id="37" w:name="zf51d55938f3945ff9a1abe8ee013c957"/>
      <w:bookmarkEnd w:id="37"/>
    </w:p>
    <w:tbl>
      <w:tblPr>
        <w:tblW w:w="8590" w:type="dxa"/>
        <w:jc w:val="left"/>
        <w:tblInd w:w="0" w:type="dxa"/>
        <w:tblLayout w:type="fixed"/>
        <w:tblCellMar>
          <w:top w:w="0" w:type="dxa"/>
          <w:left w:w="0" w:type="dxa"/>
          <w:bottom w:w="0" w:type="dxa"/>
          <w:right w:w="0" w:type="dxa"/>
        </w:tblCellMar>
      </w:tblPr>
      <w:tblGrid>
        <w:gridCol w:w="95"/>
        <w:gridCol w:w="8495"/>
      </w:tblGrid>
      <w:tr>
        <w:trPr/>
        <w:tc>
          <w:tcPr>
            <w:tcW w:w="95" w:type="dxa"/>
            <w:tcBorders/>
            <w:vAlign w:val="center"/>
          </w:tcPr>
          <w:p>
            <w:pPr>
              <w:pStyle w:val="TableContents"/>
              <w:bidi w:val="0"/>
              <w:spacing w:before="0" w:after="283"/>
              <w:jc w:val="left"/>
              <w:rPr>
                <w:sz w:val="20"/>
              </w:rPr>
            </w:pPr>
            <w:r>
              <w:rPr>
                <w:sz w:val="20"/>
              </w:rPr>
              <w:t>-</w:t>
            </w:r>
          </w:p>
        </w:tc>
        <w:tc>
          <w:tcPr>
            <w:tcW w:w="8495" w:type="dxa"/>
            <w:tcBorders/>
            <w:vAlign w:val="center"/>
          </w:tcPr>
          <w:p>
            <w:pPr>
              <w:pStyle w:val="TableContents"/>
              <w:bidi w:val="0"/>
              <w:spacing w:before="0" w:after="0"/>
              <w:jc w:val="left"/>
              <w:rPr>
                <w:sz w:val="20"/>
              </w:rPr>
            </w:pPr>
            <w:r>
              <w:rPr>
                <w:sz w:val="20"/>
              </w:rPr>
              <w:t>General Criteria: Rating Government-Related Entities: Methodology And Assumptions, March 25, 2015</w:t>
            </w:r>
          </w:p>
        </w:tc>
      </w:tr>
    </w:tbl>
    <w:p>
      <w:pPr>
        <w:pStyle w:val="Normal"/>
        <w:bidi w:val="0"/>
        <w:spacing w:before="0" w:after="0"/>
        <w:jc w:val="left"/>
        <w:rPr>
          <w:sz w:val="4"/>
          <w:szCs w:val="4"/>
        </w:rPr>
      </w:pPr>
      <w:r>
        <w:rPr>
          <w:sz w:val="4"/>
          <w:szCs w:val="4"/>
        </w:rPr>
      </w:r>
      <w:bookmarkStart w:id="38" w:name="z20efbbbf86a64ead9240462fece29cd9"/>
      <w:bookmarkStart w:id="39" w:name="z20efbbbf86a64ead9240462fece29cd9"/>
      <w:bookmarkEnd w:id="39"/>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left"/>
              <w:rPr>
                <w:sz w:val="20"/>
              </w:rPr>
            </w:pPr>
            <w:r>
              <w:rPr>
                <w:sz w:val="20"/>
              </w:rPr>
              <w:t>General Criteria: Ratings Above The Sovereign--Corporate And Government Ratings: Methodology And Assumptions, Nov. 19, 2013</w:t>
            </w:r>
          </w:p>
        </w:tc>
      </w:tr>
    </w:tbl>
    <w:p>
      <w:pPr>
        <w:pStyle w:val="Normal"/>
        <w:bidi w:val="0"/>
        <w:spacing w:before="0" w:after="0"/>
        <w:jc w:val="left"/>
        <w:rPr>
          <w:sz w:val="4"/>
          <w:szCs w:val="4"/>
        </w:rPr>
      </w:pPr>
      <w:r>
        <w:rPr>
          <w:sz w:val="4"/>
          <w:szCs w:val="4"/>
        </w:rPr>
      </w:r>
      <w:bookmarkStart w:id="40" w:name="z432c96c4d61d45db9b6a40ce2aa1752b"/>
      <w:bookmarkStart w:id="41" w:name="z432c96c4d61d45db9b6a40ce2aa1752b"/>
      <w:bookmarkEnd w:id="41"/>
    </w:p>
    <w:tbl>
      <w:tblPr>
        <w:tblW w:w="5005" w:type="dxa"/>
        <w:jc w:val="left"/>
        <w:tblInd w:w="0" w:type="dxa"/>
        <w:tblLayout w:type="fixed"/>
        <w:tblCellMar>
          <w:top w:w="0" w:type="dxa"/>
          <w:left w:w="0" w:type="dxa"/>
          <w:bottom w:w="0" w:type="dxa"/>
          <w:right w:w="0" w:type="dxa"/>
        </w:tblCellMar>
      </w:tblPr>
      <w:tblGrid>
        <w:gridCol w:w="95"/>
        <w:gridCol w:w="4910"/>
      </w:tblGrid>
      <w:tr>
        <w:trPr/>
        <w:tc>
          <w:tcPr>
            <w:tcW w:w="95" w:type="dxa"/>
            <w:tcBorders/>
            <w:vAlign w:val="center"/>
          </w:tcPr>
          <w:p>
            <w:pPr>
              <w:pStyle w:val="TableContents"/>
              <w:bidi w:val="0"/>
              <w:spacing w:before="0" w:after="283"/>
              <w:jc w:val="left"/>
              <w:rPr>
                <w:sz w:val="20"/>
              </w:rPr>
            </w:pPr>
            <w:r>
              <w:rPr>
                <w:sz w:val="20"/>
              </w:rPr>
              <w:t>-</w:t>
            </w:r>
          </w:p>
        </w:tc>
        <w:tc>
          <w:tcPr>
            <w:tcW w:w="4910" w:type="dxa"/>
            <w:tcBorders/>
            <w:vAlign w:val="center"/>
          </w:tcPr>
          <w:p>
            <w:pPr>
              <w:pStyle w:val="TableContents"/>
              <w:bidi w:val="0"/>
              <w:spacing w:before="0" w:after="0"/>
              <w:jc w:val="left"/>
              <w:rPr>
                <w:sz w:val="20"/>
              </w:rPr>
            </w:pPr>
            <w:r>
              <w:rPr>
                <w:sz w:val="20"/>
              </w:rPr>
              <w:t>General Criteria: Principles Of Credit Ratings, Feb. 16, 2011</w:t>
            </w:r>
          </w:p>
        </w:tc>
      </w:tr>
    </w:tbl>
    <w:p>
      <w:pPr>
        <w:pStyle w:val="TextBody"/>
        <w:bidi w:val="0"/>
        <w:spacing w:before="0" w:after="0"/>
        <w:ind w:left="334" w:right="0" w:hanging="226"/>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5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Related Research</w:t>
      </w:r>
    </w:p>
    <w:p>
      <w:pPr>
        <w:pStyle w:val="Normal"/>
        <w:bidi w:val="0"/>
        <w:spacing w:before="0" w:after="0"/>
        <w:jc w:val="left"/>
        <w:rPr>
          <w:sz w:val="4"/>
          <w:szCs w:val="4"/>
        </w:rPr>
      </w:pPr>
      <w:r>
        <w:rPr>
          <w:sz w:val="4"/>
          <w:szCs w:val="4"/>
        </w:rPr>
      </w:r>
      <w:bookmarkStart w:id="42" w:name="zfcf68f51ef90453fa609a3ce29085414"/>
      <w:bookmarkStart w:id="43" w:name="zfcf68f51ef90453fa609a3ce29085414"/>
      <w:bookmarkEnd w:id="43"/>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sz w:val="20"/>
              </w:rPr>
            </w:pPr>
            <w:r>
              <w:rPr>
                <w:sz w:val="20"/>
              </w:rPr>
              <w:t>-</w:t>
            </w:r>
          </w:p>
        </w:tc>
        <w:tc>
          <w:tcPr>
            <w:tcW w:w="10110" w:type="dxa"/>
            <w:tcBorders/>
            <w:vAlign w:val="center"/>
          </w:tcPr>
          <w:p>
            <w:pPr>
              <w:pStyle w:val="TableContents"/>
              <w:bidi w:val="0"/>
              <w:spacing w:before="0" w:after="0"/>
              <w:jc w:val="left"/>
              <w:rPr>
                <w:sz w:val="20"/>
              </w:rPr>
            </w:pPr>
            <w:r>
              <w:rPr>
                <w:sz w:val="20"/>
              </w:rPr>
              <w:t>Peru Long-Term Foreign Currency Rating Lowered To 'BBB-' On Political Uncertainty Constraining Growth; Outlook Stable, April 25, 2024</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Ratings List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4" w:name="zf25bae979c9748f48ee46cbafa2aab75"/>
      <w:bookmarkStart w:id="45" w:name="zf25bae979c9748f48ee46cbafa2aab75"/>
      <w:bookmarkEnd w:id="45"/>
    </w:p>
    <w:tbl>
      <w:tblPr>
        <w:tblW w:w="7110" w:type="dxa"/>
        <w:jc w:val="left"/>
        <w:tblInd w:w="0" w:type="dxa"/>
        <w:tblLayout w:type="fixed"/>
        <w:tblCellMar>
          <w:top w:w="0" w:type="dxa"/>
          <w:left w:w="0" w:type="dxa"/>
          <w:bottom w:w="28" w:type="dxa"/>
          <w:right w:w="0" w:type="dxa"/>
        </w:tblCellMar>
      </w:tblPr>
      <w:tblGrid>
        <w:gridCol w:w="4055"/>
        <w:gridCol w:w="1415"/>
        <w:gridCol w:w="1640"/>
      </w:tblGrid>
      <w:tr>
        <w:trPr/>
        <w:tc>
          <w:tcPr>
            <w:tcW w:w="4055" w:type="dxa"/>
            <w:tcBorders>
              <w:bottom w:val="single" w:sz="12" w:space="0" w:color="000000"/>
            </w:tcBorders>
            <w:vAlign w:val="center"/>
          </w:tcPr>
          <w:p>
            <w:pPr>
              <w:pStyle w:val="TableContents"/>
              <w:bidi w:val="0"/>
              <w:spacing w:before="0" w:after="0"/>
              <w:jc w:val="left"/>
              <w:rPr>
                <w:b/>
                <w:sz w:val="20"/>
              </w:rPr>
            </w:pPr>
            <w:r>
              <w:rPr>
                <w:b/>
                <w:sz w:val="20"/>
              </w:rPr>
              <w:t>Downgraded; CreditWatch/Outlook Action</w:t>
            </w:r>
          </w:p>
        </w:tc>
        <w:tc>
          <w:tcPr>
            <w:tcW w:w="3055" w:type="dxa"/>
            <w:gridSpan w:val="2"/>
            <w:tcBorders>
              <w:bottom w:val="single" w:sz="12" w:space="0" w:color="000000"/>
            </w:tcBorders>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Banco BBVA Peru</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Issuer Credit Rating</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BBB-/Stable/A-3</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BBB/Negative/A-2</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Subordinated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Scotiabank Peru S.A.A.</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Issuer Credit Rating</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BBB-/Stable/A-3</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BBB/Negative/A-2</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Banco de Credito del Peru</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Issuer Credit Rating</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BBB-/Stable/A-3</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BBB/Negative/A-2</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Senior Unsecured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Subordinated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Banco de Credito del Peru, Panama Branch</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Subordinated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MiBanco Banco de La Microempresa S.A.</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Issuer Credit Rating</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BBB-/Stable/A-3</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BBB/Negative/A-2</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Credicorp Ltd.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Issuer Credit Rating</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BBB-/Stable/--</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BBB/Negative/--</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Senior Unsecured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To</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From</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jc w:val="left"/>
              <w:rPr>
                <w:b/>
                <w:sz w:val="20"/>
              </w:rPr>
            </w:pPr>
            <w:r>
              <w:rPr>
                <w:b/>
                <w:sz w:val="20"/>
              </w:rPr>
              <w:t>Intercorp Financial Services Inc.</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Issuer Credit Rating</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BB+/Stable/B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BBB-/Negative/A-3</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Senior Unsecured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0"/>
              <w:jc w:val="left"/>
              <w:rPr>
                <w:sz w:val="20"/>
              </w:rPr>
            </w:pPr>
            <w:r>
              <w:rPr>
                <w:sz w:val="20"/>
              </w:rPr>
              <w:t>BBB-</w:t>
            </w:r>
          </w:p>
        </w:tc>
      </w:tr>
      <w:tr>
        <w:trPr/>
        <w:tc>
          <w:tcPr>
            <w:tcW w:w="4055" w:type="dxa"/>
            <w:tcBorders>
              <w:top w:val="single" w:sz="12" w:space="0" w:color="000000"/>
            </w:tcBorders>
            <w:tcMar>
              <w:top w:w="28" w:type="dxa"/>
              <w:bottom w:w="0" w:type="dxa"/>
            </w:tcMar>
            <w:vAlign w:val="center"/>
          </w:tcPr>
          <w:p>
            <w:pPr>
              <w:pStyle w:val="TableContents"/>
              <w:bidi w:val="0"/>
              <w:spacing w:before="0" w:after="283"/>
              <w:jc w:val="left"/>
              <w:rPr/>
            </w:pPr>
            <w:r>
              <w:rPr/>
            </w:r>
          </w:p>
        </w:tc>
        <w:tc>
          <w:tcPr>
            <w:tcW w:w="141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640" w:type="dxa"/>
            <w:tcBorders>
              <w:top w:val="single" w:sz="12" w:space="0" w:color="000000"/>
            </w:tcBorders>
            <w:tcMar>
              <w:top w:w="28" w:type="dxa"/>
              <w:bottom w:w="0" w:type="dxa"/>
            </w:tcMar>
            <w:vAlign w:val="center"/>
          </w:tcPr>
          <w:p>
            <w:pPr>
              <w:pStyle w:val="TableContents"/>
              <w:bidi w:val="0"/>
              <w:spacing w:before="0" w:after="283"/>
              <w:jc w:val="left"/>
              <w:rPr/>
            </w:pPr>
            <w:r>
              <w:rPr/>
              <w:t> </w:t>
            </w:r>
          </w:p>
        </w:tc>
      </w:tr>
      <w:tr>
        <w:trPr/>
        <w:tc>
          <w:tcPr>
            <w:tcW w:w="4055" w:type="dxa"/>
            <w:tcBorders/>
            <w:tcMar>
              <w:bottom w:w="0" w:type="dxa"/>
            </w:tcMar>
            <w:vAlign w:val="center"/>
          </w:tcPr>
          <w:p>
            <w:pPr>
              <w:pStyle w:val="TableContents"/>
              <w:bidi w:val="0"/>
              <w:spacing w:before="96" w:after="283"/>
              <w:jc w:val="left"/>
              <w:rPr>
                <w:b/>
                <w:sz w:val="20"/>
              </w:rPr>
            </w:pPr>
            <w:r>
              <w:rPr>
                <w:b/>
                <w:sz w:val="20"/>
              </w:rPr>
              <w:t>Ratings Affirmed</w:t>
            </w:r>
          </w:p>
        </w:tc>
        <w:tc>
          <w:tcPr>
            <w:tcW w:w="141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4055" w:type="dxa"/>
            <w:tcBorders/>
            <w:tcMar>
              <w:bottom w:w="0" w:type="dxa"/>
            </w:tcMar>
            <w:vAlign w:val="center"/>
          </w:tcPr>
          <w:p>
            <w:pPr>
              <w:pStyle w:val="TableContents"/>
              <w:bidi w:val="0"/>
              <w:spacing w:before="75" w:after="283"/>
              <w:jc w:val="left"/>
              <w:rPr>
                <w:b/>
                <w:sz w:val="20"/>
              </w:rPr>
            </w:pPr>
            <w:r>
              <w:rPr>
                <w:b/>
                <w:sz w:val="20"/>
              </w:rPr>
              <w:t>Banco Internacional del Peru S.A.A. - Interbank</w:t>
            </w:r>
          </w:p>
        </w:tc>
        <w:tc>
          <w:tcPr>
            <w:tcW w:w="141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4055" w:type="dxa"/>
            <w:tcBorders>
              <w:bottom w:val="single" w:sz="12" w:space="0" w:color="000000"/>
            </w:tcBorders>
            <w:vAlign w:val="center"/>
          </w:tcPr>
          <w:p>
            <w:pPr>
              <w:pStyle w:val="TableContents"/>
              <w:bidi w:val="0"/>
              <w:spacing w:before="0" w:after="0"/>
              <w:ind w:left="180" w:right="0" w:hanging="0"/>
              <w:jc w:val="left"/>
              <w:rPr>
                <w:sz w:val="20"/>
              </w:rPr>
            </w:pPr>
            <w:r>
              <w:rPr>
                <w:sz w:val="20"/>
              </w:rPr>
              <w:t>Issuer Credit Rating</w:t>
            </w:r>
          </w:p>
        </w:tc>
        <w:tc>
          <w:tcPr>
            <w:tcW w:w="1415" w:type="dxa"/>
            <w:tcBorders>
              <w:bottom w:val="single" w:sz="12" w:space="0" w:color="000000"/>
            </w:tcBorders>
            <w:vAlign w:val="center"/>
          </w:tcPr>
          <w:p>
            <w:pPr>
              <w:pStyle w:val="TableContents"/>
              <w:bidi w:val="0"/>
              <w:spacing w:before="0" w:after="283"/>
              <w:jc w:val="left"/>
              <w:rPr>
                <w:sz w:val="20"/>
              </w:rPr>
            </w:pPr>
            <w:r>
              <w:rPr>
                <w:sz w:val="20"/>
              </w:rPr>
              <w:t>BBB-/Stable/--</w:t>
            </w:r>
          </w:p>
        </w:tc>
        <w:tc>
          <w:tcPr>
            <w:tcW w:w="1640" w:type="dxa"/>
            <w:tcBorders>
              <w:bottom w:val="single" w:sz="12" w:space="0" w:color="000000"/>
            </w:tcBorders>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sz w:val="20"/>
              </w:rPr>
            </w:pPr>
            <w:r>
              <w:rPr>
                <w:sz w:val="20"/>
              </w:rPr>
              <w:t>Senior Unsecured</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sz w:val="20"/>
              </w:rPr>
            </w:pPr>
            <w:r>
              <w:rPr>
                <w:sz w:val="20"/>
              </w:rPr>
              <w:t>BBB-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r>
        <w:trPr/>
        <w:tc>
          <w:tcPr>
            <w:tcW w:w="4055" w:type="dxa"/>
            <w:tcBorders>
              <w:top w:val="single" w:sz="12" w:space="0" w:color="000000"/>
              <w:bottom w:val="single" w:sz="12" w:space="0" w:color="000000"/>
            </w:tcBorders>
            <w:tcMar>
              <w:top w:w="28" w:type="dxa"/>
            </w:tcMar>
            <w:vAlign w:val="center"/>
          </w:tcPr>
          <w:p>
            <w:pPr>
              <w:pStyle w:val="TableContents"/>
              <w:bidi w:val="0"/>
              <w:spacing w:before="0" w:after="0"/>
              <w:ind w:left="180" w:right="0" w:hanging="0"/>
              <w:jc w:val="left"/>
              <w:rPr/>
            </w:pPr>
            <w:r>
              <w:rPr>
                <w:sz w:val="20"/>
              </w:rPr>
              <w:t>Subordinated</w:t>
            </w:r>
            <w:r>
              <w:rPr/>
              <w:t xml:space="preserve"> </w:t>
            </w:r>
          </w:p>
        </w:tc>
        <w:tc>
          <w:tcPr>
            <w:tcW w:w="1415" w:type="dxa"/>
            <w:tcBorders>
              <w:top w:val="single" w:sz="12" w:space="0" w:color="000000"/>
              <w:bottom w:val="single" w:sz="12" w:space="0" w:color="000000"/>
            </w:tcBorders>
            <w:tcMar>
              <w:top w:w="28" w:type="dxa"/>
            </w:tcMar>
            <w:vAlign w:val="center"/>
          </w:tcPr>
          <w:p>
            <w:pPr>
              <w:pStyle w:val="TableContents"/>
              <w:bidi w:val="0"/>
              <w:spacing w:before="0" w:after="283"/>
              <w:jc w:val="left"/>
              <w:rPr>
                <w:sz w:val="20"/>
              </w:rPr>
            </w:pPr>
            <w:r>
              <w:rPr>
                <w:sz w:val="20"/>
              </w:rPr>
              <w:t>BB+</w:t>
            </w:r>
          </w:p>
        </w:tc>
        <w:tc>
          <w:tcPr>
            <w:tcW w:w="1640" w:type="dxa"/>
            <w:tcBorders>
              <w:top w:val="single" w:sz="12" w:space="0" w:color="000000"/>
              <w:bottom w:val="single" w:sz="12" w:space="0" w:color="000000"/>
            </w:tcBorders>
            <w:tcMar>
              <w:top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6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46" w:name="za9d3cd3770384360a33c0a95ecc81105"/>
      <w:bookmarkStart w:id="47" w:name="za9d3cd3770384360a33c0a95ecc81105"/>
      <w:bookmarkEnd w:id="47"/>
    </w:p>
    <w:tbl>
      <w:tblPr>
        <w:tblW w:w="5140" w:type="dxa"/>
        <w:jc w:val="left"/>
        <w:tblInd w:w="0" w:type="dxa"/>
        <w:tblLayout w:type="fixed"/>
        <w:tblCellMar>
          <w:top w:w="0" w:type="dxa"/>
          <w:left w:w="0" w:type="dxa"/>
          <w:bottom w:w="28" w:type="dxa"/>
          <w:right w:w="0" w:type="dxa"/>
        </w:tblCellMar>
      </w:tblPr>
      <w:tblGrid>
        <w:gridCol w:w="3665"/>
        <w:gridCol w:w="1415"/>
        <w:gridCol w:w="60"/>
      </w:tblGrid>
      <w:tr>
        <w:trPr/>
        <w:tc>
          <w:tcPr>
            <w:tcW w:w="3665" w:type="dxa"/>
            <w:tcBorders>
              <w:bottom w:val="single" w:sz="12" w:space="0" w:color="000000"/>
            </w:tcBorders>
            <w:vAlign w:val="center"/>
          </w:tcPr>
          <w:p>
            <w:pPr>
              <w:pStyle w:val="TableContents"/>
              <w:bidi w:val="0"/>
              <w:spacing w:before="0" w:after="0"/>
              <w:jc w:val="left"/>
              <w:rPr>
                <w:b/>
                <w:sz w:val="20"/>
              </w:rPr>
            </w:pPr>
            <w:r>
              <w:rPr>
                <w:b/>
                <w:sz w:val="20"/>
              </w:rPr>
              <w:t>Ratings Affirmed</w:t>
            </w:r>
          </w:p>
        </w:tc>
        <w:tc>
          <w:tcPr>
            <w:tcW w:w="141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0"/>
              <w:jc w:val="left"/>
              <w:rPr/>
            </w:pPr>
            <w:r>
              <w:rPr/>
              <w:t> </w:t>
            </w:r>
          </w:p>
        </w:tc>
      </w:tr>
      <w:tr>
        <w:trPr/>
        <w:tc>
          <w:tcPr>
            <w:tcW w:w="3665" w:type="dxa"/>
            <w:tcBorders>
              <w:bottom w:val="single" w:sz="12" w:space="0" w:color="000000"/>
            </w:tcBorders>
            <w:vAlign w:val="center"/>
          </w:tcPr>
          <w:p>
            <w:pPr>
              <w:pStyle w:val="TableContents"/>
              <w:bidi w:val="0"/>
              <w:spacing w:before="75" w:after="283"/>
              <w:jc w:val="left"/>
              <w:rPr>
                <w:b/>
                <w:sz w:val="20"/>
              </w:rPr>
            </w:pPr>
            <w:r>
              <w:rPr>
                <w:b/>
                <w:sz w:val="20"/>
              </w:rPr>
              <w:t>Corporacion Financiera de Desarrollo S.A.</w:t>
            </w:r>
          </w:p>
        </w:tc>
        <w:tc>
          <w:tcPr>
            <w:tcW w:w="141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0"/>
              <w:jc w:val="left"/>
              <w:rPr/>
            </w:pPr>
            <w:r>
              <w:rPr/>
              <w:t> </w:t>
            </w:r>
          </w:p>
        </w:tc>
      </w:tr>
      <w:tr>
        <w:trPr/>
        <w:tc>
          <w:tcPr>
            <w:tcW w:w="3665" w:type="dxa"/>
            <w:tcBorders/>
            <w:tcMar>
              <w:bottom w:w="0" w:type="dxa"/>
            </w:tcMar>
            <w:vAlign w:val="center"/>
          </w:tcPr>
          <w:p>
            <w:pPr>
              <w:pStyle w:val="TableContents"/>
              <w:bidi w:val="0"/>
              <w:spacing w:before="0" w:after="283"/>
              <w:jc w:val="left"/>
              <w:rPr>
                <w:sz w:val="20"/>
              </w:rPr>
            </w:pPr>
            <w:r>
              <w:rPr>
                <w:sz w:val="20"/>
              </w:rPr>
              <w:t>Issuer Credit Rating</w:t>
            </w:r>
          </w:p>
        </w:tc>
        <w:tc>
          <w:tcPr>
            <w:tcW w:w="1415" w:type="dxa"/>
            <w:tcBorders/>
            <w:tcMar>
              <w:bottom w:w="0" w:type="dxa"/>
            </w:tcMar>
            <w:vAlign w:val="center"/>
          </w:tcPr>
          <w:p>
            <w:pPr>
              <w:pStyle w:val="TableContents"/>
              <w:bidi w:val="0"/>
              <w:spacing w:before="0" w:after="283"/>
              <w:jc w:val="left"/>
              <w:rPr>
                <w:sz w:val="20"/>
              </w:rPr>
            </w:pPr>
            <w:r>
              <w:rPr>
                <w:sz w:val="20"/>
              </w:rPr>
              <w:t>BBB-/Stable/A-3</w:t>
            </w:r>
          </w:p>
        </w:tc>
        <w:tc>
          <w:tcPr>
            <w:tcW w:w="60" w:type="dxa"/>
            <w:tcBorders/>
            <w:tcMar>
              <w:bottom w:w="0" w:type="dxa"/>
            </w:tcMar>
            <w:vAlign w:val="center"/>
          </w:tcPr>
          <w:p>
            <w:pPr>
              <w:pStyle w:val="TableContents"/>
              <w:bidi w:val="0"/>
              <w:spacing w:before="0" w:after="283"/>
              <w:jc w:val="left"/>
              <w:rPr/>
            </w:pPr>
            <w:r>
              <w:rPr/>
              <w:t> </w:t>
            </w:r>
          </w:p>
        </w:tc>
      </w:tr>
      <w:tr>
        <w:trPr/>
        <w:tc>
          <w:tcPr>
            <w:tcW w:w="3665" w:type="dxa"/>
            <w:tcBorders>
              <w:bottom w:val="single" w:sz="12" w:space="0" w:color="000000"/>
            </w:tcBorders>
            <w:vAlign w:val="center"/>
          </w:tcPr>
          <w:p>
            <w:pPr>
              <w:pStyle w:val="TableContents"/>
              <w:bidi w:val="0"/>
              <w:spacing w:before="0" w:after="0"/>
              <w:ind w:left="180" w:right="0" w:hanging="0"/>
              <w:jc w:val="left"/>
              <w:rPr>
                <w:sz w:val="20"/>
              </w:rPr>
            </w:pPr>
            <w:r>
              <w:rPr>
                <w:sz w:val="20"/>
              </w:rPr>
              <w:t>Senior Unsecured</w:t>
            </w:r>
          </w:p>
        </w:tc>
        <w:tc>
          <w:tcPr>
            <w:tcW w:w="1415" w:type="dxa"/>
            <w:tcBorders>
              <w:bottom w:val="single" w:sz="12" w:space="0" w:color="000000"/>
            </w:tcBorders>
            <w:vAlign w:val="center"/>
          </w:tcPr>
          <w:p>
            <w:pPr>
              <w:pStyle w:val="TableContents"/>
              <w:bidi w:val="0"/>
              <w:spacing w:before="0" w:after="283"/>
              <w:jc w:val="left"/>
              <w:rPr>
                <w:sz w:val="20"/>
              </w:rPr>
            </w:pPr>
            <w:r>
              <w:rPr>
                <w:sz w:val="20"/>
              </w:rPr>
              <w:t>BBB-</w:t>
            </w:r>
          </w:p>
        </w:tc>
        <w:tc>
          <w:tcPr>
            <w:tcW w:w="60" w:type="dxa"/>
            <w:tcBorders>
              <w:bottom w:val="single" w:sz="12" w:space="0" w:color="000000"/>
            </w:tcBorders>
            <w:vAlign w:val="center"/>
          </w:tcPr>
          <w:p>
            <w:pPr>
              <w:pStyle w:val="TableContents"/>
              <w:bidi w:val="0"/>
              <w:spacing w:before="0" w:after="283"/>
              <w:jc w:val="left"/>
              <w:rPr/>
            </w:pPr>
            <w:r>
              <w:rPr/>
              <w:t> </w:t>
            </w:r>
          </w:p>
        </w:tc>
      </w:tr>
      <w:tr>
        <w:trPr/>
        <w:tc>
          <w:tcPr>
            <w:tcW w:w="3665" w:type="dxa"/>
            <w:tcBorders>
              <w:bottom w:val="single" w:sz="12" w:space="0" w:color="000000"/>
            </w:tcBorders>
            <w:vAlign w:val="center"/>
          </w:tcPr>
          <w:p>
            <w:pPr>
              <w:pStyle w:val="TableContents"/>
              <w:bidi w:val="0"/>
              <w:spacing w:before="0" w:after="0"/>
              <w:ind w:left="180" w:right="0" w:hanging="0"/>
              <w:jc w:val="left"/>
              <w:rPr>
                <w:sz w:val="20"/>
              </w:rPr>
            </w:pPr>
            <w:r>
              <w:rPr>
                <w:sz w:val="20"/>
              </w:rPr>
              <w:t>Subordinated</w:t>
            </w:r>
          </w:p>
        </w:tc>
        <w:tc>
          <w:tcPr>
            <w:tcW w:w="1415" w:type="dxa"/>
            <w:tcBorders>
              <w:bottom w:val="single" w:sz="12" w:space="0" w:color="000000"/>
            </w:tcBorders>
            <w:vAlign w:val="center"/>
          </w:tcPr>
          <w:p>
            <w:pPr>
              <w:pStyle w:val="TableContents"/>
              <w:bidi w:val="0"/>
              <w:spacing w:before="0" w:after="0"/>
              <w:jc w:val="left"/>
              <w:rPr>
                <w:sz w:val="20"/>
              </w:rPr>
            </w:pPr>
            <w:r>
              <w:rPr>
                <w:sz w:val="20"/>
              </w:rPr>
              <w:t>BB+</w:t>
            </w:r>
          </w:p>
        </w:tc>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bookmarkStart w:id="48" w:name="z017a3dcd710440b4a4d42c81f9004bbd"/>
      <w:bookmarkStart w:id="49" w:name="z017a3dcd710440b4a4d42c81f9004bbd"/>
      <w:bookmarkEnd w:id="49"/>
    </w:p>
    <w:tbl>
      <w:tblPr>
        <w:tblW w:w="10205" w:type="dxa"/>
        <w:jc w:val="left"/>
        <w:tblInd w:w="0" w:type="dxa"/>
        <w:tblLayout w:type="fixed"/>
        <w:tblCellMar>
          <w:top w:w="0" w:type="dxa"/>
          <w:left w:w="0" w:type="dxa"/>
          <w:bottom w:w="0" w:type="dxa"/>
          <w:right w:w="0" w:type="dxa"/>
        </w:tblCellMar>
      </w:tblPr>
      <w:tblGrid>
        <w:gridCol w:w="60"/>
        <w:gridCol w:w="10085"/>
        <w:gridCol w:w="60"/>
      </w:tblGrid>
      <w:tr>
        <w:trPr/>
        <w:tc>
          <w:tcPr>
            <w:tcW w:w="60" w:type="dxa"/>
            <w:tcBorders/>
            <w:shd w:fill="F1F1F1" w:val="clear"/>
            <w:vAlign w:val="center"/>
          </w:tcPr>
          <w:p>
            <w:pPr>
              <w:pStyle w:val="TableContents"/>
              <w:bidi w:val="0"/>
              <w:spacing w:before="0" w:after="283"/>
              <w:jc w:val="left"/>
              <w:rPr/>
            </w:pPr>
            <w:r>
              <w:rPr/>
              <w:t> </w:t>
            </w:r>
          </w:p>
        </w:tc>
        <w:tc>
          <w:tcPr>
            <w:tcW w:w="10085" w:type="dxa"/>
            <w:tcBorders/>
            <w:shd w:fill="F1F1F1" w:val="clear"/>
            <w:vAlign w:val="center"/>
          </w:tcPr>
          <w:p>
            <w:pPr>
              <w:pStyle w:val="TableContents"/>
              <w:bidi w:val="0"/>
              <w:spacing w:before="0" w:after="0"/>
              <w:jc w:val="left"/>
              <w:rPr>
                <w:color w:val="000000"/>
                <w:sz w:val="20"/>
              </w:rPr>
            </w:pPr>
            <w:r>
              <w:rPr>
                <w:color w:val="000000"/>
                <w:sz w:val="20"/>
              </w:rPr>
              <w:t>Certain terms used in this report, particularly certain adjectives used to express our view on rating relevant factors, have specific meanings ascribed to them in our criteria, and should therefore be read in conjunction with such criteria. Please see Ratings Criteria at www.spglobal.com/ratings for further information. Complete ratings information is available to RatingsDirect subscribers at www.capitaliq.com. All ratings affected by this rating action can be found on S&amp;P Global Ratings' public website at www.spglobal.com/ratings.</w:t>
            </w:r>
          </w:p>
        </w:tc>
        <w:tc>
          <w:tcPr>
            <w:tcW w:w="60" w:type="dxa"/>
            <w:tcBorders/>
            <w:shd w:fill="F1F1F1" w:val="clear"/>
            <w:vAlign w:val="center"/>
          </w:tcPr>
          <w:p>
            <w:pPr>
              <w:pStyle w:val="TableContents"/>
              <w:bidi w:val="0"/>
              <w:spacing w:before="0" w:after="283"/>
              <w:jc w:val="left"/>
              <w:rPr/>
            </w:pPr>
            <w:r>
              <w:rPr/>
              <w:t> </w:t>
            </w:r>
          </w:p>
        </w:tc>
      </w:tr>
    </w:tbl>
    <w:p>
      <w:pPr>
        <w:pStyle w:val="TextBody"/>
        <w:bidi w:val="0"/>
        <w:spacing w:before="3" w:after="283"/>
        <w:jc w:val="left"/>
        <w:rPr>
          <w:sz w:val="20"/>
        </w:rPr>
      </w:pPr>
      <w:r>
        <w:rPr>
          <w:sz w:val="20"/>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7  </w:t>
            </w:r>
          </w:p>
        </w:tc>
      </w:tr>
    </w:tbl>
    <w:p>
      <w:pPr>
        <w:pStyle w:val="TextBody"/>
        <w:bidi w:val="0"/>
        <w:spacing w:before="23" w:after="283"/>
        <w:ind w:left="20" w:right="0" w:hanging="0"/>
        <w:jc w:val="left"/>
        <w:rPr>
          <w:color w:val="000000"/>
        </w:rPr>
      </w:pPr>
      <w:r>
        <w:rPr>
          <w:color w:val="000000"/>
        </w:rPr>
        <w:t xml:space="preserve">                                                                                                                   </w:t>
      </w:r>
    </w:p>
    <w:p>
      <w:pPr>
        <w:pStyle w:val="HorizontalLine"/>
        <w:pBdr>
          <w:bottom w:val="single" w:sz="12" w:space="0" w:color="808080"/>
        </w:pBdr>
        <w:bidi w:val="0"/>
        <w:spacing w:before="180" w:after="180"/>
        <w:jc w:val="left"/>
        <w:rPr/>
      </w:pPr>
      <w:r>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Copyright © 2024 by Standard &amp; Poor’s Financial Services LLC. All rights reserved.</w:t>
      </w:r>
    </w:p>
    <w:p>
      <w:pPr>
        <w:pStyle w:val="TextBody"/>
        <w:bidi w:val="0"/>
        <w:spacing w:before="61" w:after="283"/>
        <w:jc w:val="left"/>
        <w:rPr>
          <w:sz w:val="20"/>
        </w:rPr>
      </w:pPr>
      <w:r>
        <w:rPr>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No content (including ratings, credit-related analyses and data, valuations, model, software or other application or output therefrom) or any part thereof (Content) may be modified, reverse engineered, reproduced or distributed in any form by any means, or stored in a database or retrieval system, without the prior written permission of Standard &amp; Poor’s Financial Services LLC or its affiliates (collectively, S&amp;P). The Content shall not be used for any unlawful or unauthorized purposes. S&amp;P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 S&amp;P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event shall S&amp;P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Credit-related and other analyses, including ratings, and statements in the Content are statements of opinion as of the date they are expressed and not statements of fact. S&amp;P’s opinions, analyses and rating acknowledgment decisions (described below)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does not act as a fiduciary or an investment advisor except where registered as such. While S&amp;P has obtained information from sources it believes to be reliable, S&amp;P does not perform an audit and undertakes no duty of due diligence or independent verification of any information it receives. Rating-related publications may be published for a variety of reasons that are not necessarily dependent on action by rating committees, including, but not limited to, the publication of a periodic update on a credit rating and related analyses.</w:t>
      </w:r>
    </w:p>
    <w:p>
      <w:pPr>
        <w:pStyle w:val="TextBody"/>
        <w:bidi w:val="0"/>
        <w:spacing w:before="0" w:after="0"/>
        <w:jc w:val="left"/>
        <w:rPr>
          <w:sz w:val="20"/>
        </w:rPr>
      </w:pPr>
      <w:r>
        <w:rPr>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To the extent that regulatory authorities allow a rating agency to acknowledge in one jurisdiction a rating issued in another jurisdiction for certain regulatory purposes, S&amp;P reserves the right to assign, withdraw or suspend such acknowledgment at any time and in its sole discretion. S&amp;P Parties disclaim any duty whatsoever arising out of the assignment, withdrawal or suspension of an acknowledgment as well as any liability for any damage alleged to have been suffered on account thereof.</w:t>
      </w:r>
    </w:p>
    <w:p>
      <w:pPr>
        <w:pStyle w:val="TextBody"/>
        <w:bidi w:val="0"/>
        <w:spacing w:before="107" w:after="283"/>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S&amp;P keeps certain activities of its business units separate from each other in order to preserve the independence and objectivity of their respective activities. As a result, certain business units of S&amp;P may have information that is not available to other S&amp;P business units. S&amp;P has established policies and procedures to maintain the confidentiality of certain non-public information received in connection with each analytical process.</w:t>
      </w:r>
    </w:p>
    <w:p>
      <w:pPr>
        <w:pStyle w:val="TextBody"/>
        <w:bidi w:val="0"/>
        <w:spacing w:before="89"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S&amp;P may receive compensation for its ratings and certain analyses, normally from issuers or underwriters of securities or from obligors. S&amp;P reserves the right to disseminate its opinions and analyses. S&amp;P's public ratings and analyses are made available on its Web sites, www.spglobal.com/ratings (free of charge), and www.ratingsdirect.com (subscription), and may be distributed through other means, including via S&amp;P publications and third-party redistributors.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Additional information about our ratings fees is available at www.spglobal.com/usratingsfees.</w:t>
      </w:r>
    </w:p>
    <w:p>
      <w:pPr>
        <w:pStyle w:val="TextBody"/>
        <w:bidi w:val="0"/>
        <w:spacing w:before="122"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&amp; POOR’S, S&amp;P and RATINGSDIRECT are registered trademarks of Standard &amp; Poor’s Financial Services LLC.</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br/>
      </w:r>
      <w:r>
        <w:rPr>
          <w:rFonts w:ascii="Times New Roman" w:hAnsi="Times New Roman"/>
          <w:b/>
          <w:color w:val="000000"/>
          <w:sz w:val="16"/>
        </w:rPr>
        <w:t xml:space="preserve">April 26, 2024 </w:t>
      </w:r>
    </w:p>
    <w:p>
      <w:pPr>
        <w:pStyle w:val="HorizontalLine"/>
        <w:pBdr>
          <w:bottom w:val="single" w:sz="12" w:space="0" w:color="808080"/>
        </w:pBdr>
        <w:bidi w:val="0"/>
        <w:jc w:val="left"/>
        <w:rPr/>
      </w:pPr>
      <w:r>
        <w:rPr/>
      </w:r>
    </w:p>
    <w:tbl>
      <w:tblPr>
        <w:tblW w:w="3655" w:type="dxa"/>
        <w:jc w:val="left"/>
        <w:tblInd w:w="0" w:type="dxa"/>
        <w:tblLayout w:type="fixed"/>
        <w:tblCellMar>
          <w:top w:w="0" w:type="dxa"/>
          <w:left w:w="0" w:type="dxa"/>
          <w:bottom w:w="0" w:type="dxa"/>
          <w:right w:w="0" w:type="dxa"/>
        </w:tblCellMar>
      </w:tblPr>
      <w:tblGrid>
        <w:gridCol w:w="2375"/>
        <w:gridCol w:w="1280"/>
      </w:tblGrid>
      <w:tr>
        <w:trPr/>
        <w:tc>
          <w:tcPr>
            <w:tcW w:w="2375" w:type="dxa"/>
            <w:tcBorders/>
            <w:vAlign w:val="center"/>
          </w:tcPr>
          <w:p>
            <w:pPr>
              <w:pStyle w:val="TableContents"/>
              <w:bidi w:val="0"/>
              <w:spacing w:before="0" w:after="0"/>
              <w:jc w:val="left"/>
              <w:rPr>
                <w:b/>
                <w:i w:val="false"/>
                <w:caps w:val="false"/>
                <w:smallCaps w:val="false"/>
                <w:color w:val="000000"/>
                <w:sz w:val="14"/>
              </w:rPr>
            </w:pPr>
            <w:r>
              <w:rPr>
                <w:b/>
                <w:i w:val="false"/>
                <w:caps w:val="false"/>
                <w:smallCaps w:val="false"/>
                <w:color w:val="000000"/>
                <w:sz w:val="14"/>
              </w:rPr>
              <w:t>https://www.spglobal.com/ratingsdirect</w:t>
            </w:r>
          </w:p>
        </w:tc>
        <w:tc>
          <w:tcPr>
            <w:tcW w:w="1280" w:type="dxa"/>
            <w:tcBorders/>
            <w:vAlign w:val="center"/>
          </w:tcPr>
          <w:p>
            <w:pPr>
              <w:pStyle w:val="TableContents"/>
              <w:bidi w:val="0"/>
              <w:spacing w:before="0" w:after="0"/>
              <w:jc w:val="right"/>
              <w:rPr>
                <w:caps w:val="false"/>
                <w:smallCaps w:val="false"/>
                <w:color w:val="000000"/>
              </w:rPr>
            </w:pPr>
            <w:r>
              <w:rPr>
                <w:caps w:val="false"/>
                <w:smallCaps w:val="false"/>
                <w:color w:val="000000"/>
              </w:rPr>
              <w:t> </w:t>
            </w:r>
            <w:r>
              <w:rPr>
                <w:b/>
                <w:i w:val="false"/>
                <w:caps w:val="false"/>
                <w:smallCaps w:val="false"/>
                <w:color w:val="000000"/>
                <w:sz w:val="14"/>
              </w:rPr>
              <w:t xml:space="preserve">April 26, 2024       8  </w:t>
            </w:r>
          </w:p>
        </w:tc>
      </w:tr>
    </w:tbl>
    <w:p>
      <w:pPr>
        <w:pStyle w:val="TextBody"/>
        <w:bidi w:val="0"/>
        <w:spacing w:before="23" w:after="283"/>
        <w:ind w:left="20" w:right="0" w:hanging="0"/>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3537</Words>
  <Characters>19795</Characters>
  <CharactersWithSpaces>24144</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