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November 2012</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 20-F x Form 40-F o</w:t>
      </w:r>
    </w:p>
    <w:p>
      <w:pPr>
        <w:spacing w:after="0" w:line="200" w:lineRule="exact"/>
        <w:rPr>
          <w:sz w:val="24"/>
          <w:szCs w:val="24"/>
          <w:color w:val="auto"/>
        </w:rPr>
      </w:pPr>
    </w:p>
    <w:p>
      <w:pPr>
        <w:spacing w:after="0" w:line="24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45"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26185" cy="3517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November 29</w:t>
      </w:r>
      <w:r>
        <w:rPr>
          <w:rFonts w:ascii="Arial" w:cs="Arial" w:eastAsia="Arial" w:hAnsi="Arial"/>
          <w:sz w:val="30"/>
          <w:szCs w:val="30"/>
          <w:color w:val="auto"/>
          <w:vertAlign w:val="superscript"/>
        </w:rPr>
        <w:t>th</w:t>
      </w:r>
      <w:r>
        <w:rPr>
          <w:rFonts w:ascii="Arial" w:cs="Arial" w:eastAsia="Arial" w:hAnsi="Arial"/>
          <w:sz w:val="18"/>
          <w:szCs w:val="18"/>
          <w:color w:val="auto"/>
        </w:rPr>
        <w:t>,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CONASEV Article 28° of the Consolidated Text of the Law on Securities Market, approved by Supreme Decree No. 093-2002-EF Resolution for Material Events, Reserved Information and Other Communications N° 107-2002-EF/94.10, as modified by CONASEV Resolution N° 009-2003-EF/94.10, Credicorp Ltd. complies with notifying you of the following Material Event:</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Credicorp’s Board of Directors decided, at its session held on November 28</w:t>
      </w:r>
      <w:r>
        <w:rPr>
          <w:rFonts w:ascii="Arial" w:cs="Arial" w:eastAsia="Arial" w:hAnsi="Arial"/>
          <w:sz w:val="30"/>
          <w:szCs w:val="30"/>
          <w:color w:val="auto"/>
          <w:vertAlign w:val="superscript"/>
        </w:rPr>
        <w:t>th</w:t>
      </w:r>
      <w:r>
        <w:rPr>
          <w:rFonts w:ascii="Arial" w:cs="Arial" w:eastAsia="Arial" w:hAnsi="Arial"/>
          <w:sz w:val="18"/>
          <w:szCs w:val="18"/>
          <w:color w:val="auto"/>
        </w:rPr>
        <w:t>, to strengthen Credicorp’s equity by increasing its Special Reserves by an amount of US$ 450,000,000 (four hundred and fifty million U.S dollars) while reducing its Voluntary Reserves in the same amount. The Board has also agreed not to reduce its Special Reserves without the Supervisor’s authorization.</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decisions aim to comply with the capital requirements (Resolution No. 11823-2010) defined by the Superintendency of Banking, Insurance and Pension Funds in Peru, country where Credicorp’s subsidiaries perform most of their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Mario Ferrari Quiñe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29, 2012</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2019-12-09T11:33:32Z</dcterms:created>
  <dcterms:modified xsi:type="dcterms:W3CDTF">2019-12-09T11:33:32Z</dcterms:modified>
</cp:coreProperties>
</file>