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July,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July 5, 2004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Lima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Ref.: First Issue of Corporate Bonds of 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accordance with the referenced issue, Credicorp Ltd. requests the extension, for nine additional months, of the period for the placement of the First Issue of Corporate Bonds of Credicorp Ltd., filed with the Public Capital Market Registry according to Resolution N°097-2003-EF/94.11, dated November 28, 2003.</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authorized period of nine months for the issuance, Credicorp Ltd. decided not to auction said bonds due to the fact that market conditions were not attractive in these months. Nevertheless, Credicorp Ltd. maintains its interest to obtain the resources that these securities offer in case the market improve. In this respect, and being close to the expiration of the placement period, we request an extension, in order to obtain more flexibility to evaluate the moment in which the mentioned issuance will be executed.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s// Walter Bayly</w:t>
            </w:r>
          </w:p>
        </w:tc>
        <w:tc>
          <w:tcPr>
            <w:tcW w:w="3440" w:type="dxa"/>
            <w:vAlign w:val="bottom"/>
          </w:tcPr>
          <w:p>
            <w:pPr>
              <w:spacing w:after="0"/>
              <w:rPr>
                <w:sz w:val="19"/>
                <w:szCs w:val="19"/>
                <w:color w:val="auto"/>
              </w:rPr>
            </w:pPr>
          </w:p>
        </w:tc>
        <w:tc>
          <w:tcPr>
            <w:tcW w:w="3960" w:type="dxa"/>
            <w:vAlign w:val="bottom"/>
          </w:tcPr>
          <w:p>
            <w:pPr>
              <w:jc w:val="right"/>
              <w:spacing w:after="0"/>
              <w:rPr>
                <w:sz w:val="20"/>
                <w:szCs w:val="20"/>
                <w:color w:val="auto"/>
              </w:rPr>
            </w:pPr>
            <w:r>
              <w:rPr>
                <w:rFonts w:ascii="Arial" w:cs="Arial" w:eastAsia="Arial" w:hAnsi="Arial"/>
                <w:sz w:val="18"/>
                <w:szCs w:val="18"/>
                <w:color w:val="auto"/>
              </w:rPr>
              <w:t>s// Mario Ferrari</w:t>
            </w:r>
          </w:p>
        </w:tc>
      </w:tr>
      <w:tr>
        <w:trPr>
          <w:trHeight w:val="137"/>
        </w:trPr>
        <w:tc>
          <w:tcPr>
            <w:tcW w:w="3960" w:type="dxa"/>
            <w:vAlign w:val="bottom"/>
            <w:tcBorders>
              <w:bottom w:val="single" w:sz="8" w:color="9A9A9A"/>
            </w:tcBorders>
          </w:tcPr>
          <w:p>
            <w:pPr>
              <w:spacing w:after="0"/>
              <w:rPr>
                <w:sz w:val="11"/>
                <w:szCs w:val="11"/>
                <w:color w:val="auto"/>
              </w:rPr>
            </w:pPr>
          </w:p>
        </w:tc>
        <w:tc>
          <w:tcPr>
            <w:tcW w:w="3440" w:type="dxa"/>
            <w:vAlign w:val="bottom"/>
          </w:tcPr>
          <w:p>
            <w:pPr>
              <w:spacing w:after="0"/>
              <w:rPr>
                <w:sz w:val="11"/>
                <w:szCs w:val="11"/>
                <w:color w:val="auto"/>
              </w:rPr>
            </w:pPr>
          </w:p>
        </w:tc>
        <w:tc>
          <w:tcPr>
            <w:tcW w:w="3960" w:type="dxa"/>
            <w:vAlign w:val="bottom"/>
            <w:tcBorders>
              <w:bottom w:val="single" w:sz="8" w:color="9A9A9A"/>
            </w:tcBorders>
          </w:tcPr>
          <w:p>
            <w:pPr>
              <w:spacing w:after="0"/>
              <w:rPr>
                <w:sz w:val="11"/>
                <w:szCs w:val="11"/>
                <w:color w:val="auto"/>
              </w:rPr>
            </w:pPr>
          </w:p>
        </w:tc>
      </w:tr>
      <w:tr>
        <w:trPr>
          <w:trHeight w:val="356"/>
        </w:trPr>
        <w:tc>
          <w:tcPr>
            <w:tcW w:w="3960" w:type="dxa"/>
            <w:vAlign w:val="bottom"/>
          </w:tcPr>
          <w:p>
            <w:pPr>
              <w:jc w:val="center"/>
              <w:spacing w:after="0"/>
              <w:rPr>
                <w:sz w:val="20"/>
                <w:szCs w:val="20"/>
                <w:color w:val="auto"/>
              </w:rPr>
            </w:pPr>
            <w:r>
              <w:rPr>
                <w:rFonts w:ascii="Arial" w:cs="Arial" w:eastAsia="Arial" w:hAnsi="Arial"/>
                <w:sz w:val="18"/>
                <w:szCs w:val="18"/>
                <w:color w:val="auto"/>
                <w:w w:val="91"/>
              </w:rPr>
              <w:t>Walter Bayly</w:t>
            </w:r>
          </w:p>
        </w:tc>
        <w:tc>
          <w:tcPr>
            <w:tcW w:w="344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18"/>
                <w:szCs w:val="18"/>
                <w:color w:val="auto"/>
              </w:rPr>
              <w:t>Mario Ferrari</w:t>
            </w:r>
          </w:p>
        </w:tc>
      </w:tr>
      <w:tr>
        <w:trPr>
          <w:trHeight w:val="243"/>
        </w:trPr>
        <w:tc>
          <w:tcPr>
            <w:tcW w:w="3960" w:type="dxa"/>
            <w:vAlign w:val="bottom"/>
          </w:tcPr>
          <w:p>
            <w:pPr>
              <w:jc w:val="center"/>
              <w:spacing w:after="0"/>
              <w:rPr>
                <w:sz w:val="20"/>
                <w:szCs w:val="20"/>
                <w:color w:val="auto"/>
              </w:rPr>
            </w:pPr>
            <w:r>
              <w:rPr>
                <w:rFonts w:ascii="Arial" w:cs="Arial" w:eastAsia="Arial" w:hAnsi="Arial"/>
                <w:sz w:val="18"/>
                <w:szCs w:val="18"/>
                <w:color w:val="auto"/>
                <w:w w:val="91"/>
              </w:rPr>
              <w:t>Chief Financial and Accounting Officer</w:t>
            </w:r>
          </w:p>
        </w:tc>
        <w:tc>
          <w:tcPr>
            <w:tcW w:w="3440" w:type="dxa"/>
            <w:vAlign w:val="bottom"/>
          </w:tcPr>
          <w:p>
            <w:pPr>
              <w:spacing w:after="0"/>
              <w:rPr>
                <w:sz w:val="21"/>
                <w:szCs w:val="21"/>
                <w:color w:val="auto"/>
              </w:rPr>
            </w:pPr>
          </w:p>
        </w:tc>
        <w:tc>
          <w:tcPr>
            <w:tcW w:w="3960" w:type="dxa"/>
            <w:vAlign w:val="bottom"/>
          </w:tcPr>
          <w:p>
            <w:pPr>
              <w:jc w:val="right"/>
              <w:spacing w:after="0"/>
              <w:rPr>
                <w:sz w:val="20"/>
                <w:szCs w:val="20"/>
                <w:color w:val="auto"/>
              </w:rPr>
            </w:pPr>
            <w:r>
              <w:rPr>
                <w:rFonts w:ascii="Arial" w:cs="Arial" w:eastAsia="Arial" w:hAnsi="Arial"/>
                <w:sz w:val="18"/>
                <w:szCs w:val="18"/>
                <w:color w:val="auto"/>
              </w:rPr>
              <w:t>Legal Manager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-405130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-405130</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July 13,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2019-12-14T06:43:31Z</dcterms:created>
  <dcterms:modified xsi:type="dcterms:W3CDTF">2019-12-14T06:43:31Z</dcterms:modified>
</cp:coreProperties>
</file>