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6-K</w:t>
      </w: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Report of Foreign Private Issuer</w:t>
      </w:r>
    </w:p>
    <w:p>
      <w:pPr>
        <w:jc w:val="center"/>
        <w:ind w:right="-259"/>
        <w:spacing w:after="0" w:line="238" w:lineRule="auto"/>
        <w:rPr>
          <w:sz w:val="20"/>
          <w:szCs w:val="20"/>
          <w:color w:val="auto"/>
        </w:rPr>
      </w:pPr>
      <w:r>
        <w:rPr>
          <w:rFonts w:ascii="Arial" w:cs="Arial" w:eastAsia="Arial" w:hAnsi="Arial"/>
          <w:sz w:val="22"/>
          <w:szCs w:val="22"/>
          <w:color w:val="auto"/>
        </w:rPr>
        <w:t>Pursuant to Rule 13a-16 or 15d-16 under the</w:t>
      </w:r>
    </w:p>
    <w:p>
      <w:pPr>
        <w:jc w:val="center"/>
        <w:ind w:right="-259"/>
        <w:spacing w:after="0"/>
        <w:rPr>
          <w:sz w:val="20"/>
          <w:szCs w:val="20"/>
          <w:color w:val="auto"/>
        </w:rPr>
      </w:pPr>
      <w:r>
        <w:rPr>
          <w:rFonts w:ascii="Arial" w:cs="Arial" w:eastAsia="Arial" w:hAnsi="Arial"/>
          <w:sz w:val="22"/>
          <w:szCs w:val="22"/>
          <w:color w:val="auto"/>
        </w:rPr>
        <w:t>Securities Exchange Act of 1934</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 the month of January 2022</w:t>
      </w: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Commission File Number: 001-14014</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CREDICORP LTD.</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Of our subsidiary</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Banco de Credito del Peru:</w:t>
      </w:r>
    </w:p>
    <w:p>
      <w:pPr>
        <w:jc w:val="center"/>
        <w:ind w:right="-259"/>
        <w:spacing w:after="0" w:line="230" w:lineRule="auto"/>
        <w:rPr>
          <w:sz w:val="20"/>
          <w:szCs w:val="20"/>
          <w:color w:val="auto"/>
        </w:rPr>
      </w:pPr>
      <w:r>
        <w:rPr>
          <w:rFonts w:ascii="Arial" w:cs="Arial" w:eastAsia="Arial" w:hAnsi="Arial"/>
          <w:sz w:val="22"/>
          <w:szCs w:val="22"/>
          <w:b w:val="1"/>
          <w:bCs w:val="1"/>
          <w:color w:val="auto"/>
        </w:rPr>
        <w:t>Calle Centenario 156</w:t>
      </w:r>
    </w:p>
    <w:p>
      <w:pPr>
        <w:jc w:val="center"/>
        <w:ind w:right="-259"/>
        <w:spacing w:after="0" w:line="231" w:lineRule="auto"/>
        <w:rPr>
          <w:sz w:val="20"/>
          <w:szCs w:val="20"/>
          <w:color w:val="auto"/>
        </w:rPr>
      </w:pPr>
      <w:r>
        <w:rPr>
          <w:rFonts w:ascii="Arial" w:cs="Arial" w:eastAsia="Arial" w:hAnsi="Arial"/>
          <w:sz w:val="22"/>
          <w:szCs w:val="22"/>
          <w:b w:val="1"/>
          <w:bCs w:val="1"/>
          <w:color w:val="auto"/>
        </w:rPr>
        <w:t>La Molina</w:t>
      </w:r>
    </w:p>
    <w:p>
      <w:pPr>
        <w:jc w:val="center"/>
        <w:ind w:right="-259"/>
        <w:spacing w:after="0"/>
        <w:rPr>
          <w:sz w:val="20"/>
          <w:szCs w:val="20"/>
          <w:color w:val="auto"/>
        </w:rPr>
      </w:pPr>
      <w:r>
        <w:rPr>
          <w:rFonts w:ascii="Arial" w:cs="Arial" w:eastAsia="Arial" w:hAnsi="Arial"/>
          <w:sz w:val="22"/>
          <w:szCs w:val="22"/>
          <w:b w:val="1"/>
          <w:bCs w:val="1"/>
          <w:color w:val="auto"/>
        </w:rPr>
        <w:t xml:space="preserve">Lima 12, Peru </w:t>
      </w:r>
      <w:r>
        <w:rPr>
          <w:rFonts w:ascii="Arial" w:cs="Arial" w:eastAsia="Arial" w:hAnsi="Arial"/>
          <w:sz w:val="22"/>
          <w:szCs w:val="22"/>
          <w:color w:val="auto"/>
        </w:rPr>
        <w:t>(Address of principal executive office)</w:t>
      </w: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41" w:lineRule="exact"/>
        <w:rPr>
          <w:sz w:val="24"/>
          <w:szCs w:val="24"/>
          <w:color w:val="auto"/>
        </w:rPr>
      </w:pPr>
    </w:p>
    <w:p>
      <w:pPr>
        <w:jc w:val="center"/>
        <w:ind w:right="-27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35" w:right="5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1996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19960" cy="351790"/>
                    </a:xfrm>
                    <a:prstGeom prst="rect">
                      <a:avLst/>
                    </a:prstGeom>
                    <a:noFill/>
                  </pic:spPr>
                </pic:pic>
              </a:graphicData>
            </a:graphic>
          </wp:anchor>
        </w:drawing>
        <w:t>January 27,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 - SEC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Credicorp Ltd. (‘Credicorp’) notifies you as a Material Event that, in its session held on January 27, 2022, Credicorp’s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unanimously agreed on the following:</w:t>
      </w:r>
    </w:p>
    <w:p>
      <w:pPr>
        <w:spacing w:after="0" w:line="222"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date for the Annual General Meeting of Shareholders for Tuesday, March 29, 2022, at 3:00 p. m. (Peru time), in a pure virtual meeting through a web portal. In accordance with Credicorp’s Bye-Laws, if the required quorum is not met in the first instance, the meeting will be postponed until Tuesday, April 5, 2022, at the same place (web portal) and time.</w:t>
      </w:r>
    </w:p>
    <w:p>
      <w:pPr>
        <w:spacing w:after="0" w:line="203" w:lineRule="exact"/>
        <w:rPr>
          <w:sz w:val="20"/>
          <w:szCs w:val="20"/>
          <w:color w:val="auto"/>
        </w:rPr>
      </w:pPr>
    </w:p>
    <w:p>
      <w:pPr>
        <w:ind w:left="340"/>
        <w:spacing w:after="0" w:line="250" w:lineRule="auto"/>
        <w:rPr>
          <w:sz w:val="20"/>
          <w:szCs w:val="20"/>
          <w:color w:val="auto"/>
        </w:rPr>
      </w:pPr>
      <w:r>
        <w:rPr>
          <w:rFonts w:ascii="Arial" w:cs="Arial" w:eastAsia="Arial" w:hAnsi="Arial"/>
          <w:sz w:val="22"/>
          <w:szCs w:val="22"/>
          <w:color w:val="auto"/>
        </w:rPr>
        <w:t>The Board has established that those shareholders who are officially registered as shareholders of Credicorp as of Friday, February 11, 2022 (‘Record Date’) will be entitled to attend and vote in the above-mentioned meeting.</w:t>
      </w:r>
    </w:p>
    <w:p>
      <w:pPr>
        <w:spacing w:after="0" w:line="20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Agenda defined for such Annual General Meeting of Shareholders will address the following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Presentation by the Chairman of the Board of the Annual and Sustainability Report of Credicorp for the financial year ended December 31, 2021</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Presentation by the Chairman of the Board of the Sustainability Strategy of Credicorp</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audited consolidated financial statements of Credicorp and its subsidiaries for the financial year ended December 31, 2021, including the report of the external auditors of Credicorp thereon</w:t>
      </w:r>
    </w:p>
    <w:p>
      <w:pPr>
        <w:ind w:left="660" w:right="20" w:hanging="328"/>
        <w:spacing w:after="0" w:line="26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Appointment of the external auditors of Credicorp to perform such services for the 2022 financial year and delegation of the power to set and approve fees for such audit services to the Board of Directors (for further delegation to the Audit Committee thereof.)</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Miriam Böttger</w:t>
      </w:r>
    </w:p>
    <w:p>
      <w:pPr>
        <w:spacing w:after="0" w:line="238" w:lineRule="auto"/>
        <w:rPr>
          <w:sz w:val="20"/>
          <w:szCs w:val="20"/>
          <w:color w:val="auto"/>
        </w:rPr>
      </w:pPr>
      <w:r>
        <w:rPr>
          <w:rFonts w:ascii="Arial" w:cs="Arial" w:eastAsia="Arial" w:hAnsi="Arial"/>
          <w:sz w:val="22"/>
          <w:szCs w:val="22"/>
          <w:color w:val="auto"/>
        </w:rPr>
        <w:t>Authorized Representative</w:t>
      </w:r>
    </w:p>
    <w:p>
      <w:pPr>
        <w:spacing w:after="0"/>
        <w:rPr>
          <w:sz w:val="20"/>
          <w:szCs w:val="20"/>
          <w:color w:val="auto"/>
        </w:rPr>
      </w:pPr>
      <w:r>
        <w:rPr>
          <w:rFonts w:ascii="Arial" w:cs="Arial" w:eastAsia="Arial" w:hAnsi="Arial"/>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535"/>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Date: January 27, 2022</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2022-01-27T15:36:03Z</dcterms:created>
  <dcterms:modified xsi:type="dcterms:W3CDTF">2022-01-27T15:36:03Z</dcterms:modified>
</cp:coreProperties>
</file>