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November 2012</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 20-F x Form 40-F o</w:t>
      </w:r>
    </w:p>
    <w:p>
      <w:pPr>
        <w:spacing w:after="0" w:line="200" w:lineRule="exact"/>
        <w:rPr>
          <w:sz w:val="24"/>
          <w:szCs w:val="24"/>
          <w:color w:val="auto"/>
        </w:rPr>
      </w:pPr>
    </w:p>
    <w:p>
      <w:pPr>
        <w:spacing w:after="0" w:line="24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45" w:right="959" w:bottom="1440" w:gutter="0" w:footer="0" w:header="0"/>
        </w:sectPr>
      </w:pPr>
    </w:p>
    <w:bookmarkStart w:id="1" w:name="page2"/>
    <w:bookmarkEnd w:id="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586230" cy="7581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86230" cy="7581265"/>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740410</wp:posOffset>
            </wp:positionV>
            <wp:extent cx="134620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74320"/>
                    </a:xfrm>
                    <a:prstGeom prst="rect">
                      <a:avLst/>
                    </a:prstGeom>
                    <a:noFill/>
                  </pic:spPr>
                </pic:pic>
              </a:graphicData>
            </a:graphic>
          </wp:anchor>
        </w:drawing>
      </w:r>
    </w:p>
    <w:p>
      <w:pPr>
        <w:jc w:val="center"/>
        <w:ind w:left="2620"/>
        <w:spacing w:after="0"/>
        <w:rPr>
          <w:sz w:val="20"/>
          <w:szCs w:val="20"/>
          <w:color w:val="auto"/>
        </w:rPr>
      </w:pPr>
      <w:r>
        <w:rPr>
          <w:rFonts w:ascii="Arial" w:cs="Arial" w:eastAsia="Arial" w:hAnsi="Arial"/>
          <w:sz w:val="18"/>
          <w:szCs w:val="18"/>
          <w:b w:val="1"/>
          <w:bCs w:val="1"/>
          <w:color w:val="auto"/>
        </w:rPr>
        <w:t>Third Quarter 2012 Results</w:t>
      </w:r>
    </w:p>
    <w:p>
      <w:pPr>
        <w:spacing w:after="0" w:line="239" w:lineRule="exact"/>
        <w:rPr>
          <w:sz w:val="20"/>
          <w:szCs w:val="20"/>
          <w:color w:val="auto"/>
        </w:rPr>
      </w:pPr>
    </w:p>
    <w:p>
      <w:pPr>
        <w:ind w:left="1420"/>
        <w:spacing w:after="0" w:line="313" w:lineRule="auto"/>
        <w:rPr>
          <w:sz w:val="20"/>
          <w:szCs w:val="20"/>
          <w:color w:val="auto"/>
        </w:rPr>
      </w:pPr>
      <w:r>
        <w:rPr>
          <w:rFonts w:ascii="Arial" w:cs="Arial" w:eastAsia="Arial" w:hAnsi="Arial"/>
          <w:sz w:val="17"/>
          <w:szCs w:val="17"/>
          <w:b w:val="1"/>
          <w:bCs w:val="1"/>
          <w:color w:val="auto"/>
        </w:rPr>
        <w:t xml:space="preserve">Lima, Peru, November 07, 2012 - </w:t>
      </w:r>
      <w:r>
        <w:rPr>
          <w:rFonts w:ascii="Arial" w:cs="Arial" w:eastAsia="Arial" w:hAnsi="Arial"/>
          <w:sz w:val="17"/>
          <w:szCs w:val="17"/>
          <w:color w:val="auto"/>
        </w:rPr>
        <w:t>Credicorp (NYSE:BAP) announced today its unaudited results for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2012. These results are reported on a consolidated basis in accordance with IFRS in nominal U.S. Dollars.</w:t>
      </w:r>
    </w:p>
    <w:p>
      <w:pPr>
        <w:spacing w:after="0" w:line="165" w:lineRule="exact"/>
        <w:rPr>
          <w:sz w:val="20"/>
          <w:szCs w:val="20"/>
          <w:color w:val="auto"/>
        </w:rPr>
      </w:pPr>
    </w:p>
    <w:p>
      <w:pPr>
        <w:jc w:val="center"/>
        <w:ind w:left="2620"/>
        <w:spacing w:after="0"/>
        <w:rPr>
          <w:sz w:val="20"/>
          <w:szCs w:val="20"/>
          <w:color w:val="auto"/>
        </w:rPr>
      </w:pPr>
      <w:r>
        <w:rPr>
          <w:rFonts w:ascii="Arial" w:cs="Arial" w:eastAsia="Arial" w:hAnsi="Arial"/>
          <w:sz w:val="18"/>
          <w:szCs w:val="18"/>
          <w:b w:val="1"/>
          <w:bCs w:val="1"/>
          <w:color w:val="auto"/>
        </w:rPr>
        <w:t>HIGHLIGHTS</w:t>
      </w:r>
    </w:p>
    <w:p>
      <w:pPr>
        <w:spacing w:after="0" w:line="175" w:lineRule="exact"/>
        <w:rPr>
          <w:sz w:val="20"/>
          <w:szCs w:val="20"/>
          <w:color w:val="auto"/>
        </w:rPr>
      </w:pPr>
    </w:p>
    <w:p>
      <w:pPr>
        <w:jc w:val="both"/>
        <w:ind w:left="1600" w:hanging="185"/>
        <w:spacing w:after="0" w:line="292" w:lineRule="auto"/>
        <w:tabs>
          <w:tab w:leader="none" w:pos="1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Credicorp reported net earnings after minority interest of US$227.5 million, which indicates a significant 32.3% recovery from the US$171.9 million registered in 2Q12. As such, Credicorp has resumed a positive earnings trend after higher provisions and other negative market trends adversely affected income in the previous Q. Consequently, ROAE bounced back to situate at 23.7% and ROAA at 2.5%, up from 19.2% and 2% in the previous Q. Furthermore, YTD net earnings are in line with expectations and totaled US$588.6 million, up 13.2% from the previous year.</w:t>
      </w:r>
    </w:p>
    <w:p>
      <w:pPr>
        <w:spacing w:after="0" w:line="1" w:lineRule="exact"/>
        <w:rPr>
          <w:rFonts w:ascii="Arial" w:cs="Arial" w:eastAsia="Arial" w:hAnsi="Arial"/>
          <w:sz w:val="16"/>
          <w:szCs w:val="16"/>
          <w:color w:val="auto"/>
        </w:rPr>
      </w:pPr>
    </w:p>
    <w:p>
      <w:pPr>
        <w:jc w:val="both"/>
        <w:ind w:left="1600" w:hanging="185"/>
        <w:spacing w:after="0" w:line="256"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trends were strong with 5.5% loan book growth for the Q and 23.7% YoY. Operating income was up 15.4% following more moderate provisioning this 3Q; stronger non-financial income and solid insurance premium growth; and despite continued operating expense expansion.</w:t>
      </w:r>
    </w:p>
    <w:p>
      <w:pPr>
        <w:jc w:val="both"/>
        <w:ind w:left="1600" w:hanging="185"/>
        <w:spacing w:after="0" w:line="273" w:lineRule="auto"/>
        <w:tabs>
          <w:tab w:leader="none" w:pos="1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line with strong portfolio performance, NII growth reached 5.4% for the Q, a result of a 6.9% stronger interest income and 10.5% growth in interest expenses. This improved the NIM, which reached 5.19% vs. 5.08% in 2Q. The improvement is due mainly to expansion in the retail business, which helped raise the NIM for the loan book to 8.12%. This excellent trend led to a robust 24.2% expansion in NII for the year, as shown by the YTD figures.</w:t>
      </w:r>
    </w:p>
    <w:p>
      <w:pPr>
        <w:spacing w:after="0" w:line="1" w:lineRule="exact"/>
        <w:rPr>
          <w:rFonts w:ascii="Arial" w:cs="Arial" w:eastAsia="Arial" w:hAnsi="Arial"/>
          <w:sz w:val="17"/>
          <w:szCs w:val="17"/>
          <w:color w:val="auto"/>
        </w:rPr>
      </w:pPr>
    </w:p>
    <w:p>
      <w:pPr>
        <w:jc w:val="both"/>
        <w:ind w:left="1600" w:hanging="185"/>
        <w:spacing w:after="0" w:line="271" w:lineRule="auto"/>
        <w:tabs>
          <w:tab w:leader="none" w:pos="1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Non-financial income also reported significant expansion of 9.9% for the Q and 36.2% YoY. The core generators this 3Q were fee income (up 9.4% QoQ) and gains on the sale of securities, which doubled QoQ due to good market conditions. Again, YTD non-financial income is up 26.8% compared to the same period last year.</w:t>
      </w:r>
    </w:p>
    <w:p>
      <w:pPr>
        <w:jc w:val="both"/>
        <w:ind w:left="1600" w:hanging="185"/>
        <w:spacing w:after="0" w:line="258"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(excluding the medical venture), reported a 25% increase in technical results, which totaled US$46.7 million for the 3Q. This went hand-in-hand with strong net premium growth of 6.5% this quarter. However, medical services reported a loss of US$3.9 million given that it will still take some time to implement the clinics and ensure that the network works efficiently to achieve projected results.</w:t>
      </w:r>
    </w:p>
    <w:p>
      <w:pPr>
        <w:jc w:val="both"/>
        <w:ind w:left="1600" w:hanging="185"/>
        <w:spacing w:after="0" w:line="255"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Portfolio quality remains sound and stable despite continued strong growth in the retail business. The increase in delinquencies reported last Q on the low income retail business has leveled out. However, the loan book mix continues to shift toward these assets, which will continue leading to higher PDLs. Regardless, delinquencies over 90 days remained extremely stable at 1.15% while the PDL ratios for all delinquencies continued steady at 1.73%. Hence, provisions dropped from the record high posted in 2Q to US$94.6 million this quarter but continue to reflect growth in riskier segments.</w:t>
      </w:r>
    </w:p>
    <w:p>
      <w:pPr>
        <w:spacing w:after="0" w:line="17" w:lineRule="exact"/>
        <w:rPr>
          <w:rFonts w:ascii="Arial" w:cs="Arial" w:eastAsia="Arial" w:hAnsi="Arial"/>
          <w:sz w:val="18"/>
          <w:szCs w:val="18"/>
          <w:color w:val="auto"/>
        </w:rPr>
      </w:pPr>
    </w:p>
    <w:p>
      <w:pPr>
        <w:jc w:val="both"/>
        <w:ind w:left="1600" w:hanging="185"/>
        <w:spacing w:after="0" w:line="256"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expenses continued to grow at a higher than usual pace and were up 9% QoQ (compared to 8.7% in 2Q) as expansion continues and new businesses are developed and integrated. However, the consolidation of 2 new subsidiaries, one in Colombia and the other in Chile, as well as the revaluation in local currency, partially explain the higher expense numbers reported at Credicorp. Real expansion in expenses is therefore around 3 percentage points lower.</w:t>
      </w:r>
    </w:p>
    <w:p>
      <w:pPr>
        <w:spacing w:after="0" w:line="3" w:lineRule="exact"/>
        <w:rPr>
          <w:rFonts w:ascii="Arial" w:cs="Arial" w:eastAsia="Arial" w:hAnsi="Arial"/>
          <w:sz w:val="18"/>
          <w:szCs w:val="18"/>
          <w:color w:val="auto"/>
        </w:rPr>
      </w:pPr>
    </w:p>
    <w:p>
      <w:pPr>
        <w:ind w:left="1600" w:hanging="185"/>
        <w:spacing w:after="0" w:line="291" w:lineRule="auto"/>
        <w:tabs>
          <w:tab w:leader="none" w:pos="1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hinted before, this Q the local currency resumed and even accelerated slightly its revaluation trend. This led to large translation gains and a lower effective tax rate, both of which contributed to the excellent earnings reported for the Q.</w:t>
      </w:r>
    </w:p>
    <w:p>
      <w:pPr>
        <w:jc w:val="both"/>
        <w:ind w:left="1600" w:hanging="185"/>
        <w:spacing w:after="0" w:line="254"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3Q12 BCP reported US$192 million in net income, which allowed it to post a US$188.2 million contribution to Credicorp. This represents a significant recovery with regard to BCP’s US$124.2 million contribution in the previous Q. These results reflect the strength of BCP’s banking business, which continued to expand after a correction in its retail growth model.</w:t>
      </w:r>
    </w:p>
    <w:p>
      <w:pPr>
        <w:spacing w:after="0" w:line="1" w:lineRule="exact"/>
        <w:rPr>
          <w:rFonts w:ascii="Arial" w:cs="Arial" w:eastAsia="Arial" w:hAnsi="Arial"/>
          <w:sz w:val="18"/>
          <w:szCs w:val="18"/>
          <w:color w:val="auto"/>
        </w:rPr>
      </w:pPr>
    </w:p>
    <w:p>
      <w:pPr>
        <w:jc w:val="both"/>
        <w:ind w:left="1600" w:hanging="185"/>
        <w:spacing w:after="0" w:line="260"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Bolivia’s performance was good considering the pressures in the Bolivian financial sector as the Bolivian government introduced higher taxes for financial institutions. Net contribution to Credicorp totaled US$5.3 million, a minor reduction from US$5.5 million despite the tax pressures.</w:t>
      </w:r>
    </w:p>
    <w:p>
      <w:pPr>
        <w:spacing w:after="0" w:line="1" w:lineRule="exact"/>
        <w:rPr>
          <w:rFonts w:ascii="Arial" w:cs="Arial" w:eastAsia="Arial" w:hAnsi="Arial"/>
          <w:sz w:val="18"/>
          <w:szCs w:val="18"/>
          <w:color w:val="auto"/>
        </w:rPr>
      </w:pPr>
    </w:p>
    <w:p>
      <w:pPr>
        <w:ind w:left="1600" w:right="20" w:hanging="185"/>
        <w:spacing w:after="0" w:line="258"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ASB’s contribution to Credicorp this 3Q12 was US$ 12.5 million, up 18% vs. 2Q12’s earnings. The recovery is a reflection of improved market conditions. Therefore, ROAE for 3Q reached a sound 26.1%.</w:t>
      </w:r>
    </w:p>
    <w:p>
      <w:pPr>
        <w:spacing w:after="0" w:line="1" w:lineRule="exact"/>
        <w:rPr>
          <w:rFonts w:ascii="Arial" w:cs="Arial" w:eastAsia="Arial" w:hAnsi="Arial"/>
          <w:sz w:val="18"/>
          <w:szCs w:val="18"/>
          <w:color w:val="auto"/>
        </w:rPr>
      </w:pPr>
    </w:p>
    <w:p>
      <w:pPr>
        <w:jc w:val="both"/>
        <w:ind w:left="1600" w:hanging="185"/>
        <w:spacing w:after="0" w:line="259"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Pacifico (Pacifico Insurance Group) performed well, with net premium growth of 7% for the Q, which contributed to better underwriting results for the insurance business (excluding the medical venture). However, as explained above, the technical results for medical services posted a loss in 3Q. This adversely affected Pacifico’s contribution to Credicorp, which dropped to US$20.6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281940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left="340" w:right="2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Prima’s performance and contribution was down this 3Q by 17% to US$9.45 million due to reserves and costs related to the preparations to adjust to the new regulatory framework. Notwithstanding, this result still reflects an excellent ROAE of 25.9%.</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Credicorp posted excellent growth once again this 3Q12, showing robust earnings expansion and recovering the trends expected by Credicorp’s management.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3Q12, Credicorp recovered the earnings levels and trends seen in previous Q’s. This confirmed the fact that growth and positive business trends remain strong in a market that is in the process of developing and gradually increasing banking penetration. In fact Credicorp reported net earnings after minority interest of US$227.5 million, which represents a significant 32.3% recovery with regard to the US$171.9 million posted in 2Q12. Credicorp’s earnings resumed a positive trend after we made adjustments to our credit models to turn around the increase in delinquencies that required high provisions as we stepped up our efforts to penetrate low income segments in 2Q. Consequently, ROAE bounced back to 23.7% and ROAA to 2.5%, up from 19.2% and 2% in the previous Q. Furthermore, YTD net earnings are in line with expectations reaching US$588.6 million, up 13.2% from the previous year.</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Operating trends were strong with 5.5% loan book growth for the Q and 23.7% YoY. Operating income was up 15.4% following more moderate provisioning this 3Q; strong 9.9% non-financial income growth; solid insurance premium growth; and despite continued operating expense growth.</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strong loan book expansion is in line with the performance of the Peruvian economy, which posted higher growth than all its Latin American peers and certainly all developed markets with approximately 6.3% GDP annualized growth for the YTD.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Supported by this economic background, loan growth was strong in all sectors of our banking subsidiary BCP, including the mature corporate book, which grew 4% QoQ and the middle market book, which was up 6.8% for the Q. The retail portfolios posted stronger growth numbers, though starting with the credit card book, up 6%, the mortgage book with 6.9% growth, and moving towards the more dynamic sectors like the consumer book which grew 8.9%; the SME portfolio, up 10.5%; and the micro-lending book, the fastest growing portfolio, which grew 11% for the quarter. We should however point out that the revaluation of the local currency vis-à-vis the US Dollar this Q was not insignificant (2.7%) and boosted the reported growth in US Dollars of the local currency denominated loan books, mainly in the retail segment, beyond its already strong real growth in local currency. Overall loan book growth however was not affected by this exchange rate move since the positive impact on the expanding retail soles book was neutralized by a contrary effect on the wholesale soles book which contracted this 3rdQ.</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excellent portfolio growth rates led to even stronger expansion in interest income in the banking subsidiary, which was also attributable to higher rates for riskier retail products. Thus, while total loan book at BCP was up 5.8% for the Q (6.6% when measuring daily average outstanding), interest income was up a strong 9.1% QoQ and helped offset higher funding costs, which were up 11.7%. This led to a robust 7.9% increase in NII for the Q. At Credicorp, these numbers were attenuated by the results posted for ASB’s more mature portfolio. Thus, NII growth at Credicorp reached 5.4%, with interest income growing 6.9% and interest expenses 10.5%, still strong numbers.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Consequently, NIMs improve more at BCP to post a global NIM of 5.36% and loan book NIM of 8.12% while Credicorp shows a more moderate expansion in NIM, posting a figure of 5.19% versus 5.08% in 2Q.</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Portfolio quality remained sound and delinquency ratios stable this 3Q12 despite continued strong growth in the retail business. The increasing delinquencies reported last Q in the low income retail business leveled out during this 3Q, though the mix of the book continues shifting towards these assets. The latter has set a trend of increasing PDLs that reflect the new portfolio mix, in which retail banking currently holds aprximately a 49.2% share, and the percentage of higher risk assets within each segment is also increasing. However, delinquencies over 90 days remain extremely stable at 1.15% while the PDL ratio for all delinquencies held steady at 1.73%. Hence, provisions dropped from a record high in 2Q to US$94.6 million this quarter but reflect still portfolio growth in riskier sectors.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Non-financial income was also up a very strong 9.9% for the Q. The main drivers of this result were fee income, which grew 9.4% QoQ and 27.4% YoY, and good market performance, which led to a gain on the sale of securities of US$ 32 million.</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Insurance net premium growth was strong and increased 6.5% for the Q. This contributed to better underwriting results for the insurance business (excluding medical services) in 3Q, which rose a significant 25% QoQ and 54.6% YoY. However, the medical services business still needs time to complete the implementation of its new strategy and improve its technical results. Hence, the underwriting results for medical services posted a loss of US$ 3.9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other hand, OpEx continued expanding and increased 9% QoQ, fueled by the continued expansion of our network; investments in the development and improvement of our operational capabilities; increased transactional activity and volumes that generate variable costs; the incorporation of IM Trust and Correval into Credicorp; and the strength and revaluation against the US Dollar of our local currency, in which most costs are paid. Real OpEx expansion is in fact a few (3%) percentage points lower.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strength of the local currency also led to translation gains of about US$33 million, which in turn lowered the effective tax rate (through the inverse effect in local Soles accounting) and boosted earnings for the Q to the US$233 million reported at Credicorp.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After minority interest, income attributed to Credicorp reached US$227.5 million, a significantly higher result that reveals a 32.3% increase QoQ and 33.1%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YoY. YTD net income reached US$588.6 million, revealing also a 13.2% expansion when compared to the same period last year. These results are proof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Credicorp is in line with the market’s high expectations.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to date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3Q11</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415,203</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393,936</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330,473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5.4%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25.6%</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1,181,390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951,006</w:t>
            </w:r>
          </w:p>
        </w:tc>
        <w:tc>
          <w:tcPr>
            <w:tcW w:w="2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(94,389)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(110,850)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(42,676)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(274,877)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(144,451)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275,636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250,757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202,441</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764,212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602,792</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Insurance services technical result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46,718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37,370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30,216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91,972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92,324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Medical Services Technical Result (1)</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(3,894)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1,632</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(94)</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-338.6%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-4051.2%</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 (1)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(367,816)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(337,589)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(279,858)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31.4%</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(1,015,975)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(814,206)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271,458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235,256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240,503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12.9%</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746,417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687,371</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3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Core operating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271,458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235,256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240,503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746,417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674,434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Non core operating income (3)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12,937</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33,105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(7,213)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2064.4%</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559.0%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44,604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6,448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591.7%</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(71,351)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(58,573)</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(58,646)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(189,998)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(162,487)</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233,212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174,998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174,645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601,024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531,332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5,681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3,051</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3,744</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86.2%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51.7%</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12,433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11,241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227,531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171,946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170,900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32.3%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588,590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520,092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income / share (US$)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2.85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2.16</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2.14</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32.3%</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33.1%</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7.38</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6.52</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color w:val="auto"/>
              </w:rPr>
              <w:t>Total loans</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20,287,468</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19,232,220</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16,401,270</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5.5%</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23.7%</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20,287,468</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16,401,270</w:t>
            </w:r>
          </w:p>
        </w:tc>
        <w:tc>
          <w:tcPr>
            <w:tcW w:w="220" w:type="dxa"/>
            <w:vAlign w:val="bottom"/>
            <w:vMerge w:val="continue"/>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22,047,452</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21,037,643</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18,066,891</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22,047,452</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18,066,891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4,007,654</w:t>
            </w:r>
          </w:p>
        </w:tc>
        <w:tc>
          <w:tcPr>
            <w:tcW w:w="780" w:type="dxa"/>
            <w:vAlign w:val="bottom"/>
          </w:tcPr>
          <w:p>
            <w:pPr>
              <w:jc w:val="right"/>
              <w:spacing w:after="0"/>
              <w:rPr>
                <w:sz w:val="20"/>
                <w:szCs w:val="20"/>
                <w:color w:val="auto"/>
              </w:rPr>
            </w:pPr>
            <w:r>
              <w:rPr>
                <w:rFonts w:ascii="Arial" w:cs="Arial" w:eastAsia="Arial" w:hAnsi="Arial"/>
                <w:sz w:val="14"/>
                <w:szCs w:val="14"/>
                <w:color w:val="auto"/>
              </w:rPr>
              <w:t>3,675,134</w:t>
            </w: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3,092,778</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29.6%</w:t>
            </w:r>
          </w:p>
        </w:tc>
        <w:tc>
          <w:tcPr>
            <w:tcW w:w="780" w:type="dxa"/>
            <w:vAlign w:val="bottom"/>
          </w:tcPr>
          <w:p>
            <w:pPr>
              <w:jc w:val="right"/>
              <w:spacing w:after="0"/>
              <w:rPr>
                <w:sz w:val="20"/>
                <w:szCs w:val="20"/>
                <w:color w:val="auto"/>
              </w:rPr>
            </w:pPr>
            <w:r>
              <w:rPr>
                <w:rFonts w:ascii="Arial" w:cs="Arial" w:eastAsia="Arial" w:hAnsi="Arial"/>
                <w:sz w:val="14"/>
                <w:szCs w:val="14"/>
                <w:color w:val="auto"/>
              </w:rPr>
              <w:t>4,007,654</w:t>
            </w: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3,092,778</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Net interest margin</w:t>
            </w: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2"/>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5.19%</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5.08%</w:t>
            </w:r>
          </w:p>
        </w:tc>
        <w:tc>
          <w:tcPr>
            <w:tcW w:w="10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5.00%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5.14%</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4.88%</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40.4%</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23.7%</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23.6%</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PDL ratio at 90 days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NPL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191.3%</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186.8%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191.2%</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191.3%</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191.2%</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141.8%</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141.8%</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Employees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25,149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23,438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21,514</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25,149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21,514</w:t>
            </w: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Credicorp’s business development in 3Q12 continues to be very strong. In fact, significant growth was seen in all segments, though this 3Q the bottom line has improved significantly compared to the previous Q given the good results achieved through the corrections made to our credit models and processes as well as other positive trends. As we indicated in the previous Q, the strategies to increase banking penetration that are fueling this growth imply lowering the threshold for granting loans, a delicate process to which we are dedicating significant resources and time to carefully monitor and fine-tune our models accordingly. The accelerated growth and lack of behavioral/credit history in certain retail sectors, mainly the credit card business, led to an increase in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delinquencies in our portfolio and throughout the credit card system in the previous 2</w:t>
      </w:r>
      <w:r>
        <w:rPr>
          <w:rFonts w:ascii="Arial" w:cs="Arial" w:eastAsia="Arial" w:hAnsi="Arial"/>
          <w:sz w:val="28"/>
          <w:szCs w:val="28"/>
          <w:color w:val="auto"/>
          <w:vertAlign w:val="superscript"/>
        </w:rPr>
        <w:t>nd</w:t>
      </w:r>
      <w:r>
        <w:rPr>
          <w:rFonts w:ascii="Arial" w:cs="Arial" w:eastAsia="Arial" w:hAnsi="Arial"/>
          <w:sz w:val="17"/>
          <w:szCs w:val="17"/>
          <w:color w:val="auto"/>
        </w:rPr>
        <w:t>Q and triggered all the corrections we have implemented (which are now producing results). This no doubt entails a learning process. It has become evident that although we need to approach the low income sector with greater caution while giving new consumers the time they need to learn about using credit wisely, the increase in delinquencies is by no means a sign that the growth trends that Credicorp has enjoyed are coming to an end or are changing direction.</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3Q12, BCP reported US$192 million in net income, which led to a contribution to Credicorp of US$188.2 million. This is a significant recovery from BCP’s US$124.2 million contribution in the previous Q. These results reflect the strength of BCP’s wholesale and retail banking businesses, which continued to expand after a correction in the retail growth model was implemented. Robust loan portfolio expansion of 5.8% for the Q and 23% YoY; a controlled 1.78 total PDL ratio; a 1.15% 90-day PDL ratio; lower provisions; good fee income and trading gains; as well as a positive translation result helped offset the expense growth inherent to a growing business (+22 branches, +368 ATMs,+1,062 Agentes,+ 2 new subsidiaries YoY). These results led to a ROAE of 30.2% for the Q and a ROAA of 2.4%. YTD numbers also show a robust bottom-line with US$490 million in income generation and a 19% increase in the contribution to Credicorp for a total of US$479 million.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to Credicorp</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 %</w:t>
            </w:r>
          </w:p>
        </w:tc>
        <w:tc>
          <w:tcPr>
            <w:tcW w:w="20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Year to date</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Change %</w:t>
            </w: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3Q11</w:t>
            </w:r>
          </w:p>
        </w:tc>
        <w:tc>
          <w:tcPr>
            <w:tcW w:w="22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Sep 12</w:t>
            </w:r>
          </w:p>
        </w:tc>
        <w:tc>
          <w:tcPr>
            <w:tcW w:w="22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Sep 11</w:t>
            </w:r>
          </w:p>
        </w:tc>
        <w:tc>
          <w:tcPr>
            <w:tcW w:w="22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 (1)</w:t>
            </w: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188,225</w:t>
            </w:r>
          </w:p>
        </w:tc>
        <w:tc>
          <w:tcPr>
            <w:tcW w:w="2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124,222</w:t>
            </w:r>
          </w:p>
        </w:tc>
        <w:tc>
          <w:tcPr>
            <w:tcW w:w="2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140,420</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479,049</w:t>
            </w:r>
          </w:p>
        </w:tc>
        <w:tc>
          <w:tcPr>
            <w:tcW w:w="2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402,961</w:t>
            </w: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3260" w:type="dxa"/>
            <w:vAlign w:val="bottom"/>
            <w:gridSpan w:val="2"/>
          </w:tcPr>
          <w:p>
            <w:pPr>
              <w:ind w:left="160"/>
              <w:spacing w:after="0"/>
              <w:rPr>
                <w:sz w:val="20"/>
                <w:szCs w:val="20"/>
                <w:color w:val="auto"/>
              </w:rPr>
            </w:pPr>
            <w:r>
              <w:rPr>
                <w:rFonts w:ascii="Arial" w:cs="Arial" w:eastAsia="Arial" w:hAnsi="Arial"/>
                <w:sz w:val="18"/>
                <w:szCs w:val="18"/>
                <w:i w:val="1"/>
                <w:iCs w:val="1"/>
                <w:color w:val="auto"/>
              </w:rPr>
              <w:t>BCB (2)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5,274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5,484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5,404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16,178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13,799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3260" w:type="dxa"/>
            <w:vAlign w:val="bottom"/>
            <w:gridSpan w:val="2"/>
            <w:shd w:val="clear" w:color="auto" w:fill="CCFFCC"/>
          </w:tcPr>
          <w:p>
            <w:pPr>
              <w:ind w:left="160"/>
              <w:spacing w:after="0"/>
              <w:rPr>
                <w:sz w:val="20"/>
                <w:szCs w:val="20"/>
                <w:color w:val="auto"/>
              </w:rPr>
            </w:pPr>
            <w:r>
              <w:rPr>
                <w:rFonts w:ascii="Arial" w:cs="Arial" w:eastAsia="Arial" w:hAnsi="Arial"/>
                <w:sz w:val="18"/>
                <w:szCs w:val="18"/>
                <w:i w:val="1"/>
                <w:iCs w:val="1"/>
                <w:color w:val="auto"/>
              </w:rPr>
              <w:t>Edyficar</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9,671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7,200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5,972</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24,604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18,188</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Pacifico Grupo Asegurador</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20,617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23,663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13,286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49,103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53,668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3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Atlantic Security Bank</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12,534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10,610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7,414</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34,696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31,929</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Prima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9,450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11,445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7,617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30,060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23,543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3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Credicorp Ltd. (3)</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(5,620)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3,515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326</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-260%</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-1822%</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(4,603)</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-2324%</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Others (4)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2,326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1,836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7,784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30"/>
        </w:trPr>
        <w:tc>
          <w:tcPr>
            <w:tcW w:w="32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227,531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171,946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170,900</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33%</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588,590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520,092</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Edyficar.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Total contribution to Credicorp is lower than BCB's net income due to the fact that Credicorp's ownership (directly and indirectly) on BCB is 97.7%.</w:t>
      </w:r>
    </w:p>
    <w:p>
      <w:pPr>
        <w:spacing w:after="0" w:line="20" w:lineRule="exact"/>
        <w:rPr>
          <w:rFonts w:ascii="Arial" w:cs="Arial" w:eastAsia="Arial" w:hAnsi="Arial"/>
          <w:sz w:val="17"/>
          <w:szCs w:val="17"/>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PGA's dividends, and other expenses at the holding company level.</w:t>
      </w:r>
    </w:p>
    <w:p>
      <w:pPr>
        <w:spacing w:after="0" w:line="9" w:lineRule="exact"/>
        <w:rPr>
          <w:rFonts w:ascii="Arial" w:cs="Arial" w:eastAsia="Arial" w:hAnsi="Arial"/>
          <w:sz w:val="18"/>
          <w:szCs w:val="18"/>
          <w:i w:val="1"/>
          <w:iCs w:val="1"/>
          <w:color w:val="auto"/>
        </w:rPr>
      </w:pPr>
    </w:p>
    <w:p>
      <w:pPr>
        <w:ind w:left="340" w:hanging="332"/>
        <w:spacing w:after="0" w:line="261"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Bolivia’s performance was good given the pressures in the Bolivian financial sector as the Bolivian government introduced higher taxes for financial institutions. Its net contribution to Credicorp totaled US$5.3 million. This represents a minor decline from the US$5.5 million posted in 2Q12, which was already affected by tax pressures. Organic growth was still sound at 4.3% for the Q and the retail business was the Bank’s strongest growth sector. Despite these pressures YTD numbers reflect a 17% increase in BCP Bolivia’s contribution to Credicorp, which totaled US$16.2 million.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Financiera Edyficar reported loan growth of 12.5% QoQ that topped US$ 659 million. This represented growth of 49.7% YoY that reflects continuous expansion and the fact that Edyficar’s market share in the sector has increased. This excellent growth also led to net income of US$ 9.9 million, which represents a 34.3% increase QoQ that was accompanied by a consistently good portfolio quality. YTD numbers also reflect this excellent performance: earnings are up 35.3% for the year. Given these good results, return on average equity (ROAE) in 3Q12 was situated at 29.9% with goodwill and 48.3% without goodwill.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ASB’s contribution to Credicorp this 3Q12 was US$ 12.5 million, up 18.1% vs. 2Q12’s earnings. The recovery is a clear reflection of improved market conditions. Therefore, ROAE for 3Q reached a sound 26.1%. YTD results reached US$34.7 million, up 8.7% from the previous year.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Pacifico’s insurance operations performed well. Net premium growth was strong and increased 7% for the Q. This contributed to better underwriting results for the insurance business (ex-medical services technical results), which improved significantly and were up 25% QoQ and 54.6% YoY. Technical results for medical services posted a loss of US$ 3.9 million but are expected to improve as the company fully implements its new strategy. As a result, Pacifico’s contribution to Credicorp dropped around US$3 million to US$20.6 million. The start-up of the new medical service-business model and the severe claims that PGA had to absorb at the beginning of the year explain the 9% drop in accumulated earnings for the YTD. This pressure keeps Pacifico’s ROAE at a relatively low level of 13.7%.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Prima’s contribution was down by 17% this 3Q to US$9.45 million due to reserves and costs related to the preparations to adjust to the new regulatory framework. Nevertheless, this result still reflects an excellent ROAE of 25.9%. It is worth mentioning that Prima won the first auction under this new system, thus ensuring the affiliation of all new comers until the end of the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Credicorp Ltd’s </w:t>
      </w:r>
      <w:r>
        <w:rPr>
          <w:rFonts w:ascii="Arial" w:cs="Arial" w:eastAsia="Arial" w:hAnsi="Arial"/>
          <w:sz w:val="18"/>
          <w:szCs w:val="18"/>
          <w:color w:val="auto"/>
        </w:rPr>
        <w:t>line mainly includes provisions for tax retention on dividends paid to Credicorp and interest on investments in specific Peruvian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at this time in the year are minimal. Therefore, tax provisions have no off-setting interest income and are almost fully reflected in this line which is therefore higher compared to 2Q.</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Others</w:t>
      </w:r>
      <w:r>
        <w:rPr>
          <w:rFonts w:ascii="Arial" w:cs="Arial" w:eastAsia="Arial" w:hAnsi="Arial"/>
          <w:sz w:val="16"/>
          <w:szCs w:val="16"/>
          <w:color w:val="auto"/>
        </w:rPr>
        <w:t xml:space="preserve"> account encompasses the holding’s different companies, including Grupo Crédito, which controls start-up operations such as Tarjeta Naranja.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Although these start-ups are still in the red, some interest income and translation gains helped generate a positive result of US$2.3 million for this account.</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Overall, Credicorp posted excellent growth once again this 3Q12. Its earnings expansion was robust and there is ample evidence the company has resumed the positive trends expected by Credicorp’s management.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Banco de Crédito del Perú 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3Q12</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BCP achieved magnificent results this Q that constitute record highs and prove that its strategy to capture the country’s potential for growth has been on-target. At the end of 3Q12, BCP’s net income totaled US$ 192 million, which represented significant growth of 50.3% QoQ that was reflected in excellent levels for ROAE (30.2%) and ROAA (2.4%).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and the accumulated results for 2012 also reveal noteworthy performance. In this context, net income increased 33.4% YoY and 18.8% with regard to January-September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BCP’s outstanding performance in 3Q2 was due primarily to:</w:t>
      </w:r>
    </w:p>
    <w:p>
      <w:pPr>
        <w:spacing w:after="0" w:line="225" w:lineRule="exact"/>
        <w:rPr>
          <w:sz w:val="20"/>
          <w:szCs w:val="20"/>
          <w:color w:val="auto"/>
        </w:rPr>
      </w:pPr>
    </w:p>
    <w:p>
      <w:pPr>
        <w:jc w:val="both"/>
        <w:ind w:left="66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Noteworthy growth of 7.9% QoQ in net interest income (NII), primarily due to 5.8% expansion in the loan portfolio, which was in turn attributable to the excellent dynamic seen in all the business’s segments. The increase reported in net interest income offset higher interest expenses (+11.7%), which were associated with growth in due to banks and correspondents and derivative positions held by the business in Colombia;</w:t>
      </w:r>
    </w:p>
    <w:p>
      <w:pPr>
        <w:spacing w:after="0" w:line="146" w:lineRule="exact"/>
        <w:rPr>
          <w:rFonts w:ascii="Arial" w:cs="Arial" w:eastAsia="Arial" w:hAnsi="Arial"/>
          <w:sz w:val="16"/>
          <w:szCs w:val="16"/>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significant 13.9% QoQ increase in non-financial income, which was primarily due to +13.9% expansion QoQ in fee income and higher gains on sales of securities after the bank sold the positions it had taken in sovereign bonds in 2Q12 to take advantage of the market juncture;</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Translation gains for US$ 27.8 million, which compares favorably with the loss of US$ 3.1 million reported in 2Q12. This was attributable to the 2.7% appreciation of the Nuevo Sol against the US Dollar in 3Q12, which contrasts with the 0.2% depreciation reported in 2Q12;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total provisions for loan losses given that the growth in the past due portfolio has slowed.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aforementioned helped offset the 11% QoQ increase in operating expenses due to an increase in salaries and employee benefits (+11% QoQ) and administrative expenses (+13.9% QoQ). The increase in salaries and employee benefits is due primarily to the higher number of employees (Retail Banking expansion, acquisition of Correval and IM Trust) but is also attributable to the appreciation of the Nuevo Sol given that salaries are denominated in local currency. The increase in general and administrative expenses is primarily due to the network expansion; outsourcing of IT and call center; the significant increase of transaction volume; as well as the effect of the Nuevo Sol’s appreciation.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Banco de Credito and Subsidiaries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3Q11</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 12 / Sep 11</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382,426</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354,295</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302,463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26.4%</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1,079,220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860,295</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(94,604)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(111,091)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(42,960)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120.2%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(275,537)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(145,023)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247,991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217,719</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181,379</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36.7%</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664,409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510,924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 (1)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(313,443)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(282,343)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(237,182)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(853,035)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(682,555)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222,370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178,580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203,700</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24.5%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615,057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543,641</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3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Core operating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222,370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178,580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203,700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615,057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543,641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Non core operating income (3)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27,799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(3,062)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(6,622)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1007.9%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519.8%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36,151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6,961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(55,980)</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(47,965)</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(53,001)</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16.7%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5.6%</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(158,599)</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(137,182)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192,048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127,735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143,964</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50.3%</w:t>
            </w:r>
          </w:p>
        </w:tc>
        <w:tc>
          <w:tcPr>
            <w:tcW w:w="22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33.4%</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490,402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412,929</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18.8%</w:t>
            </w:r>
          </w:p>
        </w:tc>
        <w:tc>
          <w:tcPr>
            <w:tcW w:w="0" w:type="dxa"/>
            <w:vAlign w:val="bottom"/>
          </w:tcPr>
          <w:p>
            <w:pPr>
              <w:spacing w:after="0"/>
              <w:rPr>
                <w:sz w:val="1"/>
                <w:szCs w:val="1"/>
                <w:color w:val="auto"/>
              </w:rPr>
            </w:pPr>
          </w:p>
        </w:tc>
      </w:tr>
      <w:tr>
        <w:trPr>
          <w:trHeight w:val="142"/>
        </w:trPr>
        <w:tc>
          <w:tcPr>
            <w:tcW w:w="32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 share (US$)</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0.060</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0.040</w:t>
            </w:r>
          </w:p>
        </w:tc>
        <w:tc>
          <w:tcPr>
            <w:tcW w:w="2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0.045</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50.3</w:t>
            </w:r>
          </w:p>
        </w:tc>
        <w:tc>
          <w:tcPr>
            <w:tcW w:w="260" w:type="dxa"/>
            <w:vAlign w:val="bottom"/>
            <w:tcBorders>
              <w:top w:val="single" w:sz="8" w:color="CCFFCC"/>
            </w:tcBorders>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33.4</w:t>
            </w:r>
          </w:p>
        </w:tc>
        <w:tc>
          <w:tcPr>
            <w:tcW w:w="260" w:type="dxa"/>
            <w:vAlign w:val="bottom"/>
            <w:tcBorders>
              <w:top w:val="single" w:sz="8" w:color="CCFFCC"/>
            </w:tcBorders>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0.154</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0.130</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18.8</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220" w:type="dxa"/>
            <w:vAlign w:val="bottom"/>
            <w:gridSpan w:val="2"/>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19,672,680</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18,599,092</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15,998,891</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5.8%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23.0%</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19,672,680</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15,998,891</w:t>
            </w:r>
          </w:p>
        </w:tc>
        <w:tc>
          <w:tcPr>
            <w:tcW w:w="22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20,804,888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19,743,570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16,967,412</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22.6%</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20,804,888</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16,967,412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2,644,881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2,440,708</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2,149,132</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23.1%</w:t>
            </w:r>
          </w:p>
        </w:tc>
        <w:tc>
          <w:tcPr>
            <w:tcW w:w="780" w:type="dxa"/>
            <w:vAlign w:val="bottom"/>
          </w:tcPr>
          <w:p>
            <w:pPr>
              <w:jc w:val="right"/>
              <w:spacing w:after="0"/>
              <w:rPr>
                <w:sz w:val="20"/>
                <w:szCs w:val="20"/>
                <w:color w:val="auto"/>
              </w:rPr>
            </w:pPr>
            <w:r>
              <w:rPr>
                <w:rFonts w:ascii="Arial" w:cs="Arial" w:eastAsia="Arial" w:hAnsi="Arial"/>
                <w:sz w:val="14"/>
                <w:szCs w:val="14"/>
                <w:color w:val="auto"/>
              </w:rPr>
              <w:t>2,644,881</w:t>
            </w: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2,149,132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0"/>
        </w:trPr>
        <w:tc>
          <w:tcPr>
            <w:tcW w:w="322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Net financial margin</w:t>
            </w: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5.36%</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5.12%</w:t>
            </w:r>
          </w:p>
        </w:tc>
        <w:tc>
          <w:tcPr>
            <w:tcW w:w="10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5.05%</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5.25%</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4.80%</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48.9%</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30.2%</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27.0%</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NPL ratio (4)</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Coverage ratio of PDLs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192.9%</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NPLs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138.6%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139.1%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142.7%</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138.6%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142.7%</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BIS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337</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359</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337</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Agentes BCP</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5,479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5,419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4,417</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5,479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4,417</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1,752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1,647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1,384</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1,752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1,384</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2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21,249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19,556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17,964</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21,249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17,964</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-8890</wp:posOffset>
            </wp:positionV>
            <wp:extent cx="11404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-8890</wp:posOffset>
            </wp:positionV>
            <wp:extent cx="17837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7"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NPLs/Total loans.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evolution of net income was accompanied by an excellent figure for operating income, which increased 11% QoQ and 32.2% YoY. With this result, the Bank achieved, in accumulated terms, 13.1% growth with regard to the results achieved in the first 9 months of 2011.</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noteworthy evolution of operating income was due primarily to a significant 9.2% QoQ increase in core operating income and the strong expansion of NII in particular (+7.9% QoQ; +26.4% YoY; and +25.4% in accumulated terms). The latter was in turn attributable to continued dynamism in the local economy, which is reflected in loan growth of 5.8% QoQ and 23% YoY. Fee income also evolved satisfactorily (+13.9% QoQ, +30.3% YoY and +20.5% in accumulated terms) due to the excellent dynamic seen in Wholesale Banking and Retail Banking. Finally, gains on foreign currency transactions grew as a result of a very active FX market, which is in line with a relatively higher volatility of the exchange rate against the US Dollar.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Core income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Change %</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to date</w:t>
            </w: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 %</w:t>
            </w: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3Q12</w:t>
            </w:r>
          </w:p>
        </w:tc>
        <w:tc>
          <w:tcPr>
            <w:tcW w:w="20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3Q11</w:t>
            </w:r>
          </w:p>
        </w:tc>
        <w:tc>
          <w:tcPr>
            <w:tcW w:w="22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 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4"/>
                <w:szCs w:val="14"/>
                <w:color w:val="auto"/>
              </w:rPr>
            </w:pP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Sep 12 / Sep 11</w:t>
            </w:r>
          </w:p>
        </w:tc>
        <w:tc>
          <w:tcPr>
            <w:tcW w:w="12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and dividend income</w:t>
            </w: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382,426</w:t>
            </w: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354,295</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302,463</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7.9%</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ind w:left="220"/>
              <w:spacing w:after="0" w:line="142" w:lineRule="exact"/>
              <w:rPr>
                <w:sz w:val="20"/>
                <w:szCs w:val="20"/>
                <w:color w:val="auto"/>
              </w:rPr>
            </w:pPr>
            <w:r>
              <w:rPr>
                <w:rFonts w:ascii="Arial" w:cs="Arial" w:eastAsia="Arial" w:hAnsi="Arial"/>
                <w:sz w:val="14"/>
                <w:szCs w:val="14"/>
                <w:color w:val="auto"/>
              </w:rPr>
              <w:t>26.4%</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1,079,220</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860,295</w:t>
            </w:r>
          </w:p>
        </w:tc>
        <w:tc>
          <w:tcPr>
            <w:tcW w:w="220" w:type="dxa"/>
            <w:vAlign w:val="bottom"/>
            <w:shd w:val="clear" w:color="auto" w:fill="CCFFCC"/>
          </w:tcPr>
          <w:p>
            <w:pPr>
              <w:spacing w:after="0"/>
              <w:rPr>
                <w:sz w:val="12"/>
                <w:szCs w:val="12"/>
                <w:color w:val="auto"/>
              </w:rPr>
            </w:pPr>
          </w:p>
        </w:tc>
        <w:tc>
          <w:tcPr>
            <w:tcW w:w="1620" w:type="dxa"/>
            <w:vAlign w:val="bottom"/>
            <w:gridSpan w:val="2"/>
            <w:shd w:val="clear" w:color="auto" w:fill="CCFFCC"/>
          </w:tcPr>
          <w:p>
            <w:pPr>
              <w:ind w:left="1220"/>
              <w:spacing w:after="0" w:line="142" w:lineRule="exact"/>
              <w:rPr>
                <w:sz w:val="20"/>
                <w:szCs w:val="20"/>
                <w:color w:val="auto"/>
              </w:rPr>
            </w:pPr>
            <w:r>
              <w:rPr>
                <w:rFonts w:ascii="Arial" w:cs="Arial" w:eastAsia="Arial" w:hAnsi="Arial"/>
                <w:sz w:val="14"/>
                <w:szCs w:val="14"/>
                <w:color w:val="auto"/>
                <w:w w:val="95"/>
              </w:rPr>
              <w:t>25.4%</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Fee income, net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172,626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151,598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132,509</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13.9%</w:t>
            </w:r>
          </w:p>
        </w:tc>
        <w:tc>
          <w:tcPr>
            <w:tcW w:w="20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30.3%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466,209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386,741</w:t>
            </w:r>
          </w:p>
        </w:tc>
        <w:tc>
          <w:tcPr>
            <w:tcW w:w="1620" w:type="dxa"/>
            <w:vAlign w:val="bottom"/>
            <w:gridSpan w:val="2"/>
          </w:tcPr>
          <w:p>
            <w:pPr>
              <w:ind w:left="1220"/>
              <w:spacing w:after="0" w:line="149" w:lineRule="exact"/>
              <w:rPr>
                <w:sz w:val="20"/>
                <w:szCs w:val="20"/>
                <w:color w:val="auto"/>
              </w:rPr>
            </w:pPr>
            <w:r>
              <w:rPr>
                <w:rFonts w:ascii="Arial" w:cs="Arial" w:eastAsia="Arial" w:hAnsi="Arial"/>
                <w:sz w:val="14"/>
                <w:szCs w:val="14"/>
                <w:color w:val="auto"/>
                <w:w w:val="95"/>
              </w:rPr>
              <w:t>20.5%</w:t>
            </w: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gain on foreign exchange transactions</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44,948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43,650</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35,281</w:t>
            </w: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ind w:left="220"/>
              <w:spacing w:after="0"/>
              <w:rPr>
                <w:sz w:val="20"/>
                <w:szCs w:val="20"/>
                <w:color w:val="auto"/>
              </w:rPr>
            </w:pPr>
            <w:r>
              <w:rPr>
                <w:rFonts w:ascii="Arial" w:cs="Arial" w:eastAsia="Arial" w:hAnsi="Arial"/>
                <w:sz w:val="14"/>
                <w:szCs w:val="14"/>
                <w:color w:val="auto"/>
              </w:rPr>
              <w:t>27.4%</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127,928</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101,891</w:t>
            </w:r>
          </w:p>
        </w:tc>
        <w:tc>
          <w:tcPr>
            <w:tcW w:w="1620" w:type="dxa"/>
            <w:vAlign w:val="bottom"/>
            <w:gridSpan w:val="2"/>
            <w:shd w:val="clear" w:color="auto" w:fill="CCFFCC"/>
          </w:tcPr>
          <w:p>
            <w:pPr>
              <w:ind w:left="1220"/>
              <w:spacing w:after="0"/>
              <w:rPr>
                <w:sz w:val="20"/>
                <w:szCs w:val="20"/>
                <w:color w:val="auto"/>
              </w:rPr>
            </w:pPr>
            <w:r>
              <w:rPr>
                <w:rFonts w:ascii="Arial" w:cs="Arial" w:eastAsia="Arial" w:hAnsi="Arial"/>
                <w:sz w:val="14"/>
                <w:szCs w:val="14"/>
                <w:color w:val="auto"/>
                <w:w w:val="95"/>
              </w:rPr>
              <w:t>25.6%</w:t>
            </w:r>
          </w:p>
        </w:tc>
      </w:tr>
      <w:tr>
        <w:trPr>
          <w:trHeight w:val="142"/>
        </w:trPr>
        <w:tc>
          <w:tcPr>
            <w:tcW w:w="3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Core income</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600,000</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549,543</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470,253</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9.2</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87"/>
              </w:rPr>
              <w:t>27.6</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1,673,357</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1,348,927</w:t>
            </w:r>
          </w:p>
        </w:tc>
        <w:tc>
          <w:tcPr>
            <w:tcW w:w="220" w:type="dxa"/>
            <w:vAlign w:val="bottom"/>
          </w:tcPr>
          <w:p>
            <w:pPr>
              <w:spacing w:after="0"/>
              <w:rPr>
                <w:sz w:val="12"/>
                <w:szCs w:val="12"/>
                <w:color w:val="auto"/>
              </w:rPr>
            </w:pPr>
          </w:p>
        </w:tc>
        <w:tc>
          <w:tcPr>
            <w:tcW w:w="1500" w:type="dxa"/>
            <w:vAlign w:val="bottom"/>
            <w:tcBorders>
              <w:top w:val="single" w:sz="8" w:color="auto"/>
            </w:tcBorders>
          </w:tcPr>
          <w:p>
            <w:pPr>
              <w:ind w:left="1220"/>
              <w:spacing w:after="0" w:line="142" w:lineRule="exact"/>
              <w:rPr>
                <w:sz w:val="20"/>
                <w:szCs w:val="20"/>
                <w:color w:val="auto"/>
              </w:rPr>
            </w:pPr>
            <w:r>
              <w:rPr>
                <w:rFonts w:ascii="Arial" w:cs="Arial" w:eastAsia="Arial" w:hAnsi="Arial"/>
                <w:sz w:val="14"/>
                <w:szCs w:val="14"/>
                <w:b w:val="1"/>
                <w:bCs w:val="1"/>
                <w:color w:val="auto"/>
                <w:w w:val="87"/>
              </w:rPr>
              <w:t>24.1</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posted an increase of 11% QoQ that was primarily due to higher expenses for salaries and employee benefits (+11% QoQ) and general and administrative expenses (+13.9% QoQ), as previously mentioned.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aforementioned led to an efficiency ratio of 50.6%, which is slightly higher than the 49.8% posted in 2Q12. In accumulated terms, the efficiency ratio in the first nine months of 2012 was 49.3%, which represents an increase over the 48.4% reported for the same period in 2011. This evolution falls within the expected target range if we consider the expansion seen in distribution channels; the IT outsourcing (which should generate significant savings on investments in infrastructure over the time); growth in businesses such as Retail Banking and Investment Banking; increase in transactional activity; and the effect that an appreciation of the Nuevo Sol has had on expenses denominated in local currency.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During 3Q12, total assets grew +7.9% QoQ, which was in line with loan growth and an increase in Available Funds. Gross loans increased 5.8% QoQ, while average daily balances grew 6.6% QoQ. The outstanding quarterly evolution of loans was due to the excellent dynamism seen in all business segments, which led to the highest quarterly growth posted thus far this year; in fact, 3Q12’s growth rate even exceeded that reported for the same period in 2011. In Wholesale Banking, the recovery in loans in the Corporate Banking segment was noteworthy. This result was strengthened by dynamism posted throughout the year in Middle-Market Banking, which reported 5.1% QoQ growth in average daily balances. Retail Banking grew 8.4% QoQ and 34.6% YOY while Edyficar achieved growth of 11% QoQ in average daily balances.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YoY analysis, the increase in total assets (+26.8%) is also associated with the evolution of the loan portfolio (+23% in gross balances and +19.7% in average daily balances), which posted excellent performance in all segments: Wholesale Banking +8.7%, Retail Banking +34.6% and Edyficar +46.4%.</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Cash and due from banks recorded at the end of 3Q12 was in line with higher balances in overnight deposits with Central Bank (BCR) and the selling of a sovereign bond position as well as growth in deposits.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NIM rose from 5.12% to 5.36%. This was primarily due to a significant +7.9% QoQ increase in NII and to a slower paced increase in average interest earning assets (+3.1% QoQ). At the end of 3Q12 NIM on loans continued an upward trend, going from 8.07% to 8.12%; this was in line with the fact that Retail Banking’s share of total loans increased this Q (from approximately 48.4% in 2Q12 to approximately 49.2% in 3Q12, including Edyficar’s portfolio).</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increased 7.8% QoQ. This was due primarily to 5.4% growth QoQ in deposits, where the expansion in time deposits (+13.6% QoQ) and savings (+5.4% QoQ) was particularly noteworthy. The increase in due to banks and correspondents also contributed to this effect. The aforementioned led to a slight increase in the Bank’s funding cost, which went from 2.20% in 2Q12 to 2.26% in 3Q12. This result is associated with an increase in interest expenses on due to banks and correspondents and deposits.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terms of portfolio quality, the PDL ratio fell slightly (2 bps QoQ) to 1.78% while the PDL ratio at 90 days fell from 1.16%, where it has held steady throughout 2012, to 1.15%. The slight decline in the PDL ratio is due to the fact that growth of past-due loans has decelerated, which is attributable to an increase in write-offs. It is important to note that control over the PDL ratio for the credit card portfolio has improved due to the adjustments made in credit policies, which went into effect during the last quarter. Edyficar recovered its historic PDL ratio, going from 4.2% in 1Q12 to 4% in 3Q12.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Finally, total provisions for loan losses in 3Q12 fell YoY due to a deceleration in the growth rate of the past due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earning assets increased 7.1% QoQ, which is in line with growth in current loans (+5.8%) and an increase in deposits in BCR and other Banks (+24.7%).</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 %</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3Q11</w:t>
            </w:r>
          </w:p>
        </w:tc>
        <w:tc>
          <w:tcPr>
            <w:tcW w:w="2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5,703,623</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4,574,760</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4,054,084</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6,621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144,566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204,189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118,289</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4"/>
              </w:rPr>
              <w:t>-29.2%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4,313,659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4,492,280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3,979,007</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19,322,859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18,264,583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15,748,718</w:t>
            </w:r>
          </w:p>
        </w:tc>
        <w:tc>
          <w:tcPr>
            <w:tcW w:w="84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22.7%</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29,491,977</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27,542,433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23,907,098</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reported in interest earning assets, as we will explain in-depth later in this report, was associated with excellent loan growth. This expansion led to growth of 5.8% and 6.6% QoQ in current loans and average daily balances,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there was an increase in BCR and other Banks. This was due to higher balances in overnight deposits in BCR, the sale of sovereign bonds, as is evident in the drop in Investments Available for Sale, and in some trading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YoY analysis shows a solid +23.4% growth in interest earning assets that was primarily attributable to significant growth in current loans (+22.7% YoY).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end of 3Q12, total loans at BCP reached US$ 19,673 million, which represents 5.8% growth QoQ. This is the highest growth rate reported so far this year and also tops the level reported for the same quarter in 2011. The analysis of average daily balances stands as proof of the excellent evolution of the loan portfolio, which grew 6.6% QoQ. It is important to emphasize that all segments of the business evolved very favorably this quarter: Wholesale Banking +5.1% QoQ, Retail Banking +8.4% QoQ, and Edyficar +11% QoQ. It is important to consider that if we exclude the effect of the Nuevo Sol’s appreciation in the Q (+2.7%), growth rate for Retail Banking and Edyficar would be lower: 7.2% and 8.6%, respectively. However, the positive impact in growth numbers of the retail segments of this FX move is netted-out by the reverse effect on the Wholesale portfolio since local currency loans for this segment dropped.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YoY evolution also shows noteworthy dynamism in loans, which registered a 23% increase in total loan balances and 19.7% in average daily balances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figure shows the evolution of quarter-end balances and month-end average daily balances. It is evident that the upward trend seen earlier in the year remained in play during the third quarter, where September was the most dynamic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117475</wp:posOffset>
            </wp:positionV>
            <wp:extent cx="2830195" cy="1672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019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Source: BCP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 analysis of average daily balances by Banking segment indicates significant expansion in all segments.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Wholesale Banking reported a 5.1% increase QoQ, which represents the highest quarterly growth registered thus far this year and exceeds the figure posted for the same period last year. This result was attributable to an improvement in the dynamism observed in Corporate Banking (+4% QoQ), which was strengthened by the solid growth reported in the Middle-Market Banking’s portfolio (+6.8% QoQ) throughout this year. It is important to emphasize that the evolution of Corporate Banking is noteworthy given the increasingly prevalent trend toward using the capital markets as a financing alternative, a trend that will intensify in the coming years. Additionally, competition with foreign banks has intensified given that these institutions offer lower funding costs for two reasons: i) low international interest rates and ii) the fact that these banks are exempt from the high foreign currency reserve requirements that the BCR has imposed on local banks.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Retail Banking held on firmly to its position as growth leader in total loans, which is attributable to BCP’s on-target strategy to promote financial inclusion.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this translated into growth of 8.4% QoQ. Within Retail Banking, dynamism was observed in all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Edyficar performed extraordinarily this Q and reported 11% growth QoQ.</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000" w:type="dxa"/>
            <w:vAlign w:val="bottom"/>
            <w:gridSpan w:val="6"/>
          </w:tcPr>
          <w:p>
            <w:pPr>
              <w:ind w:left="280"/>
              <w:spacing w:after="0"/>
              <w:rPr>
                <w:sz w:val="20"/>
                <w:szCs w:val="20"/>
                <w:color w:val="auto"/>
              </w:rPr>
            </w:pPr>
            <w:r>
              <w:rPr>
                <w:rFonts w:ascii="Arial" w:cs="Arial" w:eastAsia="Arial" w:hAnsi="Arial"/>
                <w:sz w:val="18"/>
                <w:szCs w:val="18"/>
                <w:b w:val="1"/>
                <w:bCs w:val="1"/>
                <w:color w:val="auto"/>
              </w:rPr>
              <w:t>Average Daily Balances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9"/>
              </w:rPr>
              <w:t>TOTAL LOANS (1)</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5"/>
              </w:rPr>
              <w:t>(US$ million)</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3Q12</w:t>
            </w:r>
          </w:p>
        </w:tc>
        <w:tc>
          <w:tcPr>
            <w:tcW w:w="14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2Q12</w:t>
            </w:r>
          </w:p>
        </w:tc>
        <w:tc>
          <w:tcPr>
            <w:tcW w:w="14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3Q11</w:t>
            </w:r>
          </w:p>
        </w:tc>
        <w:tc>
          <w:tcPr>
            <w:tcW w:w="14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9,458.9</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9,000.0</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8,700.9</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5.1%</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860" w:type="dxa"/>
            <w:vAlign w:val="bottom"/>
          </w:tcPr>
          <w:p>
            <w:pPr>
              <w:jc w:val="right"/>
              <w:spacing w:after="0"/>
              <w:rPr>
                <w:sz w:val="20"/>
                <w:szCs w:val="20"/>
                <w:color w:val="auto"/>
              </w:rPr>
            </w:pPr>
            <w:r>
              <w:rPr>
                <w:rFonts w:ascii="Arial" w:cs="Arial" w:eastAsia="Arial" w:hAnsi="Arial"/>
                <w:sz w:val="18"/>
                <w:szCs w:val="18"/>
                <w:color w:val="auto"/>
              </w:rPr>
              <w:t>5,727.0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5,506.0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5,555.8</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3,732.0</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3,494.0</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3,145.1</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8,538.1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7,874.5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6,343.8</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3,068.8</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2,777.8</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2,217.5</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860" w:type="dxa"/>
            <w:vAlign w:val="bottom"/>
          </w:tcPr>
          <w:p>
            <w:pPr>
              <w:jc w:val="right"/>
              <w:spacing w:after="0"/>
              <w:rPr>
                <w:sz w:val="20"/>
                <w:szCs w:val="20"/>
                <w:color w:val="auto"/>
              </w:rPr>
            </w:pPr>
            <w:r>
              <w:rPr>
                <w:rFonts w:ascii="Arial" w:cs="Arial" w:eastAsia="Arial" w:hAnsi="Arial"/>
                <w:sz w:val="18"/>
                <w:szCs w:val="18"/>
                <w:color w:val="auto"/>
              </w:rPr>
              <w:t>2,895.0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2,708.2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2,253.3</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1,622.9</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1,490.6</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1,168.0</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860" w:type="dxa"/>
            <w:vAlign w:val="bottom"/>
          </w:tcPr>
          <w:p>
            <w:pPr>
              <w:jc w:val="right"/>
              <w:spacing w:after="0"/>
              <w:rPr>
                <w:sz w:val="20"/>
                <w:szCs w:val="20"/>
                <w:color w:val="auto"/>
              </w:rPr>
            </w:pPr>
            <w:r>
              <w:rPr>
                <w:rFonts w:ascii="Arial" w:cs="Arial" w:eastAsia="Arial" w:hAnsi="Arial"/>
                <w:sz w:val="18"/>
                <w:szCs w:val="18"/>
                <w:color w:val="auto"/>
              </w:rPr>
              <w:t>951.4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705.0</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622.4</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560.8</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425.1</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937.7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904.7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874.1</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19,557.0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18,340.0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16,343.9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6.6%</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-2540</wp:posOffset>
            </wp:positionV>
            <wp:extent cx="3164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1560" w:hanging="255"/>
        <w:spacing w:after="0"/>
        <w:tabs>
          <w:tab w:leader="none" w:pos="15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1300" w:right="5740" w:firstLine="5"/>
        <w:spacing w:after="0" w:line="261" w:lineRule="auto"/>
        <w:tabs>
          <w:tab w:leader="none" w:pos="15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 analysis by currency type indicates that the foreign currency portfolio (FC) reported an increase that was slightly above that posted for local currency (LC): 5.9% QoQ versus 5.4% QoQ for the LC portfolio.</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b w:val="1"/>
          <w:bCs w:val="1"/>
          <w:color w:val="auto"/>
        </w:rPr>
        <w:t>Average Daily Balances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Foreign Currency Loans (1)</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5"/>
          </w:tcPr>
          <w:p>
            <w:pPr>
              <w:jc w:val="center"/>
              <w:ind w:left="448"/>
              <w:spacing w:after="0" w:line="158" w:lineRule="exact"/>
              <w:rPr>
                <w:sz w:val="20"/>
                <w:szCs w:val="20"/>
                <w:color w:val="auto"/>
              </w:rPr>
            </w:pPr>
            <w:r>
              <w:rPr>
                <w:rFonts w:ascii="Arial" w:cs="Arial" w:eastAsia="Arial" w:hAnsi="Arial"/>
                <w:sz w:val="14"/>
                <w:szCs w:val="14"/>
                <w:i w:val="1"/>
                <w:iCs w:val="1"/>
                <w:color w:val="auto"/>
                <w:w w:val="94"/>
              </w:rPr>
              <w:t>(Nuevos Soles million)</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160"/>
              <w:spacing w:after="0" w:line="158" w:lineRule="exact"/>
              <w:rPr>
                <w:sz w:val="20"/>
                <w:szCs w:val="20"/>
                <w:color w:val="auto"/>
              </w:rPr>
            </w:pPr>
            <w:r>
              <w:rPr>
                <w:rFonts w:ascii="Arial" w:cs="Arial" w:eastAsia="Arial" w:hAnsi="Arial"/>
                <w:sz w:val="14"/>
                <w:szCs w:val="14"/>
                <w:i w:val="1"/>
                <w:iCs w:val="1"/>
                <w:color w:val="auto"/>
                <w:w w:val="99"/>
              </w:rPr>
              <w:t>(US$ million)</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3Q12</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3Q11</w:t>
            </w:r>
          </w:p>
        </w:tc>
        <w:tc>
          <w:tcPr>
            <w:tcW w:w="200" w:type="dxa"/>
            <w:vAlign w:val="bottom"/>
            <w:tcBorders>
              <w:bottom w:val="single" w:sz="8" w:color="CCFFC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3Q11</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5,297.5</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5,322.4</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5,746.5</w:t>
            </w:r>
          </w:p>
        </w:tc>
        <w:tc>
          <w:tcPr>
            <w:tcW w:w="2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-0.5%</w:t>
            </w:r>
          </w:p>
        </w:tc>
        <w:tc>
          <w:tcPr>
            <w:tcW w:w="9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-7.8%</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7,570.3</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7,133.9</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6,686.0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6.1%</w:t>
            </w:r>
          </w:p>
        </w:tc>
        <w:tc>
          <w:tcPr>
            <w:tcW w:w="9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3,111.7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3,210.3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3,836.5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-18.9%</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4,549.1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4,312.1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4,159.2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2,185.8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2,112.1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1,910.0</w:t>
            </w:r>
          </w:p>
        </w:tc>
        <w:tc>
          <w:tcPr>
            <w:tcW w:w="2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3,021.2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2,821.7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2,526.7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14,929.4</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13,914.4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11,121.7</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34.2%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2,855.3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2,693.3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2,303.1</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5,584.4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5,147.3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4,045.9</w:t>
            </w:r>
          </w:p>
        </w:tc>
        <w:tc>
          <w:tcPr>
            <w:tcW w:w="2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38.0%</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963.7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876.2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753.7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3,744.7</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3,466.3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2,887.7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1,461.4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1,411.6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1,201.7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3,373.8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3,160.4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2,475.4</w:t>
            </w:r>
          </w:p>
        </w:tc>
        <w:tc>
          <w:tcPr>
            <w:tcW w:w="2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36.3%</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331.3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308.3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266.5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2,226.5</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2,140.3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1,712.7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1,597.7</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1,470.8</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1,136.5</w:t>
            </w:r>
          </w:p>
        </w:tc>
        <w:tc>
          <w:tcPr>
            <w:tcW w:w="2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40.6%</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10.7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10.6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11.1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Others (2)</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125.1</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123.8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126.5</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889.8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858.4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828.1</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3.7%</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2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54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Consolidated total loans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21,949.7</w:t>
            </w:r>
          </w:p>
        </w:tc>
        <w:tc>
          <w:tcPr>
            <w:tcW w:w="2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20,831.4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18,131.2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21.1%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11,326.0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10,696.2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9,828.3</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5.9%</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5986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left="340" w:right="6980" w:hanging="332"/>
        <w:spacing w:after="0" w:line="261"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of the FC portfolio was led by Wholesale Banking, where growth in Corporate Banking was particularly noteworthy (+5.5% QoQ) following a series of leasing operations this quarter. Middle-Market banking increased +7.1% QoQ, in line with the excellent performance it has reported throughout this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FC portfolio, the expansion of Retail Banking loans comes from asset financing in SME (e.g. machinery whose price is denominated in US Dollar), and Private Banking consumer loans.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LC loan growth is associated with increase in Retail Banking loans, which reported significant 7.3% growth QoQ. Within this banking division, growth in the SME portfolio (+8.5% QoQ), Mortgage (+8% QoQ) and Consumer (+6.8% QoQ) is noteworthy.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micro-lending segment, Edyficar’s performance stands out given that it has achieved solid growth in total loans of 11% QoQ and 46.4% YoY (almost all in local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152400</wp:posOffset>
            </wp:positionV>
            <wp:extent cx="3927475" cy="19723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2747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September 2012, BCP consolidated continued to lead the market in terms of loans with a market share of 31.1%, which represents a 10.6 percentage point advantage over its closest competitor’s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at the end of September 2012, Corporate Banking’s market share posted an increase, going from 46.3% in June to 47.1% in September, while Middle-Market Banking posted a less significant increase (from 34.9% to 35.1%). Within Retail Banking, the segment that reported the most significant increase in market share QoQ was Credit Cards (from 21.1% to 21.6%).</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Dollarization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Peruvian economy continued to de-dollarize. During the last quarter, the Nuevo Sol appreciated 2.7% against the US Dollar. In this context, the share of LC loans in total loans totaled 43% at the end of 3Q12. The de-dollarization process is even more evident YoY, where LC loans increased their share in total loans by 270 bps, going from 40.3% to 43%. This result was in line with the 34.6% YoY growth reported in Retail Banking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114300</wp:posOffset>
            </wp:positionV>
            <wp:extent cx="3267075" cy="2169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6707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At the end of 3Q12, total liabilities grew 7.8%. This was primarily due to the 5.4% QoQ increase in deposits, which is in line with loan growth (+5.8%). In this context, the loan/deposit ratio remained relatively stable at 94.6% (vs. 94.2% in 2Q12).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3Q11</w:t>
            </w:r>
          </w:p>
        </w:tc>
        <w:tc>
          <w:tcPr>
            <w:tcW w:w="2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5,614,044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5,479,574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4,858,189</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1,335,369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1,360,863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1,473,318</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5,635,303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5,346,285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4,705,850</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6,260,989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5,513,461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4,441,832</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1,904,804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1,971,406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1,440,930</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54,379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71,981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47,293</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-24.5%</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20,804,888</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19,743,570</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16,967,412</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22.6</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tcPr>
          <w:p>
            <w:pPr>
              <w:jc w:val="right"/>
              <w:spacing w:after="0"/>
              <w:rPr>
                <w:sz w:val="20"/>
                <w:szCs w:val="20"/>
                <w:color w:val="auto"/>
              </w:rPr>
            </w:pPr>
            <w:r>
              <w:rPr>
                <w:rFonts w:ascii="Arial" w:cs="Arial" w:eastAsia="Arial" w:hAnsi="Arial"/>
                <w:sz w:val="18"/>
                <w:szCs w:val="18"/>
                <w:color w:val="auto"/>
              </w:rPr>
              <w:t>4,025,530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3,324,843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3,251,910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3,507,149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3,482,265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2,952,120</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2,071,431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1,661,205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785,885</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163.6%</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30,408,998</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28,211,883</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23,957,327</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7.8</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26.9</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deposits, which continued to be BCP’s main source of funding, grew 5.4% QoQ. This growth was led by time deposits, which grew 13.6% due to an increase in the FC deposits made by clients in the Corporate Banking segment.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It is important to note that core deposits (Demand, Savings and CTS) grew 2.3% QoQ. This was due primarily to expansion in savings deposits. In this context, core deposits participation in total deposits continues to be significant in 3Q12 (69.6%) despite a slight decline with regard to 2Q12’s figure (71.7%). This is due to significant dynamism in time deposits (+13.6% QoQ; +41% YoY) which, although not considered core to the organization, represent an additional source of financing in a context marked by strong expansion in the banking business.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The increase in other sources of funding (+13.7% QoQ) was due primarily to an increase in due to banks and correspondents (+21.1%) associated with new debts with Credicorp Remittances Inc. (CCR) and Commerzbank. The CCR loan is related to the securitization of BCP foreign remittances. Growth in other liabilities (+24.7%) is due to an increase in </w:t>
      </w:r>
      <w:r>
        <w:rPr>
          <w:rFonts w:ascii="Arial" w:cs="Arial" w:eastAsia="Arial" w:hAnsi="Arial"/>
          <w:sz w:val="17"/>
          <w:szCs w:val="17"/>
          <w:i w:val="1"/>
          <w:iCs w:val="1"/>
          <w:color w:val="auto"/>
        </w:rPr>
        <w:t>repo and simultaneous investments</w:t>
      </w:r>
      <w:r>
        <w:rPr>
          <w:rFonts w:ascii="Arial" w:cs="Arial" w:eastAsia="Arial" w:hAnsi="Arial"/>
          <w:sz w:val="17"/>
          <w:szCs w:val="17"/>
          <w:color w:val="auto"/>
        </w:rPr>
        <w:t xml:space="preserve"> at Correval for approximately US$ 215 million.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higher levels in other liabilities corresponds to the increase in the position of </w:t>
      </w:r>
      <w:r>
        <w:rPr>
          <w:rFonts w:ascii="Arial" w:cs="Arial" w:eastAsia="Arial" w:hAnsi="Arial"/>
          <w:sz w:val="18"/>
          <w:szCs w:val="18"/>
          <w:i w:val="1"/>
          <w:iCs w:val="1"/>
          <w:color w:val="auto"/>
        </w:rPr>
        <w:t>repo and simultaneous investments</w:t>
      </w:r>
      <w:r>
        <w:rPr>
          <w:rFonts w:ascii="Arial" w:cs="Arial" w:eastAsia="Arial" w:hAnsi="Arial"/>
          <w:sz w:val="18"/>
          <w:szCs w:val="18"/>
          <w:color w:val="auto"/>
        </w:rPr>
        <w:t xml:space="preserve"> of Correval, the consolidation of IM Trust other liabilities and income tax provision.</w:t>
      </w:r>
    </w:p>
    <w:p>
      <w:pPr>
        <w:spacing w:after="0" w:line="17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Bank’s funding cost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situated at 2.26% in 3Q12, which represents a 6 bps increase with regard to 2Q12 (2.20%). This result is primarily due to an increase in interest expenses on due to banks and correspondents as a result of CCR and Commerzbank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0</wp:posOffset>
            </wp:positionV>
            <wp:extent cx="4827905" cy="26327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2790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At the end of 3Q12, BCP continued to lead the market for deposits with a share of 32.7%. This tops the 32.1% share reported at the end of 2Q and reflects the 12 percentage point advantage that the Bank has over its closest competitor. BCP continues to maintain a solid lead in different deposit types both in LC and FC. This quarter is particularly noteworthy, the Bank’s market share of FC time deposits increased from 25.2% in June to 28.4% in 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120" w:hanging="112"/>
        <w:spacing w:after="0"/>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funding cost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18528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8528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196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43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8"/>
              </w:rPr>
              <w:t>Market share by type of deposit and currency</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Demand</w:t>
            </w: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Saving</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Time</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Severance</w:t>
            </w:r>
          </w:p>
        </w:tc>
      </w:tr>
      <w:tr>
        <w:trPr>
          <w:trHeight w:val="230"/>
        </w:trPr>
        <w:tc>
          <w:tcPr>
            <w:tcW w:w="1320" w:type="dxa"/>
            <w:vAlign w:val="bottom"/>
            <w:tcBorders>
              <w:bottom w:val="single" w:sz="8" w:color="CCFFCC"/>
            </w:tcBorders>
          </w:tcPr>
          <w:p>
            <w:pPr>
              <w:spacing w:after="0"/>
              <w:rPr>
                <w:sz w:val="20"/>
                <w:szCs w:val="20"/>
                <w:color w:val="auto"/>
              </w:rPr>
            </w:pPr>
          </w:p>
        </w:tc>
        <w:tc>
          <w:tcPr>
            <w:tcW w:w="44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2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deposits</w:t>
            </w:r>
          </w:p>
        </w:tc>
        <w:tc>
          <w:tcPr>
            <w:tcW w:w="22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deposits</w:t>
            </w:r>
          </w:p>
        </w:tc>
        <w:tc>
          <w:tcPr>
            <w:tcW w:w="24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indemnity</w:t>
            </w:r>
          </w:p>
        </w:tc>
        <w:tc>
          <w:tcPr>
            <w:tcW w:w="160" w:type="dxa"/>
            <w:vAlign w:val="bottom"/>
            <w:tcBorders>
              <w:bottom w:val="single" w:sz="8" w:color="CCFFCC"/>
            </w:tcBorders>
          </w:tcPr>
          <w:p>
            <w:pPr>
              <w:spacing w:after="0"/>
              <w:rPr>
                <w:sz w:val="20"/>
                <w:szCs w:val="20"/>
                <w:color w:val="auto"/>
              </w:rPr>
            </w:pPr>
          </w:p>
        </w:tc>
      </w:tr>
      <w:tr>
        <w:trPr>
          <w:trHeight w:val="210"/>
        </w:trPr>
        <w:tc>
          <w:tcPr>
            <w:tcW w:w="1320" w:type="dxa"/>
            <w:vAlign w:val="bottom"/>
            <w:shd w:val="clear" w:color="auto" w:fill="CCFFCC"/>
          </w:tcPr>
          <w:p>
            <w:pPr>
              <w:ind w:left="720"/>
              <w:spacing w:after="0"/>
              <w:rPr>
                <w:sz w:val="20"/>
                <w:szCs w:val="20"/>
                <w:color w:val="auto"/>
              </w:rPr>
            </w:pPr>
            <w:r>
              <w:rPr>
                <w:rFonts w:ascii="Arial" w:cs="Arial" w:eastAsia="Arial" w:hAnsi="Arial"/>
                <w:sz w:val="18"/>
                <w:szCs w:val="18"/>
                <w:color w:val="auto"/>
              </w:rPr>
              <w:t>LC</w:t>
            </w:r>
          </w:p>
        </w:tc>
        <w:tc>
          <w:tcPr>
            <w:tcW w:w="4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37.8%</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37.9%</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22.5%</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40.2%</w:t>
            </w:r>
          </w:p>
        </w:tc>
      </w:tr>
      <w:tr>
        <w:trPr>
          <w:trHeight w:val="218"/>
        </w:trPr>
        <w:tc>
          <w:tcPr>
            <w:tcW w:w="1320" w:type="dxa"/>
            <w:vAlign w:val="bottom"/>
          </w:tcPr>
          <w:p>
            <w:pPr>
              <w:ind w:left="740"/>
              <w:spacing w:after="0"/>
              <w:rPr>
                <w:sz w:val="20"/>
                <w:szCs w:val="20"/>
                <w:color w:val="auto"/>
              </w:rPr>
            </w:pPr>
            <w:r>
              <w:rPr>
                <w:rFonts w:ascii="Arial" w:cs="Arial" w:eastAsia="Arial" w:hAnsi="Arial"/>
                <w:sz w:val="18"/>
                <w:szCs w:val="18"/>
                <w:color w:val="auto"/>
              </w:rPr>
              <w:t>FC</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42.2%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r>
    </w:tbl>
    <w:p>
      <w:pPr>
        <w:ind w:left="200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de-dollarization-process of deposits accentuated in 3Q12. LC deposits represented 53.5% of total deposits, which tops the share of 50.9% reported in 2Q12. The aforementioned was due to an increase in time and savings deposits in LC. In the last twelve months, LC deposits’ share of total deposits increased from 49.3% to 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124460</wp:posOffset>
            </wp:positionV>
            <wp:extent cx="3249930" cy="2023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4993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120" w:type="dxa"/>
            <w:vAlign w:val="bottom"/>
            <w:gridSpan w:val="4"/>
          </w:tcPr>
          <w:p>
            <w:pPr>
              <w:ind w:left="140"/>
              <w:spacing w:after="0"/>
              <w:rPr>
                <w:sz w:val="20"/>
                <w:szCs w:val="20"/>
                <w:color w:val="auto"/>
              </w:rPr>
            </w:pPr>
            <w:r>
              <w:rPr>
                <w:rFonts w:ascii="Arial" w:cs="Arial" w:eastAsia="Arial" w:hAnsi="Arial"/>
                <w:sz w:val="18"/>
                <w:szCs w:val="18"/>
                <w:i w:val="1"/>
                <w:iCs w:val="1"/>
                <w:color w:val="auto"/>
              </w:rPr>
              <w:t>Source: BCP</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i w:val="1"/>
                <w:iCs w:val="1"/>
                <w:color w:val="auto"/>
              </w:rPr>
              <w:t>Mutual Funds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460" w:type="dxa"/>
            <w:vAlign w:val="bottom"/>
            <w:gridSpan w:val="2"/>
          </w:tcPr>
          <w:p>
            <w:pPr>
              <w:ind w:left="580"/>
              <w:spacing w:after="0"/>
              <w:rPr>
                <w:sz w:val="20"/>
                <w:szCs w:val="20"/>
                <w:color w:val="auto"/>
              </w:rPr>
            </w:pPr>
            <w:r>
              <w:rPr>
                <w:rFonts w:ascii="Arial" w:cs="Arial" w:eastAsia="Arial" w:hAnsi="Arial"/>
                <w:sz w:val="18"/>
                <w:szCs w:val="18"/>
                <w:b w:val="1"/>
                <w:bCs w:val="1"/>
                <w:color w:val="auto"/>
              </w:rPr>
              <w:t>Customer funds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2Q12</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3Q11</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4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2,570,569</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2,393,713</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2,095,211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58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Mutual funds in Bolivia</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84,106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95,726</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68,922</w:t>
            </w: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0"/>
        </w:trPr>
        <w:tc>
          <w:tcPr>
            <w:tcW w:w="580" w:type="dxa"/>
            <w:vAlign w:val="bottom"/>
          </w:tcPr>
          <w:p>
            <w:pPr>
              <w:spacing w:after="0"/>
              <w:rPr>
                <w:sz w:val="18"/>
                <w:szCs w:val="18"/>
                <w:color w:val="auto"/>
              </w:rPr>
            </w:pPr>
          </w:p>
        </w:tc>
        <w:tc>
          <w:tcPr>
            <w:tcW w:w="1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7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2,654,675</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2,489,439</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2,164,133</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Mutual funds in Peru grew 7.4% QoQ, which allowed Credifondo to maintain a position of absolute leadership in the market with a share of 40.9% in terms of FuM and 27.3% with regard to the number of participants. The volume managed by Credifondo in Bolivia reported a decline of 12.1% QoQ due to the fact that some local banks had to initiate redemptions to meet additional capital requirements to cover expansion in their portfolios. Finally, in annual terms, the evolution of the portfolio managed by Credifondo reported a total increase of 22.7%.</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NII increased 7.9% QoQ, which represents its highest growth rate thus far this year. This expansion was due primarily to significant growth in interest on loans, which is associated with excellent dynamism in loans in both Retail Banking and Wholesale Banking. This result helped offset an increase in financial expenses and spurred an increase of 24 bps in the NIM.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to date</w:t>
            </w:r>
          </w:p>
        </w:tc>
        <w:tc>
          <w:tcPr>
            <w:tcW w:w="11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Change %</w:t>
            </w:r>
          </w:p>
        </w:tc>
      </w:tr>
      <w:tr>
        <w:trPr>
          <w:trHeight w:val="17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6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2Q12</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3Q11</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Set 12</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Set 11</w:t>
            </w:r>
          </w:p>
        </w:tc>
        <w:tc>
          <w:tcPr>
            <w:tcW w:w="26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5"/>
              </w:rPr>
              <w:t>Set 12 / Set 11</w:t>
            </w:r>
          </w:p>
        </w:tc>
        <w:tc>
          <w:tcPr>
            <w:tcW w:w="140" w:type="dxa"/>
            <w:vAlign w:val="bottom"/>
            <w:tcBorders>
              <w:bottom w:val="single" w:sz="8" w:color="CCFFCC"/>
            </w:tcBorders>
          </w:tcPr>
          <w:p>
            <w:pPr>
              <w:spacing w:after="0"/>
              <w:rPr>
                <w:sz w:val="14"/>
                <w:szCs w:val="14"/>
                <w:color w:val="auto"/>
              </w:rPr>
            </w:pPr>
          </w:p>
        </w:tc>
      </w:tr>
      <w:tr>
        <w:trPr>
          <w:trHeight w:val="142"/>
        </w:trPr>
        <w:tc>
          <w:tcPr>
            <w:tcW w:w="296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558,570</w:t>
            </w: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511,980</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433,949</w:t>
            </w:r>
          </w:p>
        </w:tc>
        <w:tc>
          <w:tcPr>
            <w:tcW w:w="2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9.1%</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28.7%</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1,558,199</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1,239,995</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25.7%</w:t>
            </w:r>
          </w:p>
        </w:tc>
      </w:tr>
      <w:tr>
        <w:trPr>
          <w:trHeight w:val="149"/>
        </w:trPr>
        <w:tc>
          <w:tcPr>
            <w:tcW w:w="3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497,702</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459,699</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393,955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1,388,563</w:t>
            </w:r>
          </w:p>
        </w:tc>
        <w:tc>
          <w:tcPr>
            <w:tcW w:w="26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1,100,522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w:t>
            </w:r>
          </w:p>
        </w:tc>
      </w:tr>
      <w:tr>
        <w:trPr>
          <w:trHeight w:val="149"/>
        </w:trPr>
        <w:tc>
          <w:tcPr>
            <w:tcW w:w="306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and dividends on investments</w:t>
            </w:r>
          </w:p>
        </w:tc>
        <w:tc>
          <w:tcPr>
            <w:tcW w:w="10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(166)</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433</w:t>
            </w:r>
          </w:p>
        </w:tc>
        <w:tc>
          <w:tcPr>
            <w:tcW w:w="2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110</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-138.3%</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-250.9%</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6,659</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5,802</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14.8%</w:t>
            </w:r>
          </w:p>
        </w:tc>
      </w:tr>
      <w:tr>
        <w:trPr>
          <w:trHeight w:val="149"/>
        </w:trPr>
        <w:tc>
          <w:tcPr>
            <w:tcW w:w="3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12,142</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8,730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5,145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39.1%</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136.0%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29,491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35,300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w:t>
            </w:r>
          </w:p>
        </w:tc>
      </w:tr>
      <w:tr>
        <w:trPr>
          <w:trHeight w:val="149"/>
        </w:trPr>
        <w:tc>
          <w:tcPr>
            <w:tcW w:w="306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39,133</w:t>
            </w:r>
          </w:p>
        </w:tc>
        <w:tc>
          <w:tcPr>
            <w:tcW w:w="100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40,480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34,429</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13.7%</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118,619</w:t>
            </w:r>
          </w:p>
        </w:tc>
        <w:tc>
          <w:tcPr>
            <w:tcW w:w="2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85,689</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38.4%</w:t>
            </w:r>
          </w:p>
        </w:tc>
      </w:tr>
      <w:tr>
        <w:trPr>
          <w:trHeight w:val="149"/>
        </w:trPr>
        <w:tc>
          <w:tcPr>
            <w:tcW w:w="3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9,759</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2,638</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310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269.9%</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3048.1%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14,867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12,682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w:t>
            </w:r>
          </w:p>
        </w:tc>
      </w:tr>
      <w:tr>
        <w:trPr>
          <w:trHeight w:val="149"/>
        </w:trPr>
        <w:tc>
          <w:tcPr>
            <w:tcW w:w="30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176,144</w:t>
            </w:r>
          </w:p>
        </w:tc>
        <w:tc>
          <w:tcPr>
            <w:tcW w:w="100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157,685</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131,486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11.7%</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34.0%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478,979</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379,700</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26.1%</w:t>
            </w:r>
          </w:p>
        </w:tc>
      </w:tr>
      <w:tr>
        <w:trPr>
          <w:trHeight w:val="149"/>
        </w:trPr>
        <w:tc>
          <w:tcPr>
            <w:tcW w:w="3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64,037</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61,285</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48,608</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181,965</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135,852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w:t>
            </w:r>
          </w:p>
        </w:tc>
      </w:tr>
      <w:tr>
        <w:trPr>
          <w:trHeight w:val="149"/>
        </w:trPr>
        <w:tc>
          <w:tcPr>
            <w:tcW w:w="306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35,621</w:t>
            </w:r>
          </w:p>
        </w:tc>
        <w:tc>
          <w:tcPr>
            <w:tcW w:w="100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29,991</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31,447</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18.8%</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13.3%</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93,727</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97,725</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49"/>
        </w:trPr>
        <w:tc>
          <w:tcPr>
            <w:tcW w:w="3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bonds and subordinated note</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55,566</w:t>
            </w:r>
          </w:p>
        </w:tc>
        <w:tc>
          <w:tcPr>
            <w:tcW w:w="10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54,230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42,963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159,873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120,570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w:t>
            </w:r>
          </w:p>
        </w:tc>
      </w:tr>
      <w:tr>
        <w:trPr>
          <w:trHeight w:val="162"/>
        </w:trPr>
        <w:tc>
          <w:tcPr>
            <w:tcW w:w="306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Other interest expense</w:t>
            </w: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20,920</w:t>
            </w:r>
          </w:p>
        </w:tc>
        <w:tc>
          <w:tcPr>
            <w:tcW w:w="100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12,179</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8,468</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71.8%</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147.0%</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43,414</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25,553</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69.9%</w:t>
            </w:r>
          </w:p>
        </w:tc>
      </w:tr>
      <w:tr>
        <w:trPr>
          <w:trHeight w:val="142"/>
        </w:trPr>
        <w:tc>
          <w:tcPr>
            <w:tcW w:w="306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382,426</w:t>
            </w:r>
          </w:p>
        </w:tc>
        <w:tc>
          <w:tcPr>
            <w:tcW w:w="260" w:type="dxa"/>
            <w:vAlign w:val="bottom"/>
            <w:tcBorders>
              <w:bottom w:val="single" w:sz="8" w:color="CCFFCC"/>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354,295</w:t>
            </w:r>
          </w:p>
        </w:tc>
        <w:tc>
          <w:tcPr>
            <w:tcW w:w="26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302,463</w:t>
            </w:r>
          </w:p>
        </w:tc>
        <w:tc>
          <w:tcPr>
            <w:tcW w:w="26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26.4</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1,079,220</w:t>
            </w:r>
          </w:p>
        </w:tc>
        <w:tc>
          <w:tcPr>
            <w:tcW w:w="26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860,295</w:t>
            </w:r>
          </w:p>
        </w:tc>
        <w:tc>
          <w:tcPr>
            <w:tcW w:w="260" w:type="dxa"/>
            <w:vAlign w:val="bottom"/>
            <w:tcBorders>
              <w:bottom w:val="single" w:sz="8" w:color="CCFFCC"/>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25.4</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306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7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28,517,205</w:t>
            </w:r>
          </w:p>
        </w:tc>
        <w:tc>
          <w:tcPr>
            <w:tcW w:w="260" w:type="dxa"/>
            <w:vAlign w:val="bottom"/>
            <w:shd w:val="clear" w:color="auto" w:fill="CCFFCC"/>
          </w:tcPr>
          <w:p>
            <w:pPr>
              <w:spacing w:after="0"/>
              <w:rPr>
                <w:sz w:val="12"/>
                <w:szCs w:val="12"/>
                <w:color w:val="auto"/>
              </w:rPr>
            </w:pPr>
          </w:p>
        </w:tc>
        <w:tc>
          <w:tcPr>
            <w:tcW w:w="7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27,660,901</w:t>
            </w:r>
          </w:p>
        </w:tc>
        <w:tc>
          <w:tcPr>
            <w:tcW w:w="26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23,973,040</w:t>
            </w:r>
          </w:p>
        </w:tc>
        <w:tc>
          <w:tcPr>
            <w:tcW w:w="26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auto"/>
            </w:tcBorders>
            <w:shd w:val="clear" w:color="auto" w:fill="CCFFCC"/>
          </w:tcPr>
          <w:p>
            <w:pPr>
              <w:spacing w:after="0"/>
              <w:rPr>
                <w:sz w:val="12"/>
                <w:szCs w:val="12"/>
                <w:color w:val="auto"/>
              </w:rPr>
            </w:pPr>
          </w:p>
        </w:tc>
        <w:tc>
          <w:tcPr>
            <w:tcW w:w="5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20.4</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27,400,361</w:t>
            </w:r>
          </w:p>
        </w:tc>
        <w:tc>
          <w:tcPr>
            <w:tcW w:w="26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23,898,408</w:t>
            </w:r>
          </w:p>
        </w:tc>
        <w:tc>
          <w:tcPr>
            <w:tcW w:w="260" w:type="dxa"/>
            <w:vAlign w:val="bottom"/>
            <w:shd w:val="clear" w:color="auto" w:fill="CCFFCC"/>
          </w:tcPr>
          <w:p>
            <w:pPr>
              <w:spacing w:after="0"/>
              <w:rPr>
                <w:sz w:val="12"/>
                <w:szCs w:val="12"/>
                <w:color w:val="auto"/>
              </w:rPr>
            </w:pPr>
          </w:p>
        </w:tc>
        <w:tc>
          <w:tcPr>
            <w:tcW w:w="10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15.4</w:t>
            </w:r>
          </w:p>
        </w:tc>
        <w:tc>
          <w:tcPr>
            <w:tcW w:w="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56"/>
        </w:trPr>
        <w:tc>
          <w:tcPr>
            <w:tcW w:w="3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interest margin*</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5.36</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5.12</w:t>
            </w:r>
          </w:p>
        </w:tc>
        <w:tc>
          <w:tcPr>
            <w:tcW w:w="2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5.05</w:t>
            </w:r>
          </w:p>
        </w:tc>
        <w:tc>
          <w:tcPr>
            <w:tcW w:w="2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5.25</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4.80</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3060" w:type="dxa"/>
            <w:vAlign w:val="bottom"/>
            <w:gridSpan w:val="2"/>
          </w:tcPr>
          <w:p>
            <w:pPr>
              <w:spacing w:after="0"/>
              <w:rPr>
                <w:sz w:val="20"/>
                <w:szCs w:val="20"/>
                <w:color w:val="auto"/>
              </w:rPr>
            </w:pPr>
            <w:r>
              <w:rPr>
                <w:rFonts w:ascii="Arial" w:cs="Arial" w:eastAsia="Arial" w:hAnsi="Arial"/>
                <w:sz w:val="14"/>
                <w:szCs w:val="14"/>
                <w:i w:val="1"/>
                <w:iCs w:val="1"/>
                <w:color w:val="auto"/>
              </w:rPr>
              <w:t>*Annualized.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NII rose 7.9% QoQ, which was due primarily to a significant 8.3% increase in interest on loans due to noteworthy growth in total loans (+5.8%). Loan growth was in turn a result of the excellent evolution of Retail Banking loans (+8.4% QoQ) and an improvement in Wholesale Banking portfolio, which this quarter in particular increase +5.1% QoQ. It is important to indicate that although Wholesale Banking loans have posted less growth than Retail Banking, interest on loans generation from Wholesale Banking has evolved favorably throughout the year and is topping the levels generated in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the other hand, the increase in interest income on deposits was the result of higher level of overnight deposits in BCR.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offset:</w:t>
      </w:r>
    </w:p>
    <w:p>
      <w:pPr>
        <w:spacing w:after="0" w:line="225"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interest on loans from due to banks and correspondents (+18.8%) associated with the CCR (securitization of remittances from abroad) and Commerzbank transactions.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Growth in other interest expenses (+71.8%) was attributable primarily to a negative yield on Correval’s derivative instruments, which is partially attenuated by the hedge position that generated income recorded in </w:t>
      </w:r>
      <w:r>
        <w:rPr>
          <w:rFonts w:ascii="Arial" w:cs="Arial" w:eastAsia="Arial" w:hAnsi="Arial"/>
          <w:sz w:val="18"/>
          <w:szCs w:val="18"/>
          <w:i w:val="1"/>
          <w:iCs w:val="1"/>
          <w:color w:val="auto"/>
        </w:rPr>
        <w:t>Other interest income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interest income on deposits (+4.5%) as a result of growth in deposits, mainly in time deposits.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regard to NIM, given that average interest earning assets this quarter increased slightly (+3.1% QoQ) and interest income grew significantly (+9.1% QoQ), the margin increased from 5.12% at the end of 2Q12 to 5.36% at the end of 3Q11(+25 bps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line with significant expansion in interest on loans, which explains much of the growth posted in NII, the NIM on loans increased from 8.07% at the end of 2Q12 to 8.12% at the close of 3Q12, which represents growth of only 5 bps. This result starts reflecting the price adjustments in Retail Banking made in this quarter, whose impact will only be fully appreciated next quarter.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2224405</wp:posOffset>
            </wp:positionH>
            <wp:positionV relativeFrom="page">
              <wp:posOffset>568960</wp:posOffset>
            </wp:positionV>
            <wp:extent cx="5179695" cy="2315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7969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II.4 Past Due Portfolio and Total provisions for loan losses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Total provisions for loan losses fell 14.8% QoQ to a deceleration in growth in the past due portfolio. The standard PDL ratio and the PDL ratio at 90 days reported slight declines and were situated at 1.78% and 1.15%,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3Q12</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2Q12</w:t>
            </w:r>
          </w:p>
        </w:tc>
        <w:tc>
          <w:tcPr>
            <w:tcW w:w="3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3Q11</w:t>
            </w:r>
          </w:p>
        </w:tc>
        <w:tc>
          <w:tcPr>
            <w:tcW w:w="28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(106,485)</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(122,741)</w:t>
            </w:r>
          </w:p>
        </w:tc>
        <w:tc>
          <w:tcPr>
            <w:tcW w:w="300" w:type="dxa"/>
            <w:vAlign w:val="bottom"/>
            <w:shd w:val="clear" w:color="auto" w:fill="CCFFCC"/>
          </w:tcPr>
          <w:p>
            <w:pPr>
              <w:spacing w:after="0"/>
              <w:rPr>
                <w:sz w:val="18"/>
                <w:szCs w:val="18"/>
                <w:color w:val="auto"/>
              </w:rPr>
            </w:pPr>
          </w:p>
        </w:tc>
        <w:tc>
          <w:tcPr>
            <w:tcW w:w="12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(54,219)</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11,881</w:t>
            </w:r>
          </w:p>
        </w:tc>
        <w:tc>
          <w:tcPr>
            <w:tcW w:w="1220" w:type="dxa"/>
            <w:vAlign w:val="bottom"/>
          </w:tcPr>
          <w:p>
            <w:pPr>
              <w:jc w:val="right"/>
              <w:spacing w:after="0"/>
              <w:rPr>
                <w:sz w:val="20"/>
                <w:szCs w:val="20"/>
                <w:color w:val="auto"/>
              </w:rPr>
            </w:pPr>
            <w:r>
              <w:rPr>
                <w:rFonts w:ascii="Arial" w:cs="Arial" w:eastAsia="Arial" w:hAnsi="Arial"/>
                <w:sz w:val="18"/>
                <w:szCs w:val="18"/>
                <w:color w:val="auto"/>
              </w:rPr>
              <w:t>11,650</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11,259</w:t>
            </w:r>
          </w:p>
        </w:tc>
        <w:tc>
          <w:tcPr>
            <w:tcW w:w="280" w:type="dxa"/>
            <w:vAlign w:val="bottom"/>
          </w:tcPr>
          <w:p>
            <w:pPr>
              <w:spacing w:after="0"/>
              <w:rPr>
                <w:sz w:val="19"/>
                <w:szCs w:val="19"/>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39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(94,604</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(111,091</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(42,960</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-14.8</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120.2</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Annualized net provisions / Total loans*</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1.9%</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2.4%</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16"/>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 Net Interest Income</w:t>
            </w:r>
          </w:p>
        </w:tc>
        <w:tc>
          <w:tcPr>
            <w:tcW w:w="15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31.4%</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14.2%</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19,672,680</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18,599,092</w:t>
            </w:r>
          </w:p>
        </w:tc>
        <w:tc>
          <w:tcPr>
            <w:tcW w:w="1240" w:type="dxa"/>
            <w:vAlign w:val="bottom"/>
          </w:tcPr>
          <w:p>
            <w:pPr>
              <w:jc w:val="right"/>
              <w:spacing w:after="0"/>
              <w:rPr>
                <w:sz w:val="20"/>
                <w:szCs w:val="20"/>
                <w:color w:val="auto"/>
              </w:rPr>
            </w:pPr>
            <w:r>
              <w:rPr>
                <w:rFonts w:ascii="Arial" w:cs="Arial" w:eastAsia="Arial" w:hAnsi="Arial"/>
                <w:sz w:val="18"/>
                <w:szCs w:val="18"/>
                <w:color w:val="auto"/>
              </w:rPr>
              <w:t>15,998,891</w:t>
            </w:r>
          </w:p>
        </w:tc>
        <w:tc>
          <w:tcPr>
            <w:tcW w:w="280" w:type="dxa"/>
            <w:vAlign w:val="bottom"/>
          </w:tcPr>
          <w:p>
            <w:pPr>
              <w:spacing w:after="0"/>
              <w:rPr>
                <w:sz w:val="19"/>
                <w:szCs w:val="19"/>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10"/>
        </w:trPr>
        <w:tc>
          <w:tcPr>
            <w:tcW w:w="39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669,756</w:t>
            </w:r>
          </w:p>
        </w:tc>
        <w:tc>
          <w:tcPr>
            <w:tcW w:w="3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625,293</w:t>
            </w:r>
          </w:p>
        </w:tc>
        <w:tc>
          <w:tcPr>
            <w:tcW w:w="3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482,457</w:t>
            </w:r>
          </w:p>
        </w:tc>
        <w:tc>
          <w:tcPr>
            <w:tcW w:w="28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9"/>
              </w:rPr>
              <w:t>%</w:t>
            </w:r>
          </w:p>
        </w:tc>
      </w:tr>
      <w:tr>
        <w:trPr>
          <w:trHeight w:val="210"/>
        </w:trPr>
        <w:tc>
          <w:tcPr>
            <w:tcW w:w="39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68,284</w:t>
            </w:r>
          </w:p>
        </w:tc>
        <w:tc>
          <w:tcPr>
            <w:tcW w:w="30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56,781</w:t>
            </w:r>
          </w:p>
        </w:tc>
        <w:tc>
          <w:tcPr>
            <w:tcW w:w="30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38,871</w:t>
            </w:r>
          </w:p>
        </w:tc>
        <w:tc>
          <w:tcPr>
            <w:tcW w:w="28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r>
      <w:tr>
        <w:trPr>
          <w:trHeight w:val="210"/>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349,821</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334,509</w:t>
            </w:r>
          </w:p>
        </w:tc>
        <w:tc>
          <w:tcPr>
            <w:tcW w:w="300" w:type="dxa"/>
            <w:vAlign w:val="bottom"/>
            <w:shd w:val="clear" w:color="auto" w:fill="CCFFCC"/>
          </w:tcPr>
          <w:p>
            <w:pPr>
              <w:spacing w:after="0"/>
              <w:rPr>
                <w:sz w:val="18"/>
                <w:szCs w:val="18"/>
                <w:color w:val="auto"/>
              </w:rPr>
            </w:pPr>
          </w:p>
        </w:tc>
        <w:tc>
          <w:tcPr>
            <w:tcW w:w="12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250,173</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Refinanced and restructured loans (RRL)</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133,442</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114,861</w:t>
            </w:r>
          </w:p>
        </w:tc>
        <w:tc>
          <w:tcPr>
            <w:tcW w:w="1240" w:type="dxa"/>
            <w:vAlign w:val="bottom"/>
          </w:tcPr>
          <w:p>
            <w:pPr>
              <w:jc w:val="right"/>
              <w:spacing w:after="0"/>
              <w:rPr>
                <w:sz w:val="20"/>
                <w:szCs w:val="20"/>
                <w:color w:val="auto"/>
              </w:rPr>
            </w:pPr>
            <w:r>
              <w:rPr>
                <w:rFonts w:ascii="Arial" w:cs="Arial" w:eastAsia="Arial" w:hAnsi="Arial"/>
                <w:sz w:val="18"/>
                <w:szCs w:val="18"/>
                <w:color w:val="auto"/>
              </w:rPr>
              <w:t>87,983</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Non-performing loans (NPLs)</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483,263</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449,370</w:t>
            </w:r>
          </w:p>
        </w:tc>
        <w:tc>
          <w:tcPr>
            <w:tcW w:w="300" w:type="dxa"/>
            <w:vAlign w:val="bottom"/>
            <w:shd w:val="clear" w:color="auto" w:fill="CCFFCC"/>
          </w:tcPr>
          <w:p>
            <w:pPr>
              <w:spacing w:after="0"/>
              <w:rPr>
                <w:sz w:val="19"/>
                <w:szCs w:val="19"/>
                <w:color w:val="auto"/>
              </w:rPr>
            </w:pPr>
          </w:p>
        </w:tc>
        <w:tc>
          <w:tcPr>
            <w:tcW w:w="12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338,156</w:t>
            </w:r>
          </w:p>
        </w:tc>
        <w:tc>
          <w:tcPr>
            <w:tcW w:w="28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39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PDL ratio at 90 days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CCFFCC"/>
            </w:tcBorders>
          </w:tcPr>
          <w:p>
            <w:pPr>
              <w:spacing w:after="0"/>
              <w:rPr>
                <w:sz w:val="19"/>
                <w:szCs w:val="19"/>
                <w:color w:val="auto"/>
              </w:rPr>
            </w:pPr>
          </w:p>
        </w:tc>
        <w:tc>
          <w:tcPr>
            <w:tcW w:w="300" w:type="dxa"/>
            <w:vAlign w:val="bottom"/>
            <w:tcBorders>
              <w:bottom w:val="single" w:sz="8" w:color="CCFFCC"/>
            </w:tcBorders>
          </w:tcPr>
          <w:p>
            <w:pPr>
              <w:spacing w:after="0"/>
              <w:rPr>
                <w:sz w:val="19"/>
                <w:szCs w:val="19"/>
                <w:color w:val="auto"/>
              </w:rPr>
            </w:pPr>
          </w:p>
        </w:tc>
        <w:tc>
          <w:tcPr>
            <w:tcW w:w="340" w:type="dxa"/>
            <w:vAlign w:val="bottom"/>
            <w:tcBorders>
              <w:top w:val="single" w:sz="8" w:color="auto"/>
              <w:bottom w:val="single" w:sz="8" w:color="CCFFCC"/>
            </w:tcBorders>
          </w:tcPr>
          <w:p>
            <w:pPr>
              <w:spacing w:after="0"/>
              <w:rPr>
                <w:sz w:val="19"/>
                <w:szCs w:val="19"/>
                <w:color w:val="auto"/>
              </w:rPr>
            </w:pPr>
          </w:p>
        </w:tc>
        <w:tc>
          <w:tcPr>
            <w:tcW w:w="880" w:type="dxa"/>
            <w:vAlign w:val="bottom"/>
            <w:tcBorders>
              <w:top w:val="single" w:sz="8" w:color="auto"/>
              <w:bottom w:val="single" w:sz="8" w:color="CCFFCC"/>
            </w:tcBorders>
          </w:tcPr>
          <w:p>
            <w:pPr>
              <w:spacing w:after="0"/>
              <w:rPr>
                <w:sz w:val="19"/>
                <w:szCs w:val="19"/>
                <w:color w:val="auto"/>
              </w:rPr>
            </w:pPr>
          </w:p>
        </w:tc>
        <w:tc>
          <w:tcPr>
            <w:tcW w:w="180" w:type="dxa"/>
            <w:vAlign w:val="bottom"/>
            <w:tcBorders>
              <w:bottom w:val="single" w:sz="8" w:color="CCFFCC"/>
            </w:tcBorders>
          </w:tcPr>
          <w:p>
            <w:pPr>
              <w:spacing w:after="0"/>
              <w:rPr>
                <w:sz w:val="19"/>
                <w:szCs w:val="19"/>
                <w:color w:val="auto"/>
              </w:rPr>
            </w:pPr>
          </w:p>
        </w:tc>
      </w:tr>
      <w:tr>
        <w:trPr>
          <w:trHeight w:val="210"/>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PDL ratio</w:t>
            </w:r>
          </w:p>
        </w:tc>
        <w:tc>
          <w:tcPr>
            <w:tcW w:w="15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2.46%</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2.42%</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5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191.5%</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186.9%</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192.9%</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138.6%</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139.1%</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142.7%</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provisions for loan losses totaled US$ 94.6 million, which represents 24.6% of net interest income (vs. 31.4% in the previous trimester). This amount represented a 14.8% QoQ decline that was in line with slower growth in the past due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analysis of portfolio quality shows important favorable signs given that in 3Q12: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NIM of loans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18528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852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Previously, share of loans in total earning assets was estimated taking into account quarter-end balance figures. From this report onwards, this share is calculated with average loans and average interest earning assets for all quarters reported.</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past-due loan portfolio registered a 4.6% increase QoQ, which is lower that the figure observed in 2Q12 (+11.7% QoQ). This is partially attributable to an increase in write-offs;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share of “normal” (the lowest risk category) loans in total loans increased from 94.7% at the end of 2Q12 to 95.2% at the end of 3Q12; and</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PDL ratio at 90 days remained stable throughout the quarter, reporting a level of 1.15% at the end of September. This figure was slightly below the 1.16% seen throughout the year.</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write-off amount in 3Q12 was US$ 68.3 million, which indicates a 20.3% increase in the level reported in the previous quarter (US$ 56.8 million). This growth reflects the continuous improvement observed in the internal process to approve write-offs and contributed to the improvement in the PDL ratio.</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stock of provisions for loan losses at the end of 3Q12 increased +7.1% QoQ to total US$ 669.8 million. The growth reported in this stock exceeded the increase registered in the PDL portfolio, which led to an improvement in the coverage ratio for PDLs (from 186.9% to 191.5%). Nevertheless, and due to growth in refinanced and restructured loans (+16.2% QoQ), the coverage ratio on the non-performing portfolio fell slightly from 139.1% to 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102235</wp:posOffset>
            </wp:positionV>
            <wp:extent cx="2178050" cy="2084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805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evolution of the past-due loan portfolio by segment and product.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1967230</wp:posOffset>
            </wp:positionH>
            <wp:positionV relativeFrom="page">
              <wp:posOffset>568960</wp:posOffset>
            </wp:positionV>
            <wp:extent cx="5436870" cy="2658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3687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Source: SBS and ASBANC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Globally speaking, the PDL ratio fell slightly to 1.78% at the end of 3Q, which is attributable to the fact that PDLs grew at a slower pace while loan growth was highly dynamic. In this context, the PDL ratio at 90 days was 1.15%, which is slightly below the 1.16% observed throughout the year. The NPL ratio NPLs increased 4 bps, going from 2.42% to 2.46% due to 16.2% QoQ growth in restructured &amp; refinanced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of the evolution of the PDL ratio by banking segment and product it is important to consider:</w:t>
      </w:r>
    </w:p>
    <w:p>
      <w:pPr>
        <w:spacing w:after="0" w:line="225"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improvement in credit card delinquency following adjustments in credit policies;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the PDL ratio at Edyficar, which recovered the level of 4% that it had reported for the last few years (vs 4.2% at the end of 2Q12);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mortgage loan portfolio also posed an improvement, going from 1.3% (which was the level reported over the last twelve months) to 1.2% at the end of September 2012.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SME and Consumer portfolios posted a slight increase in their PDL ratios, going from 5.7% to 5.8% and from 2.1% to 2.2% QoQ, respectively. Nevertheless it is important to note that these portfolios- and the consumer portfolio in particular- registered relatively low PDL ratios. As such, the increase seen in the PDL ratio does not represent deterioration in portfolio quality and instead indicates that the Bank’s objective to ensure financial inclusion is underway.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Non-financial income reported significant expansion of 13.9% QoQ and 36.7% YoY, which represented historical highs. This substantial increase is due primarily to an increase in fee income and higher gains on sales of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to date</w:t>
            </w:r>
          </w:p>
        </w:tc>
        <w:tc>
          <w:tcPr>
            <w:tcW w:w="11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Change %</w:t>
            </w: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3Q12</w:t>
            </w:r>
          </w:p>
        </w:tc>
        <w:tc>
          <w:tcPr>
            <w:tcW w:w="24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3Q11</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Sep 12 / Sep 11</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Fee income</w:t>
            </w: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172,626</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151,598</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132,509</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30.3%</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466,209</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386,741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20.5%</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44,948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43,650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35,281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127,928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101,891</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28,315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10,941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12,001</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158.8%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135.9%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52,903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9,918</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433.4%</w:t>
            </w: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color w:val="auto"/>
              </w:rPr>
              <w:t>Other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2,102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11,530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1,588</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-81.8%</w:t>
            </w:r>
          </w:p>
        </w:tc>
        <w:tc>
          <w:tcPr>
            <w:tcW w:w="22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32.4%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17,369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12,374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40.4%</w:t>
            </w:r>
          </w:p>
        </w:tc>
      </w:tr>
      <w:tr>
        <w:trPr>
          <w:trHeight w:val="142"/>
        </w:trPr>
        <w:tc>
          <w:tcPr>
            <w:tcW w:w="33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247,991</w:t>
            </w:r>
          </w:p>
        </w:tc>
        <w:tc>
          <w:tcPr>
            <w:tcW w:w="24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217,719</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181,379</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13.9</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36.7</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664,409</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510,924</w:t>
            </w: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30.0</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Non-financial income evolved very satisfactorily this Q due to the +13.9% QoQ increase in fee income and higher gains on sales of securities (+158.8% QoQ). Within fee income, the following showed a particularly outstanding capacity to generate income: commissions from Corporate Finance, Correval and IM Trust; transfers; and collections. The aforementioned was strengthened by higher net gains on sales of securities, which were in turn attributable primarily to the sale of a position in Sovereign Bonds taken in 2Q12.</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YoY evolution, total non-financial income grew a considerable +36.7%. This was due to good performance in all segments, where the significant growth in fee income, which grew 30.7%, and an increase in net gains on sales of securities (+135.9% YoY), were particularly noteworthy.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Within fee income, all segments performed well but the significant increase in </w:t>
      </w:r>
      <w:r>
        <w:rPr>
          <w:rFonts w:ascii="Arial" w:cs="Arial" w:eastAsia="Arial" w:hAnsi="Arial"/>
          <w:sz w:val="18"/>
          <w:szCs w:val="18"/>
          <w:i w:val="1"/>
          <w:iCs w:val="1"/>
          <w:color w:val="auto"/>
        </w:rPr>
        <w:t>Others</w:t>
      </w:r>
      <w:r>
        <w:rPr>
          <w:rFonts w:ascii="Arial" w:cs="Arial" w:eastAsia="Arial" w:hAnsi="Arial"/>
          <w:sz w:val="18"/>
          <w:szCs w:val="18"/>
          <w:color w:val="auto"/>
        </w:rPr>
        <w:t xml:space="preserve"> (+24.5% QoQ and 40.2% YoY), where commissions collected at branches abroad and from subsidiaries (primarily from Correval and, IM Trust), coupled with fees from Corporate Finance, were particularly noteworthy and led growth for this item. It is also important to note the +8.9% QoQ and 28.5% YoY growth in Miscellaneous Accounts (Saving accounts, current accounts and credit cards), where debit cards continue to demonstrate sustained growth.</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Banking Fee Income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 %</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3Q11</w:t>
            </w:r>
          </w:p>
        </w:tc>
        <w:tc>
          <w:tcPr>
            <w:tcW w:w="22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w:t>
            </w:r>
          </w:p>
        </w:tc>
        <w:tc>
          <w:tcPr>
            <w:tcW w:w="1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45,844</w:t>
            </w:r>
          </w:p>
        </w:tc>
        <w:tc>
          <w:tcPr>
            <w:tcW w:w="2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42,090</w:t>
            </w:r>
          </w:p>
        </w:tc>
        <w:tc>
          <w:tcPr>
            <w:tcW w:w="2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35,683</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w w:val="93"/>
              </w:rPr>
              <w:t>28.5%</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10,659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9,607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8,999</w:t>
            </w:r>
          </w:p>
        </w:tc>
        <w:tc>
          <w:tcPr>
            <w:tcW w:w="840" w:type="dxa"/>
            <w:vAlign w:val="bottom"/>
          </w:tcPr>
          <w:p>
            <w:pPr>
              <w:spacing w:after="0"/>
              <w:rPr>
                <w:sz w:val="18"/>
                <w:szCs w:val="18"/>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11.0%</w:t>
            </w:r>
          </w:p>
        </w:tc>
        <w:tc>
          <w:tcPr>
            <w:tcW w:w="34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93"/>
              </w:rPr>
              <w:t>18.4%</w:t>
            </w:r>
          </w:p>
        </w:tc>
      </w:tr>
      <w:tr>
        <w:trPr>
          <w:trHeight w:val="216"/>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22,561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20,683</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18,059</w:t>
            </w:r>
          </w:p>
        </w:tc>
        <w:tc>
          <w:tcPr>
            <w:tcW w:w="8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w w:val="93"/>
              </w:rPr>
              <w:t>24.9%</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9,318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8,727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8,220</w:t>
            </w:r>
          </w:p>
        </w:tc>
        <w:tc>
          <w:tcPr>
            <w:tcW w:w="840" w:type="dxa"/>
            <w:vAlign w:val="bottom"/>
          </w:tcPr>
          <w:p>
            <w:pPr>
              <w:spacing w:after="0"/>
              <w:rPr>
                <w:sz w:val="18"/>
                <w:szCs w:val="18"/>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93"/>
              </w:rPr>
              <w:t>13.3%</w:t>
            </w:r>
          </w:p>
        </w:tc>
      </w:tr>
      <w:tr>
        <w:trPr>
          <w:trHeight w:val="216"/>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cards</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21,673</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20,240</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16,906</w:t>
            </w:r>
          </w:p>
        </w:tc>
        <w:tc>
          <w:tcPr>
            <w:tcW w:w="8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w w:val="93"/>
              </w:rPr>
              <w:t>28.2%</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62,571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50,251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44,641</w:t>
            </w:r>
          </w:p>
        </w:tc>
        <w:tc>
          <w:tcPr>
            <w:tcW w:w="840" w:type="dxa"/>
            <w:vAlign w:val="bottom"/>
          </w:tcPr>
          <w:p>
            <w:pPr>
              <w:spacing w:after="0"/>
              <w:rPr>
                <w:sz w:val="19"/>
                <w:szCs w:val="19"/>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24.5%</w:t>
            </w:r>
          </w:p>
        </w:tc>
        <w:tc>
          <w:tcPr>
            <w:tcW w:w="340" w:type="dxa"/>
            <w:vAlign w:val="bottom"/>
          </w:tcPr>
          <w:p>
            <w:pPr>
              <w:spacing w:after="0"/>
              <w:rPr>
                <w:sz w:val="19"/>
                <w:szCs w:val="19"/>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93"/>
              </w:rPr>
              <w:t>40.2%</w:t>
            </w:r>
          </w:p>
        </w:tc>
      </w:tr>
      <w:tr>
        <w:trPr>
          <w:trHeight w:val="210"/>
        </w:trPr>
        <w:tc>
          <w:tcPr>
            <w:tcW w:w="39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172,626</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151,598</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132,509</w:t>
            </w:r>
          </w:p>
        </w:tc>
        <w:tc>
          <w:tcPr>
            <w:tcW w:w="22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6"/>
              </w:rPr>
              <w:t>13.9</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ind w:left="540"/>
              <w:spacing w:after="0"/>
              <w:rPr>
                <w:sz w:val="20"/>
                <w:szCs w:val="20"/>
                <w:color w:val="auto"/>
              </w:rPr>
            </w:pPr>
            <w:r>
              <w:rPr>
                <w:rFonts w:ascii="Arial" w:cs="Arial" w:eastAsia="Arial" w:hAnsi="Arial"/>
                <w:sz w:val="18"/>
                <w:szCs w:val="18"/>
                <w:b w:val="1"/>
                <w:bCs w:val="1"/>
                <w:color w:val="auto"/>
                <w:w w:val="85"/>
              </w:rPr>
              <w:t>30.3</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right="7500" w:firstLine="184"/>
        <w:spacing w:after="0" w:line="492" w:lineRule="auto"/>
        <w:tabs>
          <w:tab w:leader="none" w:pos="311"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 Distribution Channels and Transactions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number of transactions this Q went up 9.1% in comparison to the level reported at the end of 2Q12, which is line with the increase seen in banking penetration and economic growth. An analysis of banking transaction by channel indicates that Internet Banking Via BCP reported the highest growth this Q (+21.7%) due to the Bank’s efforts to encourage clients to migrate to cost-efficient channels. Other channels that reported growth in the number of transactions were: Agente BCP (+10.1%), ATMs BCP (+8.0%), Tellers (+7.6%), Telecredito (+9.8%) and Points of Sale P.O.S. (+9.9%).</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the YoY drop in the percentage of transactions made through Tellers (-120 bps) and growth in transactions for the following channels: BCP Agent (+110 bps), Internet Banking Via BCP (-+40 bps) and Mobile (+40 bps. This evolution is in line with BCP’s on-going strategy to enter cost-efficient channels that constitute highly effective means for banking penetration.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7"/>
          </w:tcPr>
          <w:p>
            <w:pPr>
              <w:ind w:left="680"/>
              <w:spacing w:after="0"/>
              <w:rPr>
                <w:sz w:val="20"/>
                <w:szCs w:val="20"/>
                <w:color w:val="auto"/>
              </w:rPr>
            </w:pPr>
            <w:r>
              <w:rPr>
                <w:rFonts w:ascii="Arial" w:cs="Arial" w:eastAsia="Arial" w:hAnsi="Arial"/>
                <w:sz w:val="18"/>
                <w:szCs w:val="18"/>
                <w:b w:val="1"/>
                <w:bCs w:val="1"/>
                <w:color w:val="auto"/>
                <w:w w:val="91"/>
              </w:rPr>
              <w:t>Monthly average in each quarter</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Change %</w:t>
            </w: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 of Transactions per channel</w:t>
            </w:r>
          </w:p>
        </w:tc>
        <w:tc>
          <w:tcPr>
            <w:tcW w:w="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3Q12</w:t>
            </w:r>
          </w:p>
        </w:tc>
        <w:tc>
          <w:tcPr>
            <w:tcW w:w="180" w:type="dxa"/>
            <w:vAlign w:val="bottom"/>
            <w:tcBorders>
              <w:bottom w:val="single" w:sz="8" w:color="CCFFCC"/>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3Q11</w:t>
            </w:r>
          </w:p>
        </w:tc>
        <w:tc>
          <w:tcPr>
            <w:tcW w:w="220" w:type="dxa"/>
            <w:vAlign w:val="bottom"/>
            <w:tcBorders>
              <w:bottom w:val="single" w:sz="8" w:color="CCFFCC"/>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FFCC"/>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10,512,965</w:t>
            </w: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13.9%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9,767,978</w:t>
            </w: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9,689,954</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15.2%</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ATMs Via BCP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13,543,934</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17.9%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12,540,120</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11,450,450</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17.9%</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3,762,887</w:t>
            </w: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3,565,533</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3,429,950</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5.4%</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920" w:type="dxa"/>
            <w:vAlign w:val="bottom"/>
          </w:tcPr>
          <w:p>
            <w:pPr>
              <w:jc w:val="right"/>
              <w:spacing w:after="0"/>
              <w:rPr>
                <w:sz w:val="20"/>
                <w:szCs w:val="20"/>
                <w:color w:val="auto"/>
              </w:rPr>
            </w:pPr>
            <w:r>
              <w:rPr>
                <w:rFonts w:ascii="Arial" w:cs="Arial" w:eastAsia="Arial" w:hAnsi="Arial"/>
                <w:sz w:val="18"/>
                <w:szCs w:val="18"/>
                <w:color w:val="auto"/>
              </w:rPr>
              <w:t>2,622,774</w:t>
            </w: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2,794,464</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2,249,447</w:t>
            </w:r>
          </w:p>
        </w:tc>
        <w:tc>
          <w:tcPr>
            <w:tcW w:w="22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16,374,601</w:t>
            </w:r>
          </w:p>
        </w:tc>
        <w:tc>
          <w:tcPr>
            <w:tcW w:w="9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21.7%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14,527,815</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8"/>
              </w:rPr>
              <w:t>13,614,030</w:t>
            </w:r>
          </w:p>
        </w:tc>
        <w:tc>
          <w:tcPr>
            <w:tcW w:w="10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21.3%</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12.7%</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13,569,423</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17.9%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12,329,809</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10,737,235</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16.8%</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Telecredito</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6,781,285</w:t>
            </w: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6,175,632</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5,835,783</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9.1%</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9.8%</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969,813</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767,914</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583,182</w:t>
            </w:r>
          </w:p>
        </w:tc>
        <w:tc>
          <w:tcPr>
            <w:tcW w:w="22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Direct Debit</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565,564</w:t>
            </w:r>
          </w:p>
        </w:tc>
        <w:tc>
          <w:tcPr>
            <w:tcW w:w="9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517,168</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492,565</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0.8%</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920" w:type="dxa"/>
            <w:vAlign w:val="bottom"/>
          </w:tcPr>
          <w:p>
            <w:pPr>
              <w:jc w:val="right"/>
              <w:spacing w:after="0"/>
              <w:rPr>
                <w:sz w:val="20"/>
                <w:szCs w:val="20"/>
                <w:color w:val="auto"/>
              </w:rPr>
            </w:pPr>
            <w:r>
              <w:rPr>
                <w:rFonts w:ascii="Arial" w:cs="Arial" w:eastAsia="Arial" w:hAnsi="Arial"/>
                <w:sz w:val="18"/>
                <w:szCs w:val="18"/>
                <w:color w:val="auto"/>
              </w:rPr>
              <w:t>6,539,434</w:t>
            </w: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8.6%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5,950,415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5,411,589</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8.5%</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374,900</w:t>
            </w:r>
          </w:p>
        </w:tc>
        <w:tc>
          <w:tcPr>
            <w:tcW w:w="9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343,874</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361,096</w:t>
            </w:r>
          </w:p>
        </w:tc>
        <w:tc>
          <w:tcPr>
            <w:tcW w:w="2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0.6%</w:t>
            </w:r>
          </w:p>
        </w:tc>
        <w:tc>
          <w:tcPr>
            <w:tcW w:w="10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75,617,580</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69,280,722</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63,855,281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-8890</wp:posOffset>
            </wp:positionV>
            <wp:extent cx="1775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-8890</wp:posOffset>
            </wp:positionV>
            <wp:extent cx="4629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-8890</wp:posOffset>
            </wp:positionV>
            <wp:extent cx="445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*3Q12 Monthly average only include July and August.</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network of distribution channels (only in Peru) continued to expand to reach a total of 7,590 points of access at the end of 3Q12, which represents an increase of +2.3% QoQ and 23.7% YoY. This expansion was led by ATMs (+6.4%). A YoY analysis indicates that growth in the network of channels was led by Agentes BCP (+24%) and ATMs (+26.6%) and was also attributable, to a lesser extent, to the fact that BCP opened 22 offices as part of its expansion plan for this channel.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 as of</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 %</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08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0"/>
              </w:rPr>
              <w:t>3Q12</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6"/>
              </w:rPr>
              <w:t>3Q11</w:t>
            </w: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82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ATMs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1,752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1,647</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1,384</w:t>
            </w:r>
          </w:p>
        </w:tc>
        <w:tc>
          <w:tcPr>
            <w:tcW w:w="9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Agentes BCP</w:t>
            </w:r>
          </w:p>
        </w:tc>
        <w:tc>
          <w:tcPr>
            <w:tcW w:w="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8"/>
              </w:rPr>
              <w:t>5,479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5,419</w:t>
            </w:r>
          </w:p>
        </w:tc>
        <w:tc>
          <w:tcPr>
            <w:tcW w:w="820" w:type="dxa"/>
            <w:vAlign w:val="bottom"/>
            <w:shd w:val="clear" w:color="auto" w:fill="CCFFCC"/>
          </w:tcPr>
          <w:p>
            <w:pPr>
              <w:spacing w:after="0"/>
              <w:rPr>
                <w:sz w:val="19"/>
                <w:szCs w:val="19"/>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8"/>
              </w:rPr>
              <w:t>4,417</w:t>
            </w:r>
          </w:p>
        </w:tc>
        <w:tc>
          <w:tcPr>
            <w:tcW w:w="900" w:type="dxa"/>
            <w:vAlign w:val="bottom"/>
            <w:shd w:val="clear" w:color="auto" w:fill="CCFFCC"/>
          </w:tcPr>
          <w:p>
            <w:pPr>
              <w:spacing w:after="0"/>
              <w:rPr>
                <w:sz w:val="19"/>
                <w:szCs w:val="19"/>
                <w:color w:val="auto"/>
              </w:rPr>
            </w:pPr>
          </w:p>
        </w:tc>
        <w:tc>
          <w:tcPr>
            <w:tcW w:w="6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24.0%</w:t>
            </w: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7,590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7,418</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6,138</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87"/>
              </w:rPr>
              <w:t>2.3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Core operating income increased 9.2% QoQ, nevertheless, 11% growth in the operating expenses included to calculate the efficiency ratio led this indicator to increase from 49.8% in 2Q12 to 50.6% at the end of 3Q12.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to date</w:t>
            </w:r>
          </w:p>
        </w:tc>
        <w:tc>
          <w:tcPr>
            <w:tcW w:w="11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Change %</w:t>
            </w: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3Q12</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2Q12</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3Q11</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6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Sep 12 / Sep 11</w:t>
            </w:r>
          </w:p>
        </w:tc>
        <w:tc>
          <w:tcPr>
            <w:tcW w:w="140" w:type="dxa"/>
            <w:vAlign w:val="bottom"/>
            <w:tcBorders>
              <w:bottom w:val="single" w:sz="8" w:color="CCFFCC"/>
            </w:tcBorders>
          </w:tcPr>
          <w:p>
            <w:pPr>
              <w:spacing w:after="0"/>
              <w:rPr>
                <w:sz w:val="14"/>
                <w:szCs w:val="14"/>
                <w:color w:val="auto"/>
              </w:rPr>
            </w:pPr>
          </w:p>
        </w:tc>
      </w:tr>
      <w:tr>
        <w:trPr>
          <w:trHeight w:val="142"/>
        </w:trPr>
        <w:tc>
          <w:tcPr>
            <w:tcW w:w="31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164,073</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147,771</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125,764</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ind w:left="300"/>
              <w:spacing w:after="0" w:line="142" w:lineRule="exact"/>
              <w:rPr>
                <w:sz w:val="20"/>
                <w:szCs w:val="20"/>
                <w:color w:val="auto"/>
              </w:rPr>
            </w:pPr>
            <w:r>
              <w:rPr>
                <w:rFonts w:ascii="Arial" w:cs="Arial" w:eastAsia="Arial" w:hAnsi="Arial"/>
                <w:sz w:val="14"/>
                <w:szCs w:val="14"/>
                <w:color w:val="auto"/>
              </w:rPr>
              <w:t>30.5%</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450,886</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357,384</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26.2%</w:t>
            </w: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116,974</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102,667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84,025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13.9%</w:t>
            </w:r>
          </w:p>
        </w:tc>
        <w:tc>
          <w:tcPr>
            <w:tcW w:w="240" w:type="dxa"/>
            <w:vAlign w:val="bottom"/>
          </w:tcPr>
          <w:p>
            <w:pPr>
              <w:spacing w:after="0"/>
              <w:rPr>
                <w:sz w:val="12"/>
                <w:szCs w:val="12"/>
                <w:color w:val="auto"/>
              </w:rPr>
            </w:pP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39.2%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304,896</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236,507</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w:t>
            </w: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22,376</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23,115</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20,304</w:t>
            </w:r>
          </w:p>
        </w:tc>
        <w:tc>
          <w:tcPr>
            <w:tcW w:w="10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10.2%</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69,144</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58,409</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18.4%</w:t>
            </w: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10,020</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8,790</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7,089</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14.0%</w:t>
            </w:r>
          </w:p>
        </w:tc>
        <w:tc>
          <w:tcPr>
            <w:tcW w:w="240" w:type="dxa"/>
            <w:vAlign w:val="bottom"/>
          </w:tcPr>
          <w:p>
            <w:pPr>
              <w:spacing w:after="0"/>
              <w:rPr>
                <w:sz w:val="14"/>
                <w:szCs w:val="14"/>
                <w:color w:val="auto"/>
              </w:rPr>
            </w:pPr>
          </w:p>
        </w:tc>
        <w:tc>
          <w:tcPr>
            <w:tcW w:w="800" w:type="dxa"/>
            <w:vAlign w:val="bottom"/>
            <w:gridSpan w:val="2"/>
          </w:tcPr>
          <w:p>
            <w:pPr>
              <w:ind w:left="300"/>
              <w:spacing w:after="0"/>
              <w:rPr>
                <w:sz w:val="20"/>
                <w:szCs w:val="20"/>
                <w:color w:val="auto"/>
              </w:rPr>
            </w:pPr>
            <w:r>
              <w:rPr>
                <w:rFonts w:ascii="Arial" w:cs="Arial" w:eastAsia="Arial" w:hAnsi="Arial"/>
                <w:sz w:val="14"/>
                <w:szCs w:val="14"/>
                <w:color w:val="auto"/>
              </w:rPr>
              <w:t>41.3%</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28,109</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30,255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-7.1%</w:t>
            </w:r>
          </w:p>
        </w:tc>
      </w:tr>
      <w:tr>
        <w:trPr>
          <w:trHeight w:val="142"/>
        </w:trPr>
        <w:tc>
          <w:tcPr>
            <w:tcW w:w="320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313,443</w:t>
            </w: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282,343</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237,182</w:t>
            </w:r>
          </w:p>
        </w:tc>
        <w:tc>
          <w:tcPr>
            <w:tcW w:w="260" w:type="dxa"/>
            <w:vAlign w:val="bottom"/>
            <w:tcBorders>
              <w:top w:val="single" w:sz="8" w:color="CCFFCC"/>
            </w:tcBorders>
            <w:shd w:val="clear" w:color="auto" w:fill="CCFFCC"/>
          </w:tcPr>
          <w:p>
            <w:pPr>
              <w:spacing w:after="0"/>
              <w:rPr>
                <w:sz w:val="12"/>
                <w:szCs w:val="12"/>
                <w:color w:val="auto"/>
              </w:rPr>
            </w:pP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11.0</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ind w:left="300"/>
              <w:spacing w:after="0" w:line="142" w:lineRule="exact"/>
              <w:rPr>
                <w:sz w:val="20"/>
                <w:szCs w:val="20"/>
                <w:color w:val="auto"/>
              </w:rPr>
            </w:pPr>
            <w:r>
              <w:rPr>
                <w:rFonts w:ascii="Arial" w:cs="Arial" w:eastAsia="Arial" w:hAnsi="Arial"/>
                <w:sz w:val="14"/>
                <w:szCs w:val="14"/>
                <w:b w:val="1"/>
                <w:bCs w:val="1"/>
                <w:color w:val="auto"/>
                <w:w w:val="80"/>
              </w:rPr>
              <w:t>32.2</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853,035</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682,555</w:t>
            </w:r>
          </w:p>
        </w:tc>
        <w:tc>
          <w:tcPr>
            <w:tcW w:w="26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25.0</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56"/>
        </w:trPr>
        <w:tc>
          <w:tcPr>
            <w:tcW w:w="3200" w:type="dxa"/>
            <w:vAlign w:val="bottom"/>
            <w:tcBorders>
              <w:bottom w:val="single" w:sz="8" w:color="CCFFCC"/>
            </w:tcBorders>
            <w:gridSpan w:val="2"/>
          </w:tcPr>
          <w:p>
            <w:pPr>
              <w:spacing w:after="0" w:line="155" w:lineRule="exact"/>
              <w:rPr>
                <w:sz w:val="20"/>
                <w:szCs w:val="20"/>
                <w:color w:val="auto"/>
              </w:rPr>
            </w:pPr>
            <w:r>
              <w:rPr>
                <w:rFonts w:ascii="Arial" w:cs="Arial" w:eastAsia="Arial" w:hAnsi="Arial"/>
                <w:sz w:val="14"/>
                <w:szCs w:val="14"/>
                <w:b w:val="1"/>
                <w:bCs w:val="1"/>
                <w:color w:val="auto"/>
              </w:rPr>
              <w:t>Total Income (1)</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600,000</w:t>
            </w:r>
          </w:p>
        </w:tc>
        <w:tc>
          <w:tcPr>
            <w:tcW w:w="26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549,543</w:t>
            </w:r>
          </w:p>
        </w:tc>
        <w:tc>
          <w:tcPr>
            <w:tcW w:w="26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470,253</w:t>
            </w:r>
          </w:p>
        </w:tc>
        <w:tc>
          <w:tcPr>
            <w:tcW w:w="260" w:type="dxa"/>
            <w:vAlign w:val="bottom"/>
            <w:tcBorders>
              <w:bottom w:val="single" w:sz="8" w:color="CCFFCC"/>
            </w:tcBorders>
          </w:tcPr>
          <w:p>
            <w:pPr>
              <w:spacing w:after="0"/>
              <w:rPr>
                <w:sz w:val="13"/>
                <w:szCs w:val="13"/>
                <w:color w:val="auto"/>
              </w:rPr>
            </w:pPr>
          </w:p>
        </w:tc>
        <w:tc>
          <w:tcPr>
            <w:tcW w:w="760" w:type="dxa"/>
            <w:vAlign w:val="bottom"/>
            <w:tcBorders>
              <w:bottom w:val="single" w:sz="8" w:color="CCFFCC"/>
            </w:tcBorders>
          </w:tcPr>
          <w:p>
            <w:pPr>
              <w:spacing w:after="0"/>
              <w:rPr>
                <w:sz w:val="13"/>
                <w:szCs w:val="13"/>
                <w:color w:val="auto"/>
              </w:rPr>
            </w:pPr>
          </w:p>
        </w:tc>
        <w:tc>
          <w:tcPr>
            <w:tcW w:w="260" w:type="dxa"/>
            <w:vAlign w:val="bottom"/>
            <w:tcBorders>
              <w:bottom w:val="single" w:sz="8" w:color="CCFFCC"/>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540" w:type="dxa"/>
            <w:vAlign w:val="bottom"/>
            <w:tcBorders>
              <w:bottom w:val="single" w:sz="8" w:color="CCFFCC"/>
            </w:tcBorders>
          </w:tcPr>
          <w:p>
            <w:pPr>
              <w:spacing w:after="0"/>
              <w:rPr>
                <w:sz w:val="13"/>
                <w:szCs w:val="13"/>
                <w:color w:val="auto"/>
              </w:rPr>
            </w:pPr>
          </w:p>
        </w:tc>
        <w:tc>
          <w:tcPr>
            <w:tcW w:w="26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1,730,376</w:t>
            </w:r>
          </w:p>
        </w:tc>
        <w:tc>
          <w:tcPr>
            <w:tcW w:w="26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1,411,493</w:t>
            </w:r>
          </w:p>
        </w:tc>
        <w:tc>
          <w:tcPr>
            <w:tcW w:w="260" w:type="dxa"/>
            <w:vAlign w:val="bottom"/>
            <w:tcBorders>
              <w:bottom w:val="single" w:sz="8" w:color="CCFFC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25.0</w:t>
            </w:r>
          </w:p>
        </w:tc>
        <w:tc>
          <w:tcPr>
            <w:tcW w:w="140" w:type="dxa"/>
            <w:vAlign w:val="bottom"/>
            <w:tcBorders>
              <w:bottom w:val="single" w:sz="8" w:color="CCFFCC"/>
            </w:tcBorders>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r>
      <w:tr>
        <w:trPr>
          <w:trHeight w:val="156"/>
        </w:trPr>
        <w:tc>
          <w:tcPr>
            <w:tcW w:w="3200" w:type="dxa"/>
            <w:vAlign w:val="bottom"/>
            <w:gridSpan w:val="2"/>
            <w:shd w:val="clear" w:color="auto" w:fill="CCFFCC"/>
          </w:tcPr>
          <w:p>
            <w:pPr>
              <w:spacing w:after="0" w:line="155" w:lineRule="exact"/>
              <w:rPr>
                <w:sz w:val="20"/>
                <w:szCs w:val="20"/>
                <w:color w:val="auto"/>
              </w:rPr>
            </w:pPr>
            <w:r>
              <w:rPr>
                <w:rFonts w:ascii="Arial" w:cs="Arial" w:eastAsia="Arial" w:hAnsi="Arial"/>
                <w:sz w:val="14"/>
                <w:szCs w:val="14"/>
                <w:b w:val="1"/>
                <w:bCs w:val="1"/>
                <w:color w:val="auto"/>
              </w:rPr>
              <w:t>Efficiency ratio (2)</w:t>
            </w:r>
          </w:p>
        </w:tc>
        <w:tc>
          <w:tcPr>
            <w:tcW w:w="6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50.6</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49.8</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48.9</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49.3</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48.4</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10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r>
    </w:tbl>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Other expenses are not included in the efficiency ratio calculation.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posted an increase of 11% QoQ that was attributable, to a significant extent, to the 11% QoQ increase in salaries and employee benefits and growth in administrative expenses (+13.9%).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It is important to note that if we exclude the effect of the appreciation of the Nuevo Sol on expenses denominated in local currency and the consolidation of Correval and IM Trust, </w:t>
      </w:r>
      <w:r>
        <w:rPr>
          <w:rFonts w:ascii="Arial" w:cs="Arial" w:eastAsia="Arial" w:hAnsi="Arial"/>
          <w:sz w:val="18"/>
          <w:szCs w:val="18"/>
          <w:i w:val="1"/>
          <w:iCs w:val="1"/>
          <w:color w:val="auto"/>
        </w:rPr>
        <w:t>salaries and employee benefits</w:t>
      </w:r>
      <w:r>
        <w:rPr>
          <w:rFonts w:ascii="Arial" w:cs="Arial" w:eastAsia="Arial" w:hAnsi="Arial"/>
          <w:sz w:val="18"/>
          <w:szCs w:val="18"/>
          <w:color w:val="auto"/>
        </w:rPr>
        <w:t xml:space="preserve"> and </w:t>
      </w: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xml:space="preserve"> would have grown approximately 6.9% QoQ and 11.3% QoQ, respectively. Growth in salaries and employee benefits is due primarily to an increase in the number of employees in Retail Banking and Edyficar businesses while the increase in general and administrative expenses is associated with expansion in the network of distribution channels, IT and call-center outsourcing, and the increase in transactional activity, which is reflected in the higher levels of some expenses such as transport, communications, and fees paid to Agentes BCP, among others.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 xml:space="preserve">In accumulated terms, a 25% increase in operating expenses with regard to 2011 is evident. This growth was due to a 26.2% and 28.9% increase in salaries and employee benefits and administrative expenses respectively. Once again, if we exclude the effect of the appreciation of local currency and the consolidation of Correval and IM Trust, expenses for </w:t>
      </w:r>
      <w:r>
        <w:rPr>
          <w:rFonts w:ascii="Arial" w:cs="Arial" w:eastAsia="Arial" w:hAnsi="Arial"/>
          <w:sz w:val="18"/>
          <w:szCs w:val="18"/>
          <w:i w:val="1"/>
          <w:iCs w:val="1"/>
          <w:color w:val="auto"/>
        </w:rPr>
        <w:t>salaries and employee benefits</w:t>
      </w:r>
      <w:r>
        <w:rPr>
          <w:rFonts w:ascii="Arial" w:cs="Arial" w:eastAsia="Arial" w:hAnsi="Arial"/>
          <w:sz w:val="18"/>
          <w:szCs w:val="18"/>
          <w:color w:val="auto"/>
        </w:rPr>
        <w:t xml:space="preserve"> and </w:t>
      </w: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xml:space="preserve"> would have grown thus far this year in comparison to the same period in 2011 16.5% and 23.4% ,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It is necessary to note that expenses in systems outsourcing are not excluded from the analysis because they were transferred from </w:t>
      </w:r>
      <w:r>
        <w:rPr>
          <w:rFonts w:ascii="Arial" w:cs="Arial" w:eastAsia="Arial" w:hAnsi="Arial"/>
          <w:sz w:val="18"/>
          <w:szCs w:val="18"/>
          <w:i w:val="1"/>
          <w:iCs w:val="1"/>
          <w:color w:val="auto"/>
        </w:rPr>
        <w:t>personnel expenses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to</w:t>
      </w:r>
      <w:r>
        <w:rPr>
          <w:rFonts w:ascii="Arial" w:cs="Arial" w:eastAsia="Arial" w:hAnsi="Arial"/>
          <w:sz w:val="18"/>
          <w:szCs w:val="18"/>
          <w:i w:val="1"/>
          <w:iCs w:val="1"/>
          <w:color w:val="auto"/>
        </w:rPr>
        <w:t xml:space="preserve"> general expenses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administrative expenses and their respective quarterly variations: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3Q11</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14,220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12.2%</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14,134</w:t>
            </w: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13.8%</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12,663</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15.1%</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0.6%</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12.3%</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11,901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10,813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10,797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10.1%</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Systems Outsourcing</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9,501</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Transport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8,905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8,172</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7,559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Maintenance</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4,327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3,943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2,743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9.7%</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57.7%</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Communications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6,007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6,345</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Consulting</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4,607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4,776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5,608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-3.5%</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-17.9%</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Others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31,745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33,117</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22,140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Taxes and contributions</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10,491</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9,196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8,132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29.0%</w:t>
            </w: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color w:val="auto"/>
              </w:rPr>
              <w:t>Other subsidiaries and eliminations, net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15,270</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13.1%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12,171</w:t>
            </w:r>
          </w:p>
        </w:tc>
        <w:tc>
          <w:tcPr>
            <w:tcW w:w="2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11.9%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9,525</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11.3%</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25.5%</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60.3%</w:t>
            </w:r>
          </w:p>
        </w:tc>
      </w:tr>
      <w:tr>
        <w:trPr>
          <w:trHeight w:val="142"/>
        </w:trPr>
        <w:tc>
          <w:tcPr>
            <w:tcW w:w="33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Administrative Expenses</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116,974</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102,667</w:t>
            </w:r>
          </w:p>
        </w:tc>
        <w:tc>
          <w:tcPr>
            <w:tcW w:w="20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84,025</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13.9</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39.2</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ind w:left="140"/>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II. 7 Net Shareholder’s Equity and Regulatory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BCP’s profitability in 3Q12 was high, as is evident in the 30.2% ROAE reported for the Q. This level was in line with +50.3% QoQ in net income. The BIS ratio fell from 15.9% to 14.1% but remains significantly above the legal minimum (10%) and the internal limit (13.7%).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3Q12</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2Q12</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3Q11</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3"/>
              </w:rPr>
              <w:t>30.2%</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711,685</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711,685</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628,987</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w w:val="93"/>
              </w:rPr>
              <w:t>13.1%</w:t>
            </w:r>
          </w:p>
        </w:tc>
      </w:tr>
      <w:tr>
        <w:trPr>
          <w:trHeight w:val="216"/>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148,707</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136,280</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87,464</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3"/>
              </w:rPr>
              <w:t>70.0%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274,596</w:t>
            </w:r>
          </w:p>
        </w:tc>
        <w:tc>
          <w:tcPr>
            <w:tcW w:w="1220" w:type="dxa"/>
            <w:vAlign w:val="bottom"/>
          </w:tcPr>
          <w:p>
            <w:pPr>
              <w:jc w:val="right"/>
              <w:spacing w:after="0"/>
              <w:rPr>
                <w:sz w:val="20"/>
                <w:szCs w:val="20"/>
                <w:color w:val="auto"/>
              </w:rPr>
            </w:pPr>
            <w:r>
              <w:rPr>
                <w:rFonts w:ascii="Arial" w:cs="Arial" w:eastAsia="Arial" w:hAnsi="Arial"/>
                <w:sz w:val="18"/>
                <w:szCs w:val="18"/>
                <w:color w:val="auto"/>
              </w:rPr>
              <w:t>274,898</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236,540</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w w:val="93"/>
              </w:rPr>
              <w:t>16.1%</w:t>
            </w:r>
          </w:p>
        </w:tc>
      </w:tr>
      <w:tr>
        <w:trPr>
          <w:trHeight w:val="230"/>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54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490,402</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298,354</w:t>
            </w:r>
          </w:p>
        </w:tc>
        <w:tc>
          <w:tcPr>
            <w:tcW w:w="3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412,928</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3"/>
              </w:rPr>
              <w:t>18.8%</w:t>
            </w:r>
          </w:p>
        </w:tc>
      </w:tr>
      <w:tr>
        <w:trPr>
          <w:trHeight w:val="210"/>
        </w:trPr>
        <w:tc>
          <w:tcPr>
            <w:tcW w:w="39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2,644,881</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2,440,708</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2,149,132</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85"/>
              </w:rPr>
              <w:t>23.1</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30.2</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21.4</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27.4</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shareholders’ equity increased 8.4% QoQ. This was due primarily to an increase in net income in 3Q12 (+50.3%) and higher unrealized gains (+9.1%) this period. Growth in the latter is attributable to the fact that market conditions have improved, which has helped the portfolio achieve a more favorable mark to market. Growth in quarterly net income outpaced the increase seen in average shareholders’ equity, which led ROAE to rise from 21.4% in 2Q12 to 30.2% at the end of 3Q12.</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BIS ratio fell 15.9% to 14.1% in 3Q12. This contraction is due primarily to a higher level of total RWA (+10.2% QoQ), which was intensified by the decrease in regulatory capital. Total RWA growth is attributable to a large extent to the higher adjustment factors used in the calculation of RWA associated with credit risk and operational risk (see notes 6 and 7 in the table “Regulatory Capital and Capitalization), and to the expansion in the loan portfolio (+5.8% QoQ), which in turns increases credit risk RWA. Regulatory capital fell 2.3% QoQ given that higher deductions were taken for investments in subsidiaries (+53.6%). This in turn reflects the acquisition of 60.1% of the shares in IM Trust, which was reported at the end of July.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 xml:space="preserve">It is important to look at the evolution of the other capitalization ratios that BCP constantly monitors. The Tier 1 and Tier 1 Common ratios fell slightly QoQ (from 10.8% to 9.7% for the Tier 1 ratio and from 8.92% to 8.88% in the case of the </w:t>
      </w:r>
      <w:r>
        <w:rPr>
          <w:rFonts w:ascii="Arial" w:cs="Arial" w:eastAsia="Arial" w:hAnsi="Arial"/>
          <w:sz w:val="18"/>
          <w:szCs w:val="18"/>
          <w:i w:val="1"/>
          <w:iCs w:val="1"/>
          <w:color w:val="auto"/>
        </w:rPr>
        <w:t>Tier 1 Common ratio</w:t>
      </w:r>
      <w:r>
        <w:rPr>
          <w:rFonts w:ascii="Arial" w:cs="Arial" w:eastAsia="Arial" w:hAnsi="Arial"/>
          <w:sz w:val="18"/>
          <w:szCs w:val="18"/>
          <w:color w:val="auto"/>
        </w:rPr>
        <w:t>); nevertheless, it is important to note that both of these ratios remain above the internal limits situated at 8.5% and 8%,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3"/>
              </w:rPr>
              <w:t>Balance as of</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Sep 12</w:t>
            </w:r>
          </w:p>
        </w:tc>
        <w:tc>
          <w:tcPr>
            <w:tcW w:w="240" w:type="dxa"/>
            <w:vAlign w:val="bottom"/>
            <w:tcBorders>
              <w:top w:val="single" w:sz="8" w:color="auto"/>
              <w:bottom w:val="single" w:sz="8" w:color="CCFFC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Jun 12</w:t>
            </w:r>
          </w:p>
        </w:tc>
        <w:tc>
          <w:tcPr>
            <w:tcW w:w="240" w:type="dxa"/>
            <w:vAlign w:val="bottom"/>
            <w:tcBorders>
              <w:top w:val="single" w:sz="8" w:color="auto"/>
              <w:bottom w:val="single" w:sz="8" w:color="CCFFC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3"/>
                <w:szCs w:val="13"/>
                <w:color w:val="auto"/>
              </w:rPr>
            </w:pPr>
          </w:p>
        </w:tc>
        <w:tc>
          <w:tcPr>
            <w:tcW w:w="90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ToT</w:t>
            </w:r>
          </w:p>
        </w:tc>
        <w:tc>
          <w:tcPr>
            <w:tcW w:w="260" w:type="dxa"/>
            <w:vAlign w:val="bottom"/>
            <w:tcBorders>
              <w:top w:val="single" w:sz="8" w:color="auto"/>
              <w:bottom w:val="single" w:sz="8" w:color="CCFFC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AaA</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1,227,058</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1,193,522</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922,372</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856,266</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832,863</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722,691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(1)</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260,052</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239,203</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202,259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250,000</w:t>
            </w: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250,000</w:t>
            </w: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1,091,667</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1,090,175</w:t>
            </w:r>
          </w:p>
        </w:tc>
        <w:tc>
          <w:tcPr>
            <w:tcW w:w="24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757,546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Investment in subsidiaries and others, net of unrealized profit and net income</w:t>
            </w:r>
          </w:p>
        </w:tc>
        <w:tc>
          <w:tcPr>
            <w:tcW w:w="11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(436,517)</w:t>
            </w:r>
          </w:p>
        </w:tc>
        <w:tc>
          <w:tcPr>
            <w:tcW w:w="11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(284,203)</w:t>
            </w: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(195,498)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1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(46,991)</w:t>
            </w:r>
          </w:p>
        </w:tc>
        <w:tc>
          <w:tcPr>
            <w:tcW w:w="11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(45,707)</w:t>
            </w:r>
          </w:p>
        </w:tc>
        <w:tc>
          <w:tcPr>
            <w:tcW w:w="112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(44,026)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Total Regulatory Capital</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3,201,535</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3,275,853</w:t>
            </w:r>
          </w:p>
        </w:tc>
        <w:tc>
          <w:tcPr>
            <w:tcW w:w="2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2,615,344</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Tier 1 (2)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2,193,632</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2,219,312</w:t>
            </w:r>
          </w:p>
        </w:tc>
        <w:tc>
          <w:tcPr>
            <w:tcW w:w="24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1,843,892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2 (3) + Tier 3 (4)</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1,007,903</w:t>
            </w: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1,056,542</w:t>
            </w:r>
          </w:p>
        </w:tc>
        <w:tc>
          <w:tcPr>
            <w:tcW w:w="2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771,452</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-4.6%</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risk-weighted assets (5)</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22,687,882</w:t>
            </w: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20,592,786</w:t>
            </w: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17,685,063</w:t>
            </w:r>
          </w:p>
        </w:tc>
        <w:tc>
          <w:tcPr>
            <w:tcW w:w="22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10.2%</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Market risk-weighted assets</w:t>
            </w: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783,651</w:t>
            </w:r>
          </w:p>
        </w:tc>
        <w:tc>
          <w:tcPr>
            <w:tcW w:w="240" w:type="dxa"/>
            <w:vAlign w:val="bottom"/>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616,630</w:t>
            </w:r>
          </w:p>
        </w:tc>
        <w:tc>
          <w:tcPr>
            <w:tcW w:w="240" w:type="dxa"/>
            <w:vAlign w:val="bottom"/>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743,950</w:t>
            </w:r>
          </w:p>
        </w:tc>
        <w:tc>
          <w:tcPr>
            <w:tcW w:w="220" w:type="dxa"/>
            <w:vAlign w:val="bottom"/>
            <w:vMerge w:val="continue"/>
          </w:tcPr>
          <w:p>
            <w:pPr>
              <w:spacing w:after="0"/>
              <w:rPr>
                <w:sz w:val="12"/>
                <w:szCs w:val="12"/>
                <w:color w:val="auto"/>
              </w:rPr>
            </w:pPr>
          </w:p>
        </w:tc>
        <w:tc>
          <w:tcPr>
            <w:tcW w:w="11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27.1%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risk-weighted assets (6)</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20,744,731</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19,082,281</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16,157,488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Arial" w:cs="Arial" w:eastAsia="Arial" w:hAnsi="Arial"/>
                <w:sz w:val="14"/>
                <w:szCs w:val="14"/>
                <w:color w:val="auto"/>
              </w:rPr>
              <w:t>Operational risk-weighted assets (7)</w:t>
            </w:r>
          </w:p>
        </w:tc>
        <w:tc>
          <w:tcPr>
            <w:tcW w:w="900" w:type="dxa"/>
            <w:vAlign w:val="bottom"/>
          </w:tcPr>
          <w:p>
            <w:pPr>
              <w:jc w:val="right"/>
              <w:spacing w:after="0"/>
              <w:rPr>
                <w:sz w:val="20"/>
                <w:szCs w:val="20"/>
                <w:color w:val="auto"/>
              </w:rPr>
            </w:pPr>
            <w:r>
              <w:rPr>
                <w:rFonts w:ascii="Arial" w:cs="Arial" w:eastAsia="Arial" w:hAnsi="Arial"/>
                <w:sz w:val="14"/>
                <w:szCs w:val="14"/>
                <w:color w:val="auto"/>
              </w:rPr>
              <w:t>1,159,500</w:t>
            </w:r>
          </w:p>
        </w:tc>
        <w:tc>
          <w:tcPr>
            <w:tcW w:w="240" w:type="dxa"/>
            <w:vAlign w:val="bottom"/>
          </w:tcPr>
          <w:p>
            <w:pPr>
              <w:spacing w:after="0"/>
              <w:rPr>
                <w:sz w:val="14"/>
                <w:szCs w:val="14"/>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893,875</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783,624</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29.7%</w:t>
            </w:r>
          </w:p>
        </w:tc>
        <w:tc>
          <w:tcPr>
            <w:tcW w:w="2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Market risk capital requirement (8)</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78,365</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61,663</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72,907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 capital requirement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2,074,473</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1,908,228</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1,583,434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Operational risk capital requirement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115,950</w:t>
            </w:r>
          </w:p>
        </w:tc>
        <w:tc>
          <w:tcPr>
            <w:tcW w:w="240" w:type="dxa"/>
            <w:vAlign w:val="bottom"/>
          </w:tcPr>
          <w:p>
            <w:pPr>
              <w:spacing w:after="0"/>
              <w:rPr>
                <w:sz w:val="12"/>
                <w:szCs w:val="12"/>
                <w:color w:val="auto"/>
              </w:rPr>
            </w:pP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89,387</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76,795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Additional capital requirements (9)</w:t>
            </w:r>
          </w:p>
        </w:tc>
        <w:tc>
          <w:tcPr>
            <w:tcW w:w="114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color w:val="auto"/>
              </w:rPr>
              <w:t>728,666</w:t>
            </w:r>
          </w:p>
        </w:tc>
        <w:tc>
          <w:tcPr>
            <w:tcW w:w="114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Arial" w:cs="Arial" w:eastAsia="Arial" w:hAnsi="Arial"/>
                <w:sz w:val="14"/>
                <w:szCs w:val="14"/>
                <w:color w:val="auto"/>
              </w:rPr>
              <w:t>Tier 1 ratio (10)</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9.67%</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10.78%</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10.43%</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Tier 1 Common ratio (11)</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8.88</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8.92</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8.05</w:t>
            </w:r>
          </w:p>
        </w:tc>
        <w:tc>
          <w:tcPr>
            <w:tcW w:w="22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rPr>
              <w:t>BIS ratio (12)</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14.11</w:t>
            </w:r>
          </w:p>
        </w:tc>
        <w:tc>
          <w:tcPr>
            <w:tcW w:w="24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15.91</w:t>
            </w:r>
          </w:p>
        </w:tc>
        <w:tc>
          <w:tcPr>
            <w:tcW w:w="24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14.79</w:t>
            </w:r>
          </w:p>
        </w:tc>
        <w:tc>
          <w:tcPr>
            <w:tcW w:w="22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CCFFCC"/>
            </w:tcBorders>
          </w:tcPr>
          <w:p>
            <w:pPr>
              <w:spacing w:after="0"/>
              <w:rPr>
                <w:sz w:val="12"/>
                <w:szCs w:val="12"/>
                <w:color w:val="auto"/>
              </w:rPr>
            </w:pPr>
          </w:p>
        </w:tc>
        <w:tc>
          <w:tcPr>
            <w:tcW w:w="260" w:type="dxa"/>
            <w:vAlign w:val="bottom"/>
            <w:tcBorders>
              <w:bottom w:val="single" w:sz="8" w:color="CCFFCC"/>
            </w:tcBorders>
          </w:tcPr>
          <w:p>
            <w:pPr>
              <w:spacing w:after="0"/>
              <w:rPr>
                <w:sz w:val="12"/>
                <w:szCs w:val="12"/>
                <w:color w:val="auto"/>
              </w:rPr>
            </w:pPr>
          </w:p>
        </w:tc>
        <w:tc>
          <w:tcPr>
            <w:tcW w:w="260" w:type="dxa"/>
            <w:vAlign w:val="bottom"/>
            <w:tcBorders>
              <w:bottom w:val="single" w:sz="8" w:color="CCFFCC"/>
            </w:tcBorders>
          </w:tcPr>
          <w:p>
            <w:pPr>
              <w:spacing w:after="0"/>
              <w:rPr>
                <w:sz w:val="12"/>
                <w:szCs w:val="12"/>
                <w:color w:val="auto"/>
              </w:rPr>
            </w:pPr>
          </w:p>
        </w:tc>
        <w:tc>
          <w:tcPr>
            <w:tcW w:w="660" w:type="dxa"/>
            <w:vAlign w:val="bottom"/>
            <w:tcBorders>
              <w:bottom w:val="single" w:sz="8" w:color="CCFFCC"/>
            </w:tcBorders>
          </w:tcPr>
          <w:p>
            <w:pPr>
              <w:spacing w:after="0"/>
              <w:rPr>
                <w:sz w:val="12"/>
                <w:szCs w:val="12"/>
                <w:color w:val="auto"/>
              </w:rPr>
            </w:pPr>
          </w:p>
        </w:tc>
        <w:tc>
          <w:tcPr>
            <w:tcW w:w="14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Risk-weighted assets / Regulatory Capital</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7.09</w:t>
            </w:r>
          </w:p>
        </w:tc>
        <w:tc>
          <w:tcPr>
            <w:tcW w:w="24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6.29</w:t>
            </w:r>
          </w:p>
        </w:tc>
        <w:tc>
          <w:tcPr>
            <w:tcW w:w="24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6.76</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9" w:lineRule="exact"/>
        <w:rPr>
          <w:rFonts w:ascii="Arial" w:cs="Arial" w:eastAsia="Arial" w:hAnsi="Arial"/>
          <w:sz w:val="18"/>
          <w:szCs w:val="18"/>
          <w:i w:val="1"/>
          <w:iCs w:val="1"/>
          <w:color w:val="auto"/>
        </w:rPr>
      </w:pPr>
    </w:p>
    <w:p>
      <w:pPr>
        <w:jc w:val="both"/>
        <w:ind w:left="340" w:hanging="332"/>
        <w:spacing w:after="0" w:line="265" w:lineRule="auto"/>
        <w:tabs>
          <w:tab w:leader="none" w:pos="3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 Credit risk-weighted assets + Market risk-weighted assets + Operational risk-weighted assets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adjustment factor: 0.98. Since July 2012, the adjustment factor has changed to 1.00</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adjustment factor: 0.5. Since July 2012, the adjustment factor has changed to 0.6</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340" w:right="20" w:hanging="332"/>
        <w:spacing w:after="0" w:line="250"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2012, 40% of the additional capital requirements are required to cover systematic risk, concentration risk, economic cycle risk, risk propensity and ALM.</w:t>
      </w: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Tier I Common = Capital + Reserves – 100% of Investment in Subsidiaries + retained earnings adjusted by average payout</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to date</w:t>
            </w:r>
          </w:p>
        </w:tc>
        <w:tc>
          <w:tcPr>
            <w:tcW w:w="11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millions</w:t>
            </w:r>
          </w:p>
        </w:tc>
        <w:tc>
          <w:tcPr>
            <w:tcW w:w="14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3Q12</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3Q11</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Sep 12 / Sep 11</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16.0</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14.4</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11.1</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43.8%</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43.8</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29.3</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-41.7%</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26.8</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-36.6</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6.9</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29.2%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42.2%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14.2</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59.8%</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-595.2%</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-139.3%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tax</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-0.8</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171.4%</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335.6%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-0.8</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699.3%</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w:t>
            </w:r>
          </w:p>
        </w:tc>
        <w:tc>
          <w:tcPr>
            <w:tcW w:w="220" w:type="dxa"/>
            <w:vAlign w:val="bottom"/>
            <w:tcBorders>
              <w:bottom w:val="single" w:sz="8" w:color="CCFFC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16.6</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14.1</w:t>
            </w:r>
          </w:p>
        </w:tc>
        <w:tc>
          <w:tcPr>
            <w:tcW w:w="220" w:type="dxa"/>
            <w:vAlign w:val="bottom"/>
            <w:tcBorders>
              <w:bottom w:val="single" w:sz="8" w:color="CCFFCC"/>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17.2</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844.7</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810.2</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727.3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16.1%</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34.6%</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-27.4</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348.2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107.1%</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1,380.7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1,335.6</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1,107.7</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24.6%</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1,176.3</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981.8</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23.2%</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130.0</w:t>
            </w:r>
          </w:p>
        </w:tc>
        <w:tc>
          <w:tcPr>
            <w:tcW w:w="22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124.5</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103.1</w:t>
            </w:r>
          </w:p>
        </w:tc>
        <w:tc>
          <w:tcPr>
            <w:tcW w:w="22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26.2%</w:t>
            </w: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color w:val="auto"/>
              </w:rPr>
              <w:t>PDL ratio</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1.37%</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1.42%</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1.18%</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275.0%</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272.3%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332.0%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ROAE *</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Agentes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189</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198</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34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1,507</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1,483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1,341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1663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i w:val="1"/>
          <w:iCs w:val="1"/>
          <w:color w:val="auto"/>
        </w:rPr>
        <w:t>* ROE for september 2012 is 18.2% (Year to date) and septiembre 2011 is 19.3% (year to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3Q12, BCP Bolivia reported net income of US$ 5.4 million, which represented a 3.8% decline QoQ. This drop in net income is due to:</w:t>
      </w:r>
    </w:p>
    <w:p>
      <w:pPr>
        <w:spacing w:after="0" w:line="225"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operating expenses (+7.7% QoQ), which is attributable to the reduction in 3Q12 of sales of foreclosed assets that are reported as a reduction in operating expenses.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Higher income tax (+171.4%) due to the introduction by the Bolivian government of an additional tax of 12.5%for all financial institutions when the ratio of income before taxes to shareholder´s equity is above 13%. This new tax is incremental to the already existing 25% tax on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was offset by:</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net interest income (+11.0%) due to expansion in the loan portfolio (+4.3%) and higher interest on investments;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in net provisions for loan losses (-41.7%).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fell 2.4% YoY. This was due primarily to the 335.6% increase reported in income tax, which was attributable to the implementation of the new tax, and a drop in non-financial income (-18.5%) that was mainly associated with lower volumes in transfers and foreign exchange transactions. This decline was partially offset by an increase in net interest income (+43.8%) due to growth in interest on loans, which was in line with expansion in the loan portfolio(+16.1%), and was also linked with higher interest on the investment portfolio (+107.1%).</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important to note that the bank’s conservative approach to credit risk management allowed it to report a PDL ratio of 1.37% in 3Q12 (1.42% in 2Q12 and 1.18% in 3Q11) and a coverage ratio of 275.0% (272.3% in 2Q12 and 332.0% in 3Q11). These indicators are proof that BCP Bolivia is one of the best performers in the Bolivian banking system, which reported a PDL ratio of 1.72% and a coverage ratio of 264.2% at the end of 3Q12. BCP Bolivia’s ROAE in 3Q12 was 17.0%, which represents a decline with regard to the 18.5% posted in 2Q12 and the 19.3% registered in 3Q11.</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BCP Bolivia’s loan balance at the end of September 2012 was US$ 844.7 million, which represents a 4.3% increase with regard to the US$ 810.2 million posted in June 2012 and is 16.1% higher than the level registered at the end of September 2011. Loan growth in 3Q12 was due to dynamism in Retail Banking (55.9% of BCP Bolivia’s portfolio), which expanded +7.2% QoQ and +21.4% YoY. Within this banking division, the segments that grew the most were SME (+8.1% QoQ and +27.1% YoY), which represents 28.8% of this portfolio; Installment Loans (+7.9% QoQ and +34.1 YoY), which accounts for 14.4% of retail loans; and the home mortgages (+6.2% QoQ and +15.9% YoY), which represent 40.9% of this division’s loan portfolio.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Wholesale Banking portfolio, which represents 41.8% of BCP’s total portfolio, grew +0.7% QoQ and +10.3% YoY.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Bolivia’s investment portfolio at the end of September 2012 totaled US$ 348.2 million. This represents a decrease of 1.1% QoQ and growth of 107.1% YoY, which was mainly due to an increase in investments in the Central Bank of Bolivia.</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terms of liabilities, during this period BCP Bolivia’s deposits expanded 2.9% QoQ, which is due primarily to a 4.2% increase in demand deposits. The YoY analysis reflects growth of 23.2% due to dynamism in savings deposits (+21.8%), demand deposits (+19.4%) and time deposits (+13.1%).</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shareholders’ equity increased 4.5% QoQ and 26.2% YoY. The YoY increase was due to the fact that 85% of the earnings obtained in 2011 were set aside in voluntary reserves while the remaining 15% are reported under retained earnings.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maintains a solid market share of 11.1% of current loans and 11.4% of total deposits, which situates the bank in third place in the Bolivian banking system for loans (as our distance from the fourth-place competitor continues to grow) and fourth in terms of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indicate that the new Law for Banking has not been published yet.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IV. Financiera Edyficar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Edyficar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520"/>
              <w:spacing w:after="0"/>
              <w:rPr>
                <w:sz w:val="20"/>
                <w:szCs w:val="20"/>
                <w:color w:val="auto"/>
              </w:rPr>
            </w:pPr>
            <w:r>
              <w:rPr>
                <w:rFonts w:ascii="Arial" w:cs="Arial" w:eastAsia="Arial" w:hAnsi="Arial"/>
                <w:sz w:val="14"/>
                <w:szCs w:val="14"/>
                <w:b w:val="1"/>
                <w:bCs w:val="1"/>
                <w:color w:val="auto"/>
                <w:w w:val="94"/>
              </w:rPr>
              <w:t>Year to date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3Q11</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 12 / Sep 11</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38,900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35,908</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29,239</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8.3%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33.0%</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108,589</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80,779</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(7,186)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(6,003)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(3,785)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19.7%</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(18,469)</w:t>
            </w:r>
          </w:p>
        </w:tc>
        <w:tc>
          <w:tcPr>
            <w:tcW w:w="2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(10,939)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447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15.5%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288.7%</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1,058</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(22,115)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(20,200)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(15,894)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(61,606)</w:t>
            </w:r>
          </w:p>
        </w:tc>
        <w:tc>
          <w:tcPr>
            <w:tcW w:w="2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(45,450)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10,046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10,092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9,675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-0.5%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3.8%</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29,572</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24,973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3,006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810.0%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421.8%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4,978</w:t>
            </w:r>
          </w:p>
        </w:tc>
        <w:tc>
          <w:tcPr>
            <w:tcW w:w="2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277.7%</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(3,128)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(3,031)</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(2,611)</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19.8%</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(9,296)</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(7,620)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9,925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7,391</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6,130</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34.3%</w:t>
            </w:r>
          </w:p>
        </w:tc>
        <w:tc>
          <w:tcPr>
            <w:tcW w:w="22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61.9%</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25,255</w:t>
            </w:r>
          </w:p>
        </w:tc>
        <w:tc>
          <w:tcPr>
            <w:tcW w:w="2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18,671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2"/>
        </w:trPr>
        <w:tc>
          <w:tcPr>
            <w:tcW w:w="32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Contribution to BCP</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9,904</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7,376</w:t>
            </w:r>
          </w:p>
        </w:tc>
        <w:tc>
          <w:tcPr>
            <w:tcW w:w="2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6,117</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34.3</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61.9</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25,201</w:t>
            </w:r>
          </w:p>
        </w:tc>
        <w:tc>
          <w:tcPr>
            <w:tcW w:w="24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bottom w:val="single" w:sz="8" w:color="auto"/>
            </w:tcBorders>
            <w:shd w:val="clear" w:color="auto" w:fill="CCFFCC"/>
          </w:tcPr>
          <w:p>
            <w:pPr>
              <w:spacing w:after="0"/>
              <w:rPr>
                <w:sz w:val="12"/>
                <w:szCs w:val="12"/>
                <w:color w:val="auto"/>
              </w:rPr>
            </w:pPr>
          </w:p>
        </w:tc>
        <w:tc>
          <w:tcPr>
            <w:tcW w:w="5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18,632</w:t>
            </w: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35.3</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20" w:type="dxa"/>
            <w:vAlign w:val="bottom"/>
            <w:gridSpan w:val="2"/>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659,383</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586,302</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440,593</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49.7%</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659,383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4"/>
              </w:rPr>
              <w:t>440,593</w:t>
            </w:r>
          </w:p>
        </w:tc>
        <w:tc>
          <w:tcPr>
            <w:tcW w:w="22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26,886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24,725</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18,099</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48.5%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26,886</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18,099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(46,157)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(41,040)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(31,020)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48.8%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(46,157)</w:t>
            </w:r>
          </w:p>
        </w:tc>
        <w:tc>
          <w:tcPr>
            <w:tcW w:w="2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(31,020)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1,013,915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812,299</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500,038</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24.8%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102.8%</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1,013,915</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4"/>
              </w:rPr>
              <w:t>500,038</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530,526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387,678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164,722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222.1%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530,526</w:t>
            </w:r>
          </w:p>
        </w:tc>
        <w:tc>
          <w:tcPr>
            <w:tcW w:w="2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164,722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87,137</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77,229</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68,206</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27.8%</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87,137</w:t>
            </w:r>
          </w:p>
        </w:tc>
        <w:tc>
          <w:tcPr>
            <w:tcW w:w="2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68,206</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PDL ratio</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4.22%</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4.11%</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4.1%</w:t>
            </w:r>
          </w:p>
        </w:tc>
        <w:tc>
          <w:tcPr>
            <w:tcW w:w="28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171.7%</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166.0%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171.4%</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171.7%</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171.4%</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Return on average equity*</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29.9%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21.2%</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26.2%</w:t>
            </w:r>
          </w:p>
        </w:tc>
        <w:tc>
          <w:tcPr>
            <w:tcW w:w="2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22.5%</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Branches</w:t>
            </w:r>
          </w:p>
        </w:tc>
        <w:tc>
          <w:tcPr>
            <w:tcW w:w="7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149</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137</w:t>
            </w:r>
          </w:p>
        </w:tc>
        <w:tc>
          <w:tcPr>
            <w:tcW w:w="2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109</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5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2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2,790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3,045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2,297</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-8890</wp:posOffset>
            </wp:positionV>
            <wp:extent cx="17837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140" w:hanging="132"/>
        <w:spacing w:after="0"/>
        <w:tabs>
          <w:tab w:leader="none" w:pos="1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The calculation of ROAE consider an adjustment in Net shareholders´ equity that includes US$ 50.7 millions from goodwill.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3Q12, Edyficar reported net Income of US$ 9.9 million, which represents a 34.3% increase QoQ that is attributable primarily to:</w:t>
      </w:r>
    </w:p>
    <w:p>
      <w:pPr>
        <w:spacing w:after="0" w:line="225" w:lineRule="exact"/>
        <w:rPr>
          <w:sz w:val="20"/>
          <w:szCs w:val="20"/>
          <w:color w:val="auto"/>
        </w:rPr>
      </w:pPr>
    </w:p>
    <w:p>
      <w:pPr>
        <w:ind w:left="1280" w:hanging="637"/>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8.3% increase QoQ in net interest income, which is in line with excellent loan growth; and</w:t>
      </w:r>
    </w:p>
    <w:p>
      <w:pPr>
        <w:spacing w:after="0" w:line="225" w:lineRule="exact"/>
        <w:rPr>
          <w:rFonts w:ascii="Arial" w:cs="Arial" w:eastAsia="Arial" w:hAnsi="Arial"/>
          <w:sz w:val="18"/>
          <w:szCs w:val="18"/>
          <w:color w:val="auto"/>
        </w:rPr>
      </w:pPr>
    </w:p>
    <w:p>
      <w:pPr>
        <w:ind w:left="1280" w:hanging="637"/>
        <w:spacing w:after="0" w:line="277"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translation gain of US$ 3 million due to a 2.7% appreciation in the Nuevo Sol this quarter, which contrasts with the depreciation of only 0.2% in local currency in 2Q12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offset:</w:t>
      </w:r>
    </w:p>
    <w:p>
      <w:pPr>
        <w:spacing w:after="0" w:line="225" w:lineRule="exact"/>
        <w:rPr>
          <w:sz w:val="20"/>
          <w:szCs w:val="20"/>
          <w:color w:val="auto"/>
        </w:rPr>
      </w:pPr>
    </w:p>
    <w:p>
      <w:pPr>
        <w:ind w:left="1280" w:hanging="637"/>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for more provisions for loan losses (+19.7%) due to portfolio growth as well as provisions required for charge offs; and</w:t>
      </w:r>
    </w:p>
    <w:p>
      <w:pPr>
        <w:spacing w:after="0" w:line="236" w:lineRule="exact"/>
        <w:rPr>
          <w:rFonts w:ascii="Arial" w:cs="Arial" w:eastAsia="Arial" w:hAnsi="Arial"/>
          <w:sz w:val="17"/>
          <w:szCs w:val="17"/>
          <w:color w:val="auto"/>
        </w:rPr>
      </w:pPr>
    </w:p>
    <w:p>
      <w:pPr>
        <w:ind w:left="1280" w:hanging="637"/>
        <w:spacing w:after="0"/>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9.5% increase QoQ in operating expenses associated with efforts to open new offices and the beginning of the Christmas campaign.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YoY comparison indicates that net income grew 61.9% due to an increase in NII (+33.0%), which was attributable to the excellent evolution of loans and an on-target approach to managing portfolio quality. Other noteworthy items this Q include the increase in non-financial income (+288.7%) and in translation result (+421.8%) due to the structural position to exposure (the position in the balance of FC Assets and FC Liabilities according to the exchange rate). These factors absorbed growth in operating expenses (+39.1%) and an increase in provision requirements (+89.8%).</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portfolio volume and quality, loans grew 12.5% QoQ to top US$ 659 million. This represented growth of 49.7% YoY that reflects continuous expansion and the fact that Edyficar’s market share in the sector has increased. Although the past due portfolio reported growth of 8.7% QoQ and 48.5% YoY, the PDL ratio fell slightly (from 4.22% in 2Q12 to 4.08% at the end of 3Q12) due to significant loan expansion. In this context, the coverage ratio for past due loans was situated at 171.7% at the end of 3Q12.</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shareholders’ equity increased 12.8% in 3Q12 in line with growth in retained earnings. The return on average equity (ROAE) in 3Q12 was situated at 29.9% with goodwill and 48.3% without goodwill.</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 w:name="page29"/>
    <w:bookmarkEnd w:id="2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In accumulated terms at the end of September 2012, Edyficar’s net income grew 35.3% due to an increase in net interest income (+34.4%), which helped offset growth in operating expenses (+35.5%) and higher requirements for provisions for loan losses (+68.8%). On the assets’ side, total assets grew 102.8% between September 2011 and September 2012 due to loan growth of 49.7% as well as growth in the investment portfolio. Fixed assets grew 59.8% due to growth in the number of branch offices, which went from a total of 109 in 3Q11 to 149 in 3Q12.</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results obtained by Financiera Edyficar show that it continues to contribute to BCP’s objectives in terms of loan growth and income generation.</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Pacifico Grupo Asegurador (PGA)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Pacífico Grupo</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Pacifico Insurance Group, which is composed of property and casualty insurance (PPS); life insurance (PV); and health insurance (EPS) reported net income before minority interest of US$ 21.0 million in 3Q12. This represents a 12.9% decrease with regard to the US$ 24.2 million reported in 2Q12.</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Result fell somewhat from the US$ 33.9 million reported in 2Q12 to US$ 32.3 million this quarter (-4.6% QoQ). This result was attributable to an increase in the loss ratio registered in the Health (from 81.2% to 86.4%) and Life (from 60.4% to 65.1%) businesses despite the fact that quarterly premium turnover was favorable this quarter, posting 7% growth in net earned premiums generated across the group’s companies. In contrast, the underwriting result grew 30.3% YoY due to a 23.8% increase in net earned premiums in the Property and Casualty (+19.2%) and Life Insurance (+28.9%) businesses in particular.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income increased 1.8% QoQ and 18.4% YoY. In both cases, improvements in this item are attributable to PPS, whose financial income increased from US$ 5.7 million in 3Q11 to US$ 9.4 million in 2Q12 and US$ 11.1 million in 3Q12.</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in 3Q12 increased 11.9% QoQ, primarily in PPS (+10.5%) and the medical subsidiaries (+38.4%). The increase seen in the subsidiaries’ operating expenses is associated with the process to organize and improve the medical services network while higher spending at PPS is attributable to efforts to develop the direct sales force and expand into the provinces. These investments are part of a strategy to diversify our risk portfolio and develop direct and alternative channels for distribution. It is important to consider the impact of the Nuevo Sol’s 2.7% appreciation against the US Dollar on the expenses denominated in local currency, which represent approximately 85% of total operating expenses.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translation result went from posting a slight loss of US$ 0.04 million in 2Q12 to reporting gains of US$ 3.5 million this quarter. Accordingly, income tax increased 60.6% to total US$4.2 million in 3Q12 versus US$ 2.6 million in 2Q12.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this context, the insurance group’s contribution to Credicorp was US$ 20.6 million in 3Q12, which represents a 12.9% decline QoQ (US$ 23.7 million).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Net earnings (1)</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Adjustment for</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6"/>
              </w:rPr>
              <w:t>Total Contribution</w:t>
            </w: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36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PPS</w:t>
            </w:r>
          </w:p>
        </w:tc>
        <w:tc>
          <w:tcPr>
            <w:tcW w:w="13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PV</w:t>
            </w:r>
          </w:p>
        </w:tc>
        <w:tc>
          <w:tcPr>
            <w:tcW w:w="13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EPS (2)</w:t>
            </w:r>
          </w:p>
        </w:tc>
        <w:tc>
          <w:tcPr>
            <w:tcW w:w="13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PGA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consolidation</w:t>
            </w:r>
          </w:p>
        </w:tc>
        <w:tc>
          <w:tcPr>
            <w:tcW w:w="80" w:type="dxa"/>
            <w:vAlign w:val="bottom"/>
          </w:tcPr>
          <w:p>
            <w:pPr>
              <w:spacing w:after="0"/>
              <w:rPr>
                <w:sz w:val="20"/>
                <w:szCs w:val="20"/>
                <w:color w:val="auto"/>
              </w:rPr>
            </w:pPr>
          </w:p>
        </w:tc>
        <w:tc>
          <w:tcPr>
            <w:tcW w:w="16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to BAP</w:t>
            </w:r>
          </w:p>
        </w:tc>
      </w:tr>
      <w:tr>
        <w:trPr>
          <w:trHeight w:val="210"/>
        </w:trPr>
        <w:tc>
          <w:tcPr>
            <w:tcW w:w="29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3Q11</w:t>
            </w:r>
          </w:p>
        </w:tc>
        <w:tc>
          <w:tcPr>
            <w:tcW w:w="10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11,665</w:t>
            </w:r>
          </w:p>
        </w:tc>
        <w:tc>
          <w:tcPr>
            <w:tcW w:w="26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1,206</w:t>
            </w:r>
          </w:p>
        </w:tc>
        <w:tc>
          <w:tcPr>
            <w:tcW w:w="28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13,601</w:t>
            </w:r>
          </w:p>
        </w:tc>
        <w:tc>
          <w:tcPr>
            <w:tcW w:w="26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13,286</w:t>
            </w:r>
          </w:p>
        </w:tc>
        <w:tc>
          <w:tcPr>
            <w:tcW w:w="160" w:type="dxa"/>
            <w:vAlign w:val="bottom"/>
            <w:tcBorders>
              <w:top w:val="single" w:sz="8" w:color="CCFFCC"/>
            </w:tcBorders>
            <w:shd w:val="clear" w:color="auto" w:fill="CCFFCC"/>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4Q11</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5,354</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8,408</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(1,533)</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11,825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11,945</w:t>
            </w:r>
          </w:p>
        </w:tc>
      </w:tr>
      <w:tr>
        <w:trPr>
          <w:trHeight w:val="216"/>
        </w:trPr>
        <w:tc>
          <w:tcPr>
            <w:tcW w:w="3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1Q12</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(6,562)</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11,489</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4,922</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w:t>
            </w:r>
          </w:p>
        </w:tc>
        <w:tc>
          <w:tcPr>
            <w:tcW w:w="168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4,823.0</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2Q12</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6,695</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16,291</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1,186</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24,155</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(24,155)</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23,663</w:t>
            </w:r>
          </w:p>
        </w:tc>
      </w:tr>
      <w:tr>
        <w:trPr>
          <w:trHeight w:val="230"/>
        </w:trPr>
        <w:tc>
          <w:tcPr>
            <w:tcW w:w="3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3Q12</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8,697</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14,976</w:t>
            </w:r>
          </w:p>
        </w:tc>
        <w:tc>
          <w:tcPr>
            <w:tcW w:w="13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(2,336)</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21,048</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(431)</w:t>
            </w:r>
          </w:p>
        </w:tc>
        <w:tc>
          <w:tcPr>
            <w:tcW w:w="168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20,617</w:t>
            </w:r>
          </w:p>
        </w:tc>
      </w:tr>
      <w:tr>
        <w:trPr>
          <w:trHeight w:val="210"/>
        </w:trPr>
        <w:tc>
          <w:tcPr>
            <w:tcW w:w="30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QoQ</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3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Before including minority interest.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Médica, an additional company which offers medical assistance services and medical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Property and Casualty (PPS)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earnings in 3Q12 totaled US$ 8.7 million. This result allowed Pacifico Property and Casualty to turn around the loss posted in 1Q12, which reported several severe claims in the property and casualty (US$ 10.6 million), and topped the net earnings reported in 2Q12 (US$ 6.7 million) and 3Q11 (US$ 0.7 million). This Q’s result was attributable primarily to: a) an increase in the underwriting result and b) higher financial income.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This business’s operating result, with regard to its underwriting result, posted a 17.6% increase QoQ due to higher premium turnover (+ US$16.8 million) in all business lines. In YoY terms, the underwriting result increased 79.1%; this was due primarily to higher premium turnover (+US$ 13.8 million) and a US$ 1.1 million drop in net claims. The loss ratio improved, falling from 59.8% in 3Q11 and 50.9% in 2Q12 to 48.7% in 3Q12. This decline is attributable to the process to align underwriting with the company’s appetite for risk, which limits its exposure.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financial income at PPS totaled US$ 11.1 million in 3Q12, which represents growth of 18.5% QoQ and 94.1% YoY. These improvements were attributable to an adequate and diversified approach to managing the company’s portfolio, which also benefited from higher gains on sales of securities. It is important to point out that PPS sold one of its commercial properties in the district of Miraflores last quarter, which generated reported earnings of US$ 7.5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PPS’s different business lines: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ind w:left="500"/>
              <w:spacing w:after="0"/>
              <w:rPr>
                <w:sz w:val="20"/>
                <w:szCs w:val="20"/>
                <w:color w:val="auto"/>
              </w:rPr>
            </w:pPr>
            <w:r>
              <w:rPr>
                <w:rFonts w:ascii="Arial" w:cs="Arial" w:eastAsia="Arial" w:hAnsi="Arial"/>
                <w:sz w:val="11"/>
                <w:szCs w:val="11"/>
                <w:b w:val="1"/>
                <w:bCs w:val="1"/>
                <w:color w:val="auto"/>
              </w:rPr>
              <w:t>3Q12</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rPr>
              <w:t>2Q12</w:t>
            </w: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3Q11</w:t>
            </w: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tcPr>
          <w:p>
            <w:pPr>
              <w:jc w:val="center"/>
              <w:ind w:right="280"/>
              <w:spacing w:after="0" w:line="102" w:lineRule="exact"/>
              <w:rPr>
                <w:sz w:val="20"/>
                <w:szCs w:val="20"/>
                <w:color w:val="auto"/>
              </w:rPr>
            </w:pPr>
            <w:r>
              <w:rPr>
                <w:rFonts w:ascii="Arial" w:cs="Arial" w:eastAsia="Arial" w:hAnsi="Arial"/>
                <w:sz w:val="11"/>
                <w:szCs w:val="11"/>
                <w:b w:val="1"/>
                <w:bCs w:val="1"/>
                <w:color w:val="auto"/>
                <w:w w:val="87"/>
              </w:rPr>
              <w:t>Private</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w w:val="87"/>
              </w:rPr>
              <w:t>Private</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2"/>
              </w:rPr>
              <w:t>Private</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4"/>
              </w:rPr>
              <w:t>Underwriting Result by Business Unit</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Vehicle</w:t>
            </w:r>
          </w:p>
        </w:tc>
        <w:tc>
          <w:tcPr>
            <w:tcW w:w="80" w:type="dxa"/>
            <w:vAlign w:val="bottom"/>
          </w:tcPr>
          <w:p>
            <w:pPr>
              <w:spacing w:after="0"/>
              <w:rPr>
                <w:sz w:val="10"/>
                <w:szCs w:val="10"/>
                <w:color w:val="auto"/>
              </w:rPr>
            </w:pPr>
          </w:p>
        </w:tc>
        <w:tc>
          <w:tcPr>
            <w:tcW w:w="840" w:type="dxa"/>
            <w:vAlign w:val="bottom"/>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Vehicle</w:t>
            </w:r>
          </w:p>
        </w:tc>
        <w:tc>
          <w:tcPr>
            <w:tcW w:w="100" w:type="dxa"/>
            <w:vAlign w:val="bottom"/>
          </w:tcPr>
          <w:p>
            <w:pPr>
              <w:spacing w:after="0"/>
              <w:rPr>
                <w:sz w:val="10"/>
                <w:szCs w:val="10"/>
                <w:color w:val="auto"/>
              </w:rPr>
            </w:pPr>
          </w:p>
        </w:tc>
        <w:tc>
          <w:tcPr>
            <w:tcW w:w="86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Health</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Vehicle</w:t>
            </w:r>
          </w:p>
        </w:tc>
        <w:tc>
          <w:tcPr>
            <w:tcW w:w="8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Health</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rPr>
                <w:sz w:val="20"/>
                <w:szCs w:val="20"/>
                <w:color w:val="auto"/>
              </w:rPr>
            </w:pPr>
            <w:r>
              <w:rPr>
                <w:rFonts w:ascii="Arial" w:cs="Arial" w:eastAsia="Arial" w:hAnsi="Arial"/>
                <w:sz w:val="11"/>
                <w:szCs w:val="11"/>
                <w:color w:val="auto"/>
              </w:rPr>
              <w:t>US$ million</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Insurance</w:t>
            </w:r>
          </w:p>
        </w:tc>
        <w:tc>
          <w:tcPr>
            <w:tcW w:w="80" w:type="dxa"/>
            <w:vAlign w:val="bottom"/>
          </w:tcPr>
          <w:p>
            <w:pPr>
              <w:spacing w:after="0"/>
              <w:rPr>
                <w:sz w:val="11"/>
                <w:szCs w:val="11"/>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2"/>
              </w:rPr>
              <w:t>Insurance</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1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PPS</w:t>
            </w:r>
          </w:p>
        </w:tc>
        <w:tc>
          <w:tcPr>
            <w:tcW w:w="1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2"/>
              </w:rPr>
              <w:t>Insurance</w:t>
            </w:r>
          </w:p>
        </w:tc>
        <w:tc>
          <w:tcPr>
            <w:tcW w:w="100" w:type="dxa"/>
            <w:vAlign w:val="bottom"/>
          </w:tcPr>
          <w:p>
            <w:pPr>
              <w:spacing w:after="0"/>
              <w:rPr>
                <w:sz w:val="11"/>
                <w:szCs w:val="11"/>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2"/>
              </w:rPr>
              <w:t>Insurance</w:t>
            </w:r>
          </w:p>
        </w:tc>
        <w:tc>
          <w:tcPr>
            <w:tcW w:w="7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P&amp;C</w:t>
            </w:r>
          </w:p>
        </w:tc>
        <w:tc>
          <w:tcPr>
            <w:tcW w:w="1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PPS</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Insurance</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Insurance</w:t>
            </w:r>
          </w:p>
        </w:tc>
        <w:tc>
          <w:tcPr>
            <w:tcW w:w="100" w:type="dxa"/>
            <w:vAlign w:val="bottom"/>
          </w:tcPr>
          <w:p>
            <w:pPr>
              <w:spacing w:after="0"/>
              <w:rPr>
                <w:sz w:val="11"/>
                <w:szCs w:val="11"/>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P&amp;C</w:t>
            </w:r>
          </w:p>
        </w:tc>
        <w:tc>
          <w:tcPr>
            <w:tcW w:w="100" w:type="dxa"/>
            <w:vAlign w:val="bottom"/>
          </w:tcPr>
          <w:p>
            <w:pPr>
              <w:spacing w:after="0"/>
              <w:rPr>
                <w:sz w:val="11"/>
                <w:szCs w:val="11"/>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PPS</w:t>
            </w:r>
          </w:p>
        </w:tc>
        <w:tc>
          <w:tcPr>
            <w:tcW w:w="0" w:type="dxa"/>
            <w:vAlign w:val="bottom"/>
          </w:tcPr>
          <w:p>
            <w:pPr>
              <w:spacing w:after="0"/>
              <w:rPr>
                <w:sz w:val="1"/>
                <w:szCs w:val="1"/>
                <w:color w:val="auto"/>
              </w:rPr>
            </w:pPr>
          </w:p>
        </w:tc>
      </w:tr>
      <w:tr>
        <w:trPr>
          <w:trHeight w:val="115"/>
        </w:trPr>
        <w:tc>
          <w:tcPr>
            <w:tcW w:w="1760" w:type="dxa"/>
            <w:vAlign w:val="bottom"/>
            <w:tcBorders>
              <w:top w:val="single" w:sz="8" w:color="auto"/>
            </w:tcBorders>
            <w:shd w:val="clear" w:color="auto" w:fill="CCFFCC"/>
          </w:tcPr>
          <w:p>
            <w:pPr>
              <w:spacing w:after="0" w:line="115" w:lineRule="exact"/>
              <w:rPr>
                <w:sz w:val="20"/>
                <w:szCs w:val="20"/>
                <w:color w:val="auto"/>
              </w:rPr>
            </w:pPr>
            <w:r>
              <w:rPr>
                <w:rFonts w:ascii="Arial" w:cs="Arial" w:eastAsia="Arial" w:hAnsi="Arial"/>
                <w:sz w:val="11"/>
                <w:szCs w:val="11"/>
                <w:color w:val="auto"/>
              </w:rPr>
              <w:t>Net earned premiums</w:t>
            </w:r>
          </w:p>
        </w:tc>
        <w:tc>
          <w:tcPr>
            <w:tcW w:w="140" w:type="dxa"/>
            <w:vAlign w:val="bottom"/>
            <w:tcBorders>
              <w:top w:val="single" w:sz="8" w:color="CCFFCC"/>
              <w:right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27.7</w:t>
            </w:r>
          </w:p>
        </w:tc>
        <w:tc>
          <w:tcPr>
            <w:tcW w:w="18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ind w:left="360"/>
              <w:spacing w:after="0" w:line="115" w:lineRule="exact"/>
              <w:rPr>
                <w:sz w:val="20"/>
                <w:szCs w:val="20"/>
                <w:color w:val="auto"/>
              </w:rPr>
            </w:pPr>
            <w:r>
              <w:rPr>
                <w:rFonts w:ascii="Arial" w:cs="Arial" w:eastAsia="Arial" w:hAnsi="Arial"/>
                <w:sz w:val="11"/>
                <w:szCs w:val="11"/>
                <w:color w:val="auto"/>
                <w:w w:val="74"/>
              </w:rPr>
              <w:t>23.9</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18.6</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ind w:left="320"/>
              <w:spacing w:after="0" w:line="115" w:lineRule="exact"/>
              <w:rPr>
                <w:sz w:val="20"/>
                <w:szCs w:val="20"/>
                <w:color w:val="auto"/>
              </w:rPr>
            </w:pPr>
            <w:r>
              <w:rPr>
                <w:rFonts w:ascii="Arial" w:cs="Arial" w:eastAsia="Arial" w:hAnsi="Arial"/>
                <w:sz w:val="11"/>
                <w:szCs w:val="11"/>
                <w:b w:val="1"/>
                <w:bCs w:val="1"/>
                <w:color w:val="auto"/>
                <w:w w:val="83"/>
              </w:rPr>
              <w:t>70.3</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25.7</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21.2</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17.6</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ind w:left="320"/>
              <w:spacing w:after="0" w:line="115" w:lineRule="exact"/>
              <w:rPr>
                <w:sz w:val="20"/>
                <w:szCs w:val="20"/>
                <w:color w:val="auto"/>
              </w:rPr>
            </w:pPr>
            <w:r>
              <w:rPr>
                <w:rFonts w:ascii="Arial" w:cs="Arial" w:eastAsia="Arial" w:hAnsi="Arial"/>
                <w:sz w:val="11"/>
                <w:szCs w:val="11"/>
                <w:b w:val="1"/>
                <w:bCs w:val="1"/>
                <w:color w:val="auto"/>
                <w:w w:val="83"/>
              </w:rPr>
              <w:t>64.6</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ind w:left="360"/>
              <w:spacing w:after="0" w:line="115" w:lineRule="exact"/>
              <w:rPr>
                <w:sz w:val="20"/>
                <w:szCs w:val="20"/>
                <w:color w:val="auto"/>
              </w:rPr>
            </w:pPr>
            <w:r>
              <w:rPr>
                <w:rFonts w:ascii="Arial" w:cs="Arial" w:eastAsia="Arial" w:hAnsi="Arial"/>
                <w:sz w:val="11"/>
                <w:szCs w:val="11"/>
                <w:color w:val="auto"/>
                <w:w w:val="74"/>
              </w:rPr>
              <w:t>24.5</w:t>
            </w:r>
          </w:p>
        </w:tc>
        <w:tc>
          <w:tcPr>
            <w:tcW w:w="22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17.6</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16.9</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00" w:type="dxa"/>
            <w:vAlign w:val="bottom"/>
            <w:tcBorders>
              <w:top w:val="single" w:sz="8" w:color="auto"/>
              <w:right w:val="single" w:sz="8" w:color="CCFFCC"/>
            </w:tcBorders>
            <w:shd w:val="clear" w:color="auto" w:fill="CCFFCC"/>
          </w:tcPr>
          <w:p>
            <w:pPr>
              <w:ind w:left="180"/>
              <w:spacing w:after="0" w:line="115" w:lineRule="exact"/>
              <w:rPr>
                <w:sz w:val="20"/>
                <w:szCs w:val="20"/>
                <w:color w:val="auto"/>
              </w:rPr>
            </w:pPr>
            <w:r>
              <w:rPr>
                <w:rFonts w:ascii="Arial" w:cs="Arial" w:eastAsia="Arial" w:hAnsi="Arial"/>
                <w:sz w:val="11"/>
                <w:szCs w:val="11"/>
                <w:b w:val="1"/>
                <w:bCs w:val="1"/>
                <w:color w:val="auto"/>
                <w:w w:val="83"/>
              </w:rPr>
              <w:t>58.9</w:t>
            </w: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Underwriting results</w:t>
            </w:r>
          </w:p>
        </w:tc>
        <w:tc>
          <w:tcPr>
            <w:tcW w:w="7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6.9</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9.4</w:t>
            </w:r>
          </w:p>
        </w:tc>
        <w:tc>
          <w:tcPr>
            <w:tcW w:w="820" w:type="dxa"/>
            <w:vAlign w:val="bottom"/>
            <w:gridSpan w:val="3"/>
          </w:tcPr>
          <w:p>
            <w:pPr>
              <w:ind w:left="420"/>
              <w:spacing w:after="0" w:line="122" w:lineRule="exact"/>
              <w:rPr>
                <w:sz w:val="20"/>
                <w:szCs w:val="20"/>
                <w:color w:val="auto"/>
              </w:rPr>
            </w:pPr>
            <w:r>
              <w:rPr>
                <w:rFonts w:ascii="Arial" w:cs="Arial" w:eastAsia="Arial" w:hAnsi="Arial"/>
                <w:sz w:val="11"/>
                <w:szCs w:val="11"/>
                <w:b w:val="1"/>
                <w:bCs w:val="1"/>
                <w:color w:val="auto"/>
              </w:rPr>
              <w:t>22.0</w:t>
            </w:r>
          </w:p>
        </w:tc>
        <w:tc>
          <w:tcPr>
            <w:tcW w:w="84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7.0</w:t>
            </w:r>
          </w:p>
        </w:tc>
        <w:tc>
          <w:tcPr>
            <w:tcW w:w="8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3.9</w:t>
            </w:r>
          </w:p>
        </w:tc>
        <w:tc>
          <w:tcPr>
            <w:tcW w:w="100" w:type="dxa"/>
            <w:vAlign w:val="bottom"/>
          </w:tcPr>
          <w:p>
            <w:pPr>
              <w:spacing w:after="0"/>
              <w:rPr>
                <w:sz w:val="10"/>
                <w:szCs w:val="10"/>
                <w:color w:val="auto"/>
              </w:rPr>
            </w:pP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7.8</w:t>
            </w:r>
          </w:p>
        </w:tc>
        <w:tc>
          <w:tcPr>
            <w:tcW w:w="820" w:type="dxa"/>
            <w:vAlign w:val="bottom"/>
            <w:gridSpan w:val="3"/>
          </w:tcPr>
          <w:p>
            <w:pPr>
              <w:ind w:left="420"/>
              <w:spacing w:after="0" w:line="122" w:lineRule="exact"/>
              <w:rPr>
                <w:sz w:val="20"/>
                <w:szCs w:val="20"/>
                <w:color w:val="auto"/>
              </w:rPr>
            </w:pPr>
            <w:r>
              <w:rPr>
                <w:rFonts w:ascii="Arial" w:cs="Arial" w:eastAsia="Arial" w:hAnsi="Arial"/>
                <w:sz w:val="11"/>
                <w:szCs w:val="11"/>
                <w:b w:val="1"/>
                <w:bCs w:val="1"/>
                <w:color w:val="auto"/>
              </w:rPr>
              <w:t>18.7</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w:t>
            </w:r>
          </w:p>
        </w:tc>
        <w:tc>
          <w:tcPr>
            <w:tcW w:w="22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w:t>
            </w:r>
          </w:p>
        </w:tc>
        <w:tc>
          <w:tcPr>
            <w:tcW w:w="20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5.3</w:t>
            </w:r>
          </w:p>
        </w:tc>
        <w:tc>
          <w:tcPr>
            <w:tcW w:w="200" w:type="dxa"/>
            <w:vAlign w:val="bottom"/>
          </w:tcPr>
          <w:p>
            <w:pPr>
              <w:spacing w:after="0"/>
              <w:rPr>
                <w:sz w:val="10"/>
                <w:szCs w:val="10"/>
                <w:color w:val="auto"/>
              </w:rPr>
            </w:pPr>
          </w:p>
        </w:tc>
        <w:tc>
          <w:tcPr>
            <w:tcW w:w="500" w:type="dxa"/>
            <w:vAlign w:val="bottom"/>
            <w:gridSpan w:val="2"/>
          </w:tcPr>
          <w:p>
            <w:pPr>
              <w:ind w:left="280"/>
              <w:spacing w:after="0" w:line="122" w:lineRule="exact"/>
              <w:rPr>
                <w:sz w:val="20"/>
                <w:szCs w:val="20"/>
                <w:color w:val="auto"/>
              </w:rPr>
            </w:pPr>
            <w:r>
              <w:rPr>
                <w:rFonts w:ascii="Arial" w:cs="Arial" w:eastAsia="Arial" w:hAnsi="Arial"/>
                <w:sz w:val="11"/>
                <w:szCs w:val="11"/>
                <w:b w:val="1"/>
                <w:bCs w:val="1"/>
                <w:color w:val="auto"/>
                <w:w w:val="83"/>
              </w:rPr>
              <w:t>12.4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Borders>
              <w:right w:val="single" w:sz="8" w:color="CCFFCC"/>
            </w:tcBorders>
            <w:gridSpan w:val="2"/>
            <w:shd w:val="clear" w:color="auto" w:fill="CCFFCC"/>
          </w:tcPr>
          <w:p>
            <w:pPr>
              <w:spacing w:after="0" w:line="122" w:lineRule="exact"/>
              <w:rPr>
                <w:sz w:val="20"/>
                <w:szCs w:val="20"/>
                <w:color w:val="auto"/>
              </w:rPr>
            </w:pPr>
            <w:r>
              <w:rPr>
                <w:rFonts w:ascii="Arial" w:cs="Arial" w:eastAsia="Arial" w:hAnsi="Arial"/>
                <w:sz w:val="11"/>
                <w:szCs w:val="11"/>
                <w:color w:val="auto"/>
              </w:rPr>
              <w:t>Loss ratio</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46.4%</w:t>
            </w:r>
          </w:p>
        </w:tc>
        <w:tc>
          <w:tcPr>
            <w:tcW w:w="820" w:type="dxa"/>
            <w:vAlign w:val="bottom"/>
            <w:gridSpan w:val="3"/>
            <w:shd w:val="clear" w:color="auto" w:fill="CCFFCC"/>
          </w:tcPr>
          <w:p>
            <w:pPr>
              <w:ind w:left="440"/>
              <w:spacing w:after="0" w:line="122" w:lineRule="exact"/>
              <w:rPr>
                <w:sz w:val="20"/>
                <w:szCs w:val="20"/>
                <w:color w:val="auto"/>
              </w:rPr>
            </w:pPr>
            <w:r>
              <w:rPr>
                <w:rFonts w:ascii="Arial" w:cs="Arial" w:eastAsia="Arial" w:hAnsi="Arial"/>
                <w:sz w:val="11"/>
                <w:szCs w:val="11"/>
                <w:color w:val="auto"/>
              </w:rPr>
              <w:t>67.5%</w:t>
            </w: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28.0%</w:t>
            </w:r>
          </w:p>
        </w:tc>
        <w:tc>
          <w:tcPr>
            <w:tcW w:w="820" w:type="dxa"/>
            <w:vAlign w:val="bottom"/>
            <w:gridSpan w:val="3"/>
            <w:shd w:val="clear" w:color="auto" w:fill="CCFFCC"/>
          </w:tcPr>
          <w:p>
            <w:pPr>
              <w:ind w:left="420"/>
              <w:spacing w:after="0" w:line="122" w:lineRule="exact"/>
              <w:rPr>
                <w:sz w:val="20"/>
                <w:szCs w:val="20"/>
                <w:color w:val="auto"/>
              </w:rPr>
            </w:pPr>
            <w:r>
              <w:rPr>
                <w:rFonts w:ascii="Arial" w:cs="Arial" w:eastAsia="Arial" w:hAnsi="Arial"/>
                <w:sz w:val="11"/>
                <w:szCs w:val="11"/>
                <w:b w:val="1"/>
                <w:bCs w:val="1"/>
                <w:color w:val="auto"/>
              </w:rPr>
              <w:t>48.7%</w:t>
            </w:r>
          </w:p>
        </w:tc>
        <w:tc>
          <w:tcPr>
            <w:tcW w:w="84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45.2%</w:t>
            </w:r>
          </w:p>
        </w:tc>
        <w:tc>
          <w:tcPr>
            <w:tcW w:w="8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68.8%</w:t>
            </w:r>
          </w:p>
        </w:tc>
        <w:tc>
          <w:tcPr>
            <w:tcW w:w="10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37.6%</w:t>
            </w:r>
          </w:p>
        </w:tc>
        <w:tc>
          <w:tcPr>
            <w:tcW w:w="820" w:type="dxa"/>
            <w:vAlign w:val="bottom"/>
            <w:gridSpan w:val="3"/>
            <w:shd w:val="clear" w:color="auto" w:fill="CCFFCC"/>
          </w:tcPr>
          <w:p>
            <w:pPr>
              <w:ind w:left="420"/>
              <w:spacing w:after="0" w:line="122" w:lineRule="exact"/>
              <w:rPr>
                <w:sz w:val="20"/>
                <w:szCs w:val="20"/>
                <w:color w:val="auto"/>
              </w:rPr>
            </w:pPr>
            <w:r>
              <w:rPr>
                <w:rFonts w:ascii="Arial" w:cs="Arial" w:eastAsia="Arial" w:hAnsi="Arial"/>
                <w:sz w:val="11"/>
                <w:szCs w:val="11"/>
                <w:b w:val="1"/>
                <w:bCs w:val="1"/>
                <w:color w:val="auto"/>
              </w:rPr>
              <w:t>50.9%</w:t>
            </w:r>
          </w:p>
        </w:tc>
        <w:tc>
          <w:tcPr>
            <w:tcW w:w="860" w:type="dxa"/>
            <w:vAlign w:val="bottom"/>
            <w:gridSpan w:val="3"/>
            <w:shd w:val="clear" w:color="auto" w:fill="CCFFCC"/>
          </w:tcPr>
          <w:p>
            <w:pPr>
              <w:ind w:left="460"/>
              <w:spacing w:after="0" w:line="122" w:lineRule="exact"/>
              <w:rPr>
                <w:sz w:val="20"/>
                <w:szCs w:val="20"/>
                <w:color w:val="auto"/>
              </w:rPr>
            </w:pPr>
            <w:r>
              <w:rPr>
                <w:rFonts w:ascii="Arial" w:cs="Arial" w:eastAsia="Arial" w:hAnsi="Arial"/>
                <w:sz w:val="11"/>
                <w:szCs w:val="11"/>
                <w:color w:val="auto"/>
              </w:rPr>
              <w:t>52.5%</w:t>
            </w:r>
          </w:p>
        </w:tc>
        <w:tc>
          <w:tcPr>
            <w:tcW w:w="84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76.4%</w:t>
            </w:r>
          </w:p>
        </w:tc>
        <w:tc>
          <w:tcPr>
            <w:tcW w:w="80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53.2%</w:t>
            </w:r>
          </w:p>
        </w:tc>
        <w:tc>
          <w:tcPr>
            <w:tcW w:w="580" w:type="dxa"/>
            <w:vAlign w:val="bottom"/>
            <w:gridSpan w:val="3"/>
            <w:shd w:val="clear" w:color="auto" w:fill="CCFFCC"/>
          </w:tcPr>
          <w:p>
            <w:pPr>
              <w:ind w:left="280"/>
              <w:spacing w:after="0" w:line="122" w:lineRule="exact"/>
              <w:rPr>
                <w:sz w:val="20"/>
                <w:szCs w:val="20"/>
                <w:color w:val="auto"/>
              </w:rPr>
            </w:pPr>
            <w:r>
              <w:rPr>
                <w:rFonts w:ascii="Arial" w:cs="Arial" w:eastAsia="Arial" w:hAnsi="Arial"/>
                <w:sz w:val="11"/>
                <w:szCs w:val="11"/>
                <w:b w:val="1"/>
                <w:bCs w:val="1"/>
                <w:color w:val="auto"/>
                <w:w w:val="89"/>
              </w:rPr>
              <w:t>59.8%</w:t>
            </w:r>
          </w:p>
        </w:tc>
        <w:tc>
          <w:tcPr>
            <w:tcW w:w="0" w:type="dxa"/>
            <w:vAlign w:val="bottom"/>
          </w:tcPr>
          <w:p>
            <w:pPr>
              <w:spacing w:after="0"/>
              <w:rPr>
                <w:sz w:val="1"/>
                <w:szCs w:val="1"/>
                <w:color w:val="auto"/>
              </w:rPr>
            </w:pPr>
          </w:p>
        </w:tc>
      </w:tr>
      <w:tr>
        <w:trPr>
          <w:trHeight w:val="112"/>
        </w:trPr>
        <w:tc>
          <w:tcPr>
            <w:tcW w:w="1900" w:type="dxa"/>
            <w:vAlign w:val="bottom"/>
            <w:gridSpan w:val="2"/>
          </w:tcPr>
          <w:p>
            <w:pPr>
              <w:spacing w:after="0" w:line="112" w:lineRule="exact"/>
              <w:rPr>
                <w:sz w:val="20"/>
                <w:szCs w:val="20"/>
                <w:color w:val="auto"/>
              </w:rPr>
            </w:pPr>
            <w:r>
              <w:rPr>
                <w:rFonts w:ascii="Arial" w:cs="Arial" w:eastAsia="Arial" w:hAnsi="Arial"/>
                <w:sz w:val="11"/>
                <w:szCs w:val="11"/>
                <w:color w:val="auto"/>
              </w:rPr>
              <w:t>Underwriting results / net earned</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1"/>
                <w:szCs w:val="11"/>
                <w:b w:val="1"/>
                <w:bCs w:val="1"/>
                <w:color w:val="auto"/>
              </w:rPr>
              <w:t>31.3%</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1"/>
                <w:szCs w:val="11"/>
                <w:b w:val="1"/>
                <w:bCs w:val="1"/>
                <w:color w:val="auto"/>
              </w:rPr>
              <w:t>29.0%</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vMerge w:val="restart"/>
          </w:tcPr>
          <w:p>
            <w:pPr>
              <w:ind w:left="280"/>
              <w:spacing w:after="0"/>
              <w:rPr>
                <w:sz w:val="20"/>
                <w:szCs w:val="20"/>
                <w:color w:val="auto"/>
              </w:rPr>
            </w:pPr>
            <w:r>
              <w:rPr>
                <w:rFonts w:ascii="Arial" w:cs="Arial" w:eastAsia="Arial" w:hAnsi="Arial"/>
                <w:sz w:val="11"/>
                <w:szCs w:val="11"/>
                <w:b w:val="1"/>
                <w:bCs w:val="1"/>
                <w:color w:val="auto"/>
                <w:w w:val="89"/>
              </w:rPr>
              <w:t>21.0%</w:t>
            </w:r>
          </w:p>
        </w:tc>
        <w:tc>
          <w:tcPr>
            <w:tcW w:w="0" w:type="dxa"/>
            <w:vAlign w:val="bottom"/>
          </w:tcPr>
          <w:p>
            <w:pPr>
              <w:spacing w:after="0"/>
              <w:rPr>
                <w:sz w:val="1"/>
                <w:szCs w:val="1"/>
                <w:color w:val="auto"/>
              </w:rPr>
            </w:pPr>
          </w:p>
        </w:tc>
      </w:tr>
      <w:tr>
        <w:trPr>
          <w:trHeight w:val="145"/>
        </w:trPr>
        <w:tc>
          <w:tcPr>
            <w:tcW w:w="1900" w:type="dxa"/>
            <w:vAlign w:val="bottom"/>
            <w:gridSpan w:val="2"/>
          </w:tcPr>
          <w:p>
            <w:pPr>
              <w:spacing w:after="0"/>
              <w:rPr>
                <w:sz w:val="20"/>
                <w:szCs w:val="20"/>
                <w:color w:val="auto"/>
              </w:rPr>
            </w:pPr>
            <w:r>
              <w:rPr>
                <w:rFonts w:ascii="Arial" w:cs="Arial" w:eastAsia="Arial" w:hAnsi="Arial"/>
                <w:sz w:val="11"/>
                <w:szCs w:val="11"/>
                <w:color w:val="auto"/>
              </w:rPr>
              <w:t>premiums</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24.9%</w:t>
            </w:r>
          </w:p>
        </w:tc>
        <w:tc>
          <w:tcPr>
            <w:tcW w:w="820" w:type="dxa"/>
            <w:vAlign w:val="bottom"/>
            <w:gridSpan w:val="3"/>
          </w:tcPr>
          <w:p>
            <w:pPr>
              <w:ind w:left="440"/>
              <w:spacing w:after="0"/>
              <w:rPr>
                <w:sz w:val="20"/>
                <w:szCs w:val="20"/>
                <w:color w:val="auto"/>
              </w:rPr>
            </w:pPr>
            <w:r>
              <w:rPr>
                <w:rFonts w:ascii="Arial" w:cs="Arial" w:eastAsia="Arial" w:hAnsi="Arial"/>
                <w:sz w:val="11"/>
                <w:szCs w:val="11"/>
                <w:color w:val="auto"/>
              </w:rPr>
              <w:t>23.9%</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50.4%</w:t>
            </w:r>
          </w:p>
        </w:tc>
        <w:tc>
          <w:tcPr>
            <w:tcW w:w="820" w:type="dxa"/>
            <w:vAlign w:val="bottom"/>
            <w:gridSpan w:val="3"/>
            <w:vMerge w:val="continue"/>
          </w:tcPr>
          <w:p>
            <w:pPr>
              <w:spacing w:after="0"/>
              <w:rPr>
                <w:sz w:val="12"/>
                <w:szCs w:val="1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1"/>
                <w:szCs w:val="11"/>
                <w:color w:val="auto"/>
              </w:rPr>
              <w:t>27.1%</w:t>
            </w:r>
          </w:p>
        </w:tc>
        <w:tc>
          <w:tcPr>
            <w:tcW w:w="860" w:type="dxa"/>
            <w:vAlign w:val="bottom"/>
            <w:gridSpan w:val="3"/>
          </w:tcPr>
          <w:p>
            <w:pPr>
              <w:jc w:val="right"/>
              <w:ind w:right="120"/>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44.4%</w:t>
            </w:r>
          </w:p>
        </w:tc>
        <w:tc>
          <w:tcPr>
            <w:tcW w:w="820" w:type="dxa"/>
            <w:vAlign w:val="bottom"/>
            <w:gridSpan w:val="3"/>
            <w:vMerge w:val="continue"/>
          </w:tcPr>
          <w:p>
            <w:pPr>
              <w:spacing w:after="0"/>
              <w:rPr>
                <w:sz w:val="12"/>
                <w:szCs w:val="12"/>
                <w:color w:val="auto"/>
              </w:rPr>
            </w:pPr>
          </w:p>
        </w:tc>
        <w:tc>
          <w:tcPr>
            <w:tcW w:w="860" w:type="dxa"/>
            <w:vAlign w:val="bottom"/>
            <w:gridSpan w:val="3"/>
          </w:tcPr>
          <w:p>
            <w:pPr>
              <w:ind w:left="460"/>
              <w:spacing w:after="0"/>
              <w:rPr>
                <w:sz w:val="20"/>
                <w:szCs w:val="20"/>
                <w:color w:val="auto"/>
              </w:rPr>
            </w:pPr>
            <w:r>
              <w:rPr>
                <w:rFonts w:ascii="Arial" w:cs="Arial" w:eastAsia="Arial" w:hAnsi="Arial"/>
                <w:sz w:val="11"/>
                <w:szCs w:val="11"/>
                <w:color w:val="auto"/>
              </w:rPr>
              <w:t>20.2%</w:t>
            </w:r>
          </w:p>
        </w:tc>
        <w:tc>
          <w:tcPr>
            <w:tcW w:w="840" w:type="dxa"/>
            <w:vAlign w:val="bottom"/>
            <w:gridSpan w:val="3"/>
          </w:tcPr>
          <w:p>
            <w:pPr>
              <w:jc w:val="right"/>
              <w:ind w:right="120"/>
              <w:spacing w:after="0"/>
              <w:rPr>
                <w:sz w:val="20"/>
                <w:szCs w:val="20"/>
                <w:color w:val="auto"/>
              </w:rPr>
            </w:pPr>
            <w:r>
              <w:rPr>
                <w:rFonts w:ascii="Arial" w:cs="Arial" w:eastAsia="Arial" w:hAnsi="Arial"/>
                <w:sz w:val="11"/>
                <w:szCs w:val="11"/>
                <w:color w:val="auto"/>
              </w:rPr>
              <w:t>13.0%</w:t>
            </w: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31.2%</w:t>
            </w: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40" w:hanging="632"/>
        <w:spacing w:after="0" w:line="2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Car Insurance business reported an underwriting result of US$ 6.9 million in 3Q12 (-0.7% QoQ). The expansion reported in net claims in the Car Line (+10.3% QoQ) had less to do with an increase in frequency than with the provision release for US$ 1.6 million that was reported in 2Q12, which reduced the level of net claims posted for this period. This situation offset the 7.8% increase QoQ in net earned premiums, which explains why the QoQ result was virtually flat.</w:t>
      </w:r>
    </w:p>
    <w:p>
      <w:pPr>
        <w:spacing w:after="0" w:line="186" w:lineRule="exact"/>
        <w:rPr>
          <w:rFonts w:ascii="Arial" w:cs="Arial" w:eastAsia="Arial" w:hAnsi="Arial"/>
          <w:sz w:val="18"/>
          <w:szCs w:val="18"/>
          <w:color w:val="auto"/>
        </w:rPr>
      </w:pPr>
    </w:p>
    <w:p>
      <w:pPr>
        <w:jc w:val="both"/>
        <w:ind w:left="640" w:hanging="632"/>
        <w:spacing w:after="0" w:line="2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Private Health reported a net underwriting result of US$ 5.7 million in 3Q12 (+45.7% QoQ). This result was attributable to: (i) an increase in net earned premiums, which totaled US$ 23.9 million (+12.8% QoQ) due to a process to regularize premiums for group insurance; align rates with risk; and significant growth in the sale of oncological insurance and (ii) a decline in the loss ratio (-1.3% QoQ) due to drop in severe claims for policies with foreign coverage.</w:t>
      </w:r>
    </w:p>
    <w:p>
      <w:pPr>
        <w:spacing w:after="0" w:line="186" w:lineRule="exact"/>
        <w:rPr>
          <w:rFonts w:ascii="Arial" w:cs="Arial" w:eastAsia="Arial" w:hAnsi="Arial"/>
          <w:sz w:val="18"/>
          <w:szCs w:val="18"/>
          <w:color w:val="auto"/>
        </w:rPr>
      </w:pPr>
    </w:p>
    <w:p>
      <w:pPr>
        <w:jc w:val="both"/>
        <w:ind w:left="640" w:hanging="632"/>
        <w:spacing w:after="0" w:line="2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Property and Casualty business (P &amp; C) reported an underwriting result of US$ 9.4 million in 3Q12 (+19.9% QoQ). This result is associated with: (i) an increase in net earned premiums (+5.6%) due to a release of reserves for on-going risk that was attributable to a change from a non-proportional reinsurance contract (100% retention) to a proportional reinsurance contract (ceded to reinsurance) to reduce our exposure to the risk of very severe losses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these results PPS posted a combined ratio of 100.3% in 3Q12, which represents an improvement over the 102.2% reported in 2Q12 and the 108.6% registered in 3Q11. This can be disaggregated as follows: 48.7 points correspond to expenses for net claims (50.9 in 2Q12, 59.8 in 3Q11); 20.0 points are attributable to acquisition costs (20.1 in 2Q12, 19.1 in 3Q11); and the remaining 31.7 points are associated with operating expenses (31.2 in 2Q12 and 29.4 in 3Q11).</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 w:name="page32"/>
    <w:bookmarkEnd w:id="3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Pacifico Life (PV)</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Pacifico Vida reported net earnings before minority interest of US$ 15.0 million in 3Q12, which represents an 8.1% decline with regard to 2Q12 (US$ 16.3 million) that was attributable to a lower Underwriting Result. Compared to 3Q11, net income for this period was up 28.4%.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underwriting result posted in 3Q12 was US$ -0.8 million. This figure falls below the US$ 3.2 million registered in 2Q12 due to higher claims(+9.2 QoQ), particularly in obligatory insurance (+ US$ 2.9 million) and an increase in provisions (US$ 6.6 million QoQ) in the Annuities lines (+ US$ 3.6 million QoQ) and Individual Life (+ US$ 2.3 million QoQ). Nevertheless, it is important to note that total premiums in 3Q12 were up 8% QoQ (+ US$ 7.5 million). Growth was evident in all business lines this Q, led by Annuities (US$ 3.1 million QoQ) and Credit Life (US$ 2.0 million QoQ).</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Net financial income fell 5.6% QoQ. This was due primarily to a drop in earnings (- US$ 1.8 million) from our fixed instrument portfolio. In particular, the value of inflation-indexed bonds fell this quarter due to lower inflation</w:t>
      </w:r>
      <w:r>
        <w:rPr>
          <w:rFonts w:ascii="Arial" w:cs="Arial" w:eastAsia="Arial" w:hAnsi="Arial"/>
          <w:sz w:val="30"/>
          <w:szCs w:val="30"/>
          <w:color w:val="auto"/>
          <w:vertAlign w:val="superscript"/>
        </w:rPr>
        <w:t>3</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fell 4.9% QoQ. This was mainly attributable to a decline in personnel expenses (-3.4% QoQ) and other expenses (-62.0% QoQ).</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Translation gains were up in the third quarter, going from a slight loss of US$ 0.3 million in 2Q12 to reporting gains of US$ 3.1 million this Q.</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4"/>
          </w:tcPr>
          <w:p>
            <w:pPr>
              <w:ind w:left="1000"/>
              <w:spacing w:after="0"/>
              <w:rPr>
                <w:sz w:val="20"/>
                <w:szCs w:val="20"/>
                <w:color w:val="auto"/>
              </w:rPr>
            </w:pPr>
            <w:r>
              <w:rPr>
                <w:rFonts w:ascii="Arial" w:cs="Arial" w:eastAsia="Arial" w:hAnsi="Arial"/>
                <w:sz w:val="18"/>
                <w:szCs w:val="18"/>
                <w:b w:val="1"/>
                <w:bCs w:val="1"/>
                <w:color w:val="auto"/>
              </w:rPr>
              <w:t>Pacífico Vida</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12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Total Premiums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ind w:left="84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2Q12</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3Q11</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w:t>
            </w:r>
          </w:p>
        </w:tc>
        <w:tc>
          <w:tcPr>
            <w:tcW w:w="28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40.2%</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0"/>
        </w:trPr>
        <w:tc>
          <w:tcPr>
            <w:tcW w:w="3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101.4</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93.9</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88.0</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8.0</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15.3</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 and Subsidiaries)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3Q12 Pacifico Health (including the medical subsidiaries) reported a loss of US$ 2.3 million, which contrasts with the US$ 1.2 million in earnings posted in 2Q12.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809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firstLine="8"/>
        <w:spacing w:after="0" w:line="184" w:lineRule="auto"/>
        <w:tabs>
          <w:tab w:leader="none" w:pos="125" w:val="left"/>
        </w:tabs>
        <w:numPr>
          <w:ilvl w:val="0"/>
          <w:numId w:val="24"/>
        </w:numPr>
        <w:rPr>
          <w:rFonts w:ascii="Arial" w:cs="Arial" w:eastAsia="Arial" w:hAnsi="Arial"/>
          <w:sz w:val="27"/>
          <w:szCs w:val="27"/>
          <w:color w:val="auto"/>
          <w:vertAlign w:val="superscript"/>
        </w:rPr>
      </w:pPr>
      <w:r>
        <w:rPr>
          <w:rFonts w:ascii="Arial" w:cs="Arial" w:eastAsia="Arial" w:hAnsi="Arial"/>
          <w:sz w:val="17"/>
          <w:szCs w:val="17"/>
          <w:color w:val="auto"/>
        </w:rPr>
        <w:t xml:space="preserve">The yields on these bonds are indexed according to a ratio that is calculated with the price index base of the previous month (one month lag). For example: Var % Index </w:t>
      </w:r>
      <w:r>
        <w:rPr>
          <w:rFonts w:ascii="Arial" w:cs="Arial" w:eastAsia="Arial" w:hAnsi="Arial"/>
          <w:sz w:val="27"/>
          <w:szCs w:val="27"/>
          <w:color w:val="auto"/>
          <w:vertAlign w:val="subscript"/>
        </w:rPr>
        <w:t>3Q</w:t>
      </w:r>
      <w:r>
        <w:rPr>
          <w:rFonts w:ascii="Arial" w:cs="Arial" w:eastAsia="Arial" w:hAnsi="Arial"/>
          <w:sz w:val="17"/>
          <w:szCs w:val="17"/>
          <w:color w:val="auto"/>
        </w:rPr>
        <w:t xml:space="preserve"> = (CPI Lima</w:t>
      </w:r>
      <w:r>
        <w:rPr>
          <w:rFonts w:ascii="Arial" w:cs="Arial" w:eastAsia="Arial" w:hAnsi="Arial"/>
          <w:sz w:val="27"/>
          <w:szCs w:val="27"/>
          <w:color w:val="auto"/>
          <w:vertAlign w:val="subscript"/>
        </w:rPr>
        <w:t>August</w:t>
      </w:r>
      <w:r>
        <w:rPr>
          <w:rFonts w:ascii="Arial" w:cs="Arial" w:eastAsia="Arial" w:hAnsi="Arial"/>
          <w:sz w:val="17"/>
          <w:szCs w:val="17"/>
          <w:color w:val="auto"/>
        </w:rPr>
        <w:t xml:space="preserve"> /CPI Lima</w:t>
      </w:r>
      <w:r>
        <w:rPr>
          <w:rFonts w:ascii="Arial" w:cs="Arial" w:eastAsia="Arial" w:hAnsi="Arial"/>
          <w:sz w:val="27"/>
          <w:szCs w:val="27"/>
          <w:color w:val="auto"/>
          <w:vertAlign w:val="subscript"/>
        </w:rPr>
        <w:t>May</w:t>
      </w:r>
      <w:r>
        <w:rPr>
          <w:rFonts w:ascii="Arial" w:cs="Arial" w:eastAsia="Arial" w:hAnsi="Arial"/>
          <w:sz w:val="17"/>
          <w:szCs w:val="17"/>
          <w:color w:val="auto"/>
        </w:rPr>
        <w:t xml:space="preserve"> ) – 1.</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EPS registered a loss of US$ 1.9 million in 3Q12 versus a loss of US$ 0.4 million in 2Q12. The underwriting result (US$ 3.7 million) fell 32.5% QoQ.</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This result is due in large part to charges relative to the on-going acquisition of medical subsidiaries and non-recurring expenses for improvement.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loss ratio was higher than expected due to seasonal factors and claims that were posted from the previous quarter.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portfolio is renewed quarter-on-quarter, the company has improved its management of underwriting pricing models. It has also focused on actively monitoring the claims’ experience, which helps clients reduce costs and improve their health indicators.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3Q12 the medical subsidiaries reported an underwriting result of US$ 8.0 million, which represented an increase of 5.1% with regard to the US$ 7.6 million posted in 2Q12. Nevertheless, the last line of consolidated businesses reported a loss after minority interest of US$ 0.3 million, which contrasts with the earnings of US$ 1.7 million reported last quarter.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fluctuation in earnings was due to the fact that the aforementioned increase in the underwriting result was offset by translation losses (US$ 0.6 million this quarter) and higher general expenses (approximately an additional US$ 2.0 million), which were directly related to the process to organize operations; our initial efforts to improve infrastructure; and investments to develop human resources to take our health services network to the next level as is contemplated in our original plan. Nevertheless, these expenses have exceeded our initial estimates.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Atlantic Security Bank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Atlantic Security Bank (ASB) reported net income of US$ 12.5 million in 3Q12. This figure represented an increase of 18.1% with regard to 2Q12’s reported income. This increase was attributable, among other factors, to higher gains from sales of securities (+75%) and fees and commissions for services (+20.5%).</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increase in gains from sales of securities was due, among other factors, to the strategic adjustments made to optimize yield on proprietary securities. The reallocation of assets in the portfolio led to an improvement in market value and gains from sales of securities (the goal is to increase the portfolio’s yield by favoring slightly riskier investments). The increase in fees and commissions for services is due mainly to higher income from asset management, primarily with regard to loans, shares and financial instrument custody as well as a decrease in the commissions paid to manage part of our investment portfolio.</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at the end of 3Q12, ASB’s contribution to Credicorp totaled US$ 34.7 million. This represents an 8.7% increase with regard to the level reported for the same period last year. This increase is associated primarily with an increase in net interest income (+31.1%), which has offset the decline in fees and commissions services (-22.1%) and a decrease in investment earnings (-14.5%).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ASB</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Year to date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million</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3Q11</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Sep 11</w:t>
            </w:r>
          </w:p>
        </w:tc>
        <w:tc>
          <w:tcPr>
            <w:tcW w:w="220" w:type="dxa"/>
            <w:vAlign w:val="bottom"/>
            <w:tcBorders>
              <w:bottom w:val="single" w:sz="8" w:color="CCFFC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 12 / Sep 11</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9.6</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9.3</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5.5</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74.3%</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28.3</w:t>
            </w:r>
          </w:p>
        </w:tc>
        <w:tc>
          <w:tcPr>
            <w:tcW w:w="2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21.6</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Dividend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7.0</w:t>
            </w: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236.6%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221.2%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earnings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12.3</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11.4</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8.5</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7.6%</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44.9%</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35.7</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31.2</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Net Provisions</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75.0%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145.3%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208.8%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138.9%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-223.5%</w:t>
            </w: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-8.2%</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-6.3</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-5.7</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18.1</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69.1</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34.7</w:t>
            </w:r>
          </w:p>
        </w:tc>
        <w:tc>
          <w:tcPr>
            <w:tcW w:w="240" w:type="dxa"/>
            <w:vAlign w:val="bottom"/>
            <w:tcBorders>
              <w:bottom w:val="single" w:sz="8" w:color="CCFFC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31.9</w:t>
            </w:r>
          </w:p>
        </w:tc>
        <w:tc>
          <w:tcPr>
            <w:tcW w:w="2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8.7</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 share</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0.18</w:t>
            </w:r>
          </w:p>
        </w:tc>
        <w:tc>
          <w:tcPr>
            <w:tcW w:w="24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FFCC"/>
          </w:tcPr>
          <w:p>
            <w:pPr>
              <w:spacing w:after="0"/>
              <w:rPr>
                <w:sz w:val="12"/>
                <w:szCs w:val="12"/>
                <w:color w:val="auto"/>
              </w:rPr>
            </w:pPr>
          </w:p>
        </w:tc>
        <w:tc>
          <w:tcPr>
            <w:tcW w:w="8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0.11</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18.1</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FFCC"/>
          </w:tcPr>
          <w:p>
            <w:pPr>
              <w:spacing w:after="0"/>
              <w:rPr>
                <w:sz w:val="12"/>
                <w:szCs w:val="12"/>
                <w:color w:val="auto"/>
              </w:rPr>
            </w:pPr>
          </w:p>
        </w:tc>
        <w:tc>
          <w:tcPr>
            <w:tcW w:w="5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69.1</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0.5</w:t>
            </w:r>
          </w:p>
        </w:tc>
        <w:tc>
          <w:tcPr>
            <w:tcW w:w="240" w:type="dxa"/>
            <w:vAlign w:val="bottom"/>
            <w:shd w:val="clear" w:color="auto" w:fill="CCFFCC"/>
          </w:tcPr>
          <w:p>
            <w:pPr>
              <w:spacing w:after="0"/>
              <w:rPr>
                <w:sz w:val="12"/>
                <w:szCs w:val="12"/>
                <w:color w:val="auto"/>
              </w:rPr>
            </w:pPr>
          </w:p>
        </w:tc>
        <w:tc>
          <w:tcPr>
            <w:tcW w:w="300" w:type="dxa"/>
            <w:vAlign w:val="bottom"/>
            <w:tcBorders>
              <w:bottom w:val="single" w:sz="8" w:color="auto"/>
            </w:tcBorders>
            <w:shd w:val="clear" w:color="auto" w:fill="CCFFCC"/>
          </w:tcPr>
          <w:p>
            <w:pPr>
              <w:spacing w:after="0"/>
              <w:rPr>
                <w:sz w:val="12"/>
                <w:szCs w:val="12"/>
                <w:color w:val="auto"/>
              </w:rPr>
            </w:pPr>
          </w:p>
        </w:tc>
        <w:tc>
          <w:tcPr>
            <w:tcW w:w="4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0.5</w:t>
            </w:r>
          </w:p>
        </w:tc>
        <w:tc>
          <w:tcPr>
            <w:tcW w:w="220" w:type="dxa"/>
            <w:vAlign w:val="bottom"/>
            <w:shd w:val="clear" w:color="auto" w:fill="CCFFCC"/>
          </w:tcPr>
          <w:p>
            <w:pPr>
              <w:spacing w:after="0"/>
              <w:rPr>
                <w:sz w:val="12"/>
                <w:szCs w:val="12"/>
                <w:color w:val="auto"/>
              </w:rPr>
            </w:pPr>
          </w:p>
        </w:tc>
        <w:tc>
          <w:tcPr>
            <w:tcW w:w="9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8.7</w:t>
            </w:r>
          </w:p>
        </w:tc>
        <w:tc>
          <w:tcPr>
            <w:tcW w:w="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w:t>
            </w:r>
          </w:p>
        </w:tc>
        <w:tc>
          <w:tcPr>
            <w:tcW w:w="24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20" w:type="dxa"/>
            <w:vAlign w:val="bottom"/>
            <w:tcBorders>
              <w:bottom w:val="single" w:sz="8" w:color="CCFFCC"/>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w:t>
            </w:r>
          </w:p>
        </w:tc>
        <w:tc>
          <w:tcPr>
            <w:tcW w:w="22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18.1</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69.1</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34.7</w:t>
            </w:r>
          </w:p>
        </w:tc>
        <w:tc>
          <w:tcPr>
            <w:tcW w:w="240" w:type="dxa"/>
            <w:vAlign w:val="bottom"/>
            <w:tcBorders>
              <w:bottom w:val="single" w:sz="8" w:color="CCFFC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31.9</w:t>
            </w:r>
          </w:p>
        </w:tc>
        <w:tc>
          <w:tcPr>
            <w:tcW w:w="220" w:type="dxa"/>
            <w:vAlign w:val="bottom"/>
            <w:tcBorders>
              <w:bottom w:val="single" w:sz="8" w:color="CCFFC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8.7</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699.6</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715.8</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564.0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24.0%</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699.6</w:t>
            </w:r>
          </w:p>
        </w:tc>
        <w:tc>
          <w:tcPr>
            <w:tcW w:w="2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4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564.0</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813.9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805.1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792.6</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813.9</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792.6</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1,631.6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1,623.6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1,419.7</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14.9%</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1,631.6</w:t>
            </w:r>
          </w:p>
        </w:tc>
        <w:tc>
          <w:tcPr>
            <w:tcW w:w="2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8"/>
              </w:rPr>
              <w:t>1,419.7</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1,370.4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1,425.3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1,234.6</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1,370.4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1,234.6</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204.6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179.8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172.4</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13.8%</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18.7%</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204.6</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172.4</w:t>
            </w: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2.5%</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2.5%</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1.5%</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3.8%</w:t>
            </w:r>
          </w:p>
        </w:tc>
        <w:tc>
          <w:tcPr>
            <w:tcW w:w="300" w:type="dxa"/>
            <w:vAlign w:val="bottom"/>
          </w:tcPr>
          <w:p>
            <w:pPr>
              <w:spacing w:after="0"/>
              <w:rPr>
                <w:sz w:val="12"/>
                <w:szCs w:val="12"/>
                <w:color w:val="auto"/>
              </w:rPr>
            </w:pP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3.2%</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3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ROAE</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w:t>
            </w:r>
          </w:p>
        </w:tc>
        <w:tc>
          <w:tcPr>
            <w:tcW w:w="3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PDL / Total loans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0.0%</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0.0%</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0.0%</w:t>
            </w: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Coverage ratio</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300" w:type="dxa"/>
            <w:vAlign w:val="bottom"/>
          </w:tcPr>
          <w:p>
            <w:pPr>
              <w:spacing w:after="0"/>
              <w:rPr>
                <w:sz w:val="12"/>
                <w:szCs w:val="12"/>
                <w:color w:val="auto"/>
              </w:rPr>
            </w:pP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BIS ratio (1)</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17.38%</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15.58%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17.96%</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17.38%</w:t>
            </w:r>
          </w:p>
        </w:tc>
        <w:tc>
          <w:tcPr>
            <w:tcW w:w="30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17.96%</w:t>
            </w: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Basel II Bis ratio = (Regulatory capital - deductions) / (RWA credit risk + Charge operational risk + Charge market risk).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income grew 7.6% QoQ due to an increase in net interest income (+2.8%) and fee income (+20.5%). In terms of fee income, growth in commissions on AuM relative to entries and shares in third-party funds as well as commissions on financial instrument custody were noteworthy. Finally, the commissions paid to third parties fell 24% QoQ due to lower income from outsourced services for investment management and mutual fund advisory services. An analysis of YoY results indicates that total income increased 44.9% due to the evolution of net interest income (+74.3%), which is attributable to: i) the current strategy to recalibrate and increase the volume of interest-earning assets; and ii) the stability in the markets last quarter despite uncertainty in the European market and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Due to the aforementioned conditions, gains from sales of securities increased 75.0% QoQ and 145.3% YoY.</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During the quarter, no provisions were set aside for risky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efficiency improved in 3Q12 and posted an efficiency ratio of 14.6%, which represents a variation of 220 bps QoQ. Accumulated results at the end of September indicated an efficiency ratio of 15.4%, which is 20bps above 3Q11’s figure.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annualized ROAE this quarter reached 26.1%, which represents an improvement over the 24.3% posted in 2Q12. Higher earnings explain the increase in this ratio, which indicates favorable and consistent earnings quarter-to-quarter.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Interest-earning assets totaled US$ 1,558 million, as is indicated in the table below. The QoQ expansion of 0.6% (is due primarily to an increase in the investment portfolio QoQ and loans YoY (15.3%). It is important to mention that ASB has consistently maintained a good risk profile, which is reflected in the fact that its portfolio is delinquency-free.</w:t>
      </w:r>
    </w:p>
    <w:p>
      <w:pPr>
        <w:spacing w:after="0" w:line="177"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Quarter</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 %</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3Q11</w:t>
            </w:r>
          </w:p>
        </w:tc>
        <w:tc>
          <w:tcPr>
            <w:tcW w:w="22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7"/>
              </w:rPr>
              <w:t>33.8%</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124.7%</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Loans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82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3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776</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751</w:t>
            </w:r>
          </w:p>
        </w:tc>
        <w:tc>
          <w:tcPr>
            <w:tcW w:w="82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1,558</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1,549</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1,352</w:t>
            </w: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-8890</wp:posOffset>
            </wp:positionV>
            <wp:extent cx="43821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the investment portfolio, it is important to note that a significant portion of ASB’s instruments continue to be investment grade (70%), which reflects the bank’s prudent and sustained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117475</wp:posOffset>
            </wp:positionV>
            <wp:extent cx="4656455" cy="2049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5645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Client deposits reflect a 3.9% contraction QoQ but show a YoY increase of 11.0%. To offset this quarterly decline, the bank has sought financing for short-term working capital, which explains the increase in other liabilities ($36.6 million). The 3Q11 variation in deposits is due to an increase in fund captures and other liabilities incurred in financing operations at the end of 3Q12.</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20"/>
        </w:trPr>
        <w:tc>
          <w:tcPr>
            <w:tcW w:w="3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Quarter</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Change %</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4"/>
        </w:trPr>
        <w:tc>
          <w:tcPr>
            <w:tcW w:w="38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US$ million</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3Q11</w:t>
            </w:r>
          </w:p>
        </w:tc>
        <w:tc>
          <w:tcPr>
            <w:tcW w:w="220" w:type="dxa"/>
            <w:vAlign w:val="bottom"/>
            <w:tcBorders>
              <w:bottom w:val="single" w:sz="8" w:color="CCFFCC"/>
            </w:tcBorders>
          </w:tcPr>
          <w:p>
            <w:pPr>
              <w:spacing w:after="0"/>
              <w:rPr>
                <w:sz w:val="21"/>
                <w:szCs w:val="21"/>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7"/>
              </w:rPr>
              <w:t>QoQ</w:t>
            </w: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CCFFC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1"/>
                <w:szCs w:val="21"/>
                <w:color w:val="auto"/>
              </w:rPr>
            </w:pPr>
          </w:p>
        </w:tc>
      </w:tr>
      <w:tr>
        <w:trPr>
          <w:trHeight w:val="210"/>
        </w:trPr>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Other liabilities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-77.1%</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46.6%</w:t>
            </w:r>
          </w:p>
        </w:tc>
      </w:tr>
      <w:tr>
        <w:trPr>
          <w:trHeight w:val="210"/>
        </w:trPr>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1,427</w:t>
            </w:r>
          </w:p>
        </w:tc>
        <w:tc>
          <w:tcPr>
            <w:tcW w:w="22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1,444</w:t>
            </w:r>
          </w:p>
        </w:tc>
        <w:tc>
          <w:tcPr>
            <w:tcW w:w="20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1,247</w:t>
            </w:r>
          </w:p>
        </w:tc>
        <w:tc>
          <w:tcPr>
            <w:tcW w:w="22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increased 13.8% QoQ and 18.7% YoY due to an increase in quarterly earnings, which was associated with the favorable evolution of the securities market and the strategies implemented to maximize shareholders’ returns.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BIS ratio at the end of 3Q12 was situated at 17.38%, which represents an improvement over 2Q12’s figure (15.58%). The aforementioned is attributable to the reduction of risk-weighted assets. It is important to note that Bank maintains a minimum ratio of 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fact that rates have been relatively low over the last three quarters and are highly unlikely to rise in the future, ASB has put together a wide range of very attractive investment products and services. Assets under administration, which include client deposits, investments in funds and financial instruments in custody, totaled US$ 5,004 million at the end of 3Q12 (market value), which indicates an increase of US$46 million QoQ and US$ 787 million YoY (due to an increase in the investment stock and market appreciation); US$ 135 million of the YoY figure correspond to growth in deposits. ASB’s efforts to solidify client loyalty have had positive results: QoQ growth of US$44 million (2%) and expansion of US$168 million (7.8%) in our clients’ investments in securities thus far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131445</wp:posOffset>
            </wp:positionV>
            <wp:extent cx="3464560" cy="2710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6456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 Prima AFP</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income at Prima AFP in 3Q12 totaled US$ 9.5 million, which represents a 17.4% decline with regard to the US$ 11.4 million reported in 2Q12. The drop in net income this quarter is attributable the decision to set aside provisions for operating support and charges stemming from Private Pension System reform. It is important to note that in September 2012, Prima AFP participated in the process to assign affiliates and present the commission scheme referred to in Law 29903, the Law to Reform the Private Pension System, and SBS Resolution N°6641-2012. At the end of the process, Prima AFP S.A. was chosen as the winning AFP after it offered a commission of 1.60% on the RAM indicator (monthly insurable remuneration, the AFPs’ income base), which is 15 basis points below the commission that was in place prior to the process. The new commission will be applicable to all affiliates of Prima AFP S.A. as of November 01, 2012. According to the new norms, workers who join the Private Pension System between 24.09.2012 and 31.12.2012 will become affiliates of Prima AFP, which offers the lowest management commission in the market.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accumulated results at the end of September 2012, Prima AFP’s net income was US$ 30.1 million, which represents growth of 27.7% YoY. This was attributable to growth in our client base; dynamism in the local economy; and strict spending control.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System</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Share</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Share</w:t>
            </w: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2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3Q12 %</w:t>
            </w:r>
          </w:p>
        </w:tc>
        <w:tc>
          <w:tcPr>
            <w:tcW w:w="26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2Q12 %</w:t>
            </w:r>
          </w:p>
        </w:tc>
        <w:tc>
          <w:tcPr>
            <w:tcW w:w="160" w:type="dxa"/>
            <w:vAlign w:val="bottom"/>
            <w:tcBorders>
              <w:bottom w:val="single" w:sz="8" w:color="CCFFCC"/>
            </w:tcBorders>
          </w:tcPr>
          <w:p>
            <w:pPr>
              <w:spacing w:after="0"/>
              <w:rPr>
                <w:sz w:val="20"/>
                <w:szCs w:val="20"/>
                <w:color w:val="auto"/>
              </w:rPr>
            </w:pPr>
          </w:p>
        </w:tc>
      </w:tr>
      <w:tr>
        <w:trPr>
          <w:trHeight w:val="21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1,274,635</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ind w:left="280"/>
              <w:spacing w:after="0"/>
              <w:rPr>
                <w:sz w:val="20"/>
                <w:szCs w:val="20"/>
                <w:color w:val="auto"/>
              </w:rPr>
            </w:pPr>
            <w:r>
              <w:rPr>
                <w:rFonts w:ascii="Arial" w:cs="Arial" w:eastAsia="Arial" w:hAnsi="Arial"/>
                <w:sz w:val="18"/>
                <w:szCs w:val="18"/>
                <w:color w:val="auto"/>
                <w:w w:val="87"/>
              </w:rPr>
              <w:t>5,209,225</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1,247,850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ind w:left="280"/>
              <w:spacing w:after="0"/>
              <w:rPr>
                <w:sz w:val="20"/>
                <w:szCs w:val="20"/>
                <w:color w:val="auto"/>
              </w:rPr>
            </w:pPr>
            <w:r>
              <w:rPr>
                <w:rFonts w:ascii="Arial" w:cs="Arial" w:eastAsia="Arial" w:hAnsi="Arial"/>
                <w:sz w:val="18"/>
                <w:szCs w:val="18"/>
                <w:color w:val="auto"/>
                <w:w w:val="87"/>
              </w:rPr>
              <w:t>5,095,375</w:t>
            </w: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28,041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122,669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88,605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4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11,300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35,903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31.47%</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10,542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33,544</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31.43%</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Collections US$ million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r>
      <w:tr>
        <w:trPr>
          <w:trHeight w:val="216"/>
        </w:trPr>
        <w:tc>
          <w:tcPr>
            <w:tcW w:w="4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44.0%</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43.9%</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RAM US$ million (2)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0</wp:posOffset>
            </wp:positionV>
            <wp:extent cx="4596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194" w:lineRule="exact"/>
        <w:rPr>
          <w:sz w:val="20"/>
          <w:szCs w:val="20"/>
          <w:color w:val="auto"/>
        </w:rPr>
      </w:pPr>
    </w:p>
    <w:p>
      <w:pPr>
        <w:ind w:left="300" w:hanging="247"/>
        <w:spacing w:after="0"/>
        <w:tabs>
          <w:tab w:leader="none" w:pos="300" w:val="left"/>
        </w:tabs>
        <w:numPr>
          <w:ilvl w:val="1"/>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regard to new affiliations, Prima AFP captured 28,041 new affiliates, which represented a 22.4% increase in 2Q12’s capture level. Nevertheless, the market share of new affiliations fell from 25.9% to 22.9% in 3Q12. This was due to the fact that although Prima’s volume of captures increased in August and September in both the dependent and independent worker segments, our market share of the latter was affected by the fact that Prima’s competitors aggressively targeted this group before the period of “new affiliate assignment,” which was awarded to Prima AFP, went into effect.</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RAM indicator continued an upward trend, increasing 5.3% QoQ to total US$ 616.1 million at the end of 3Q12. Although growth in Prima AFP’s indicator is lower than that posted by SPP (6.5%), Prima AFP continued to hold a solid lead in the system with a market share of 32.1% in terms of RAM.</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 AFP’s funds under management totaled US$ 11,300 million at the end of September. With this result Prima continues to lead the system in terms of funds under management in the SPP with a 31.5% market share, which reflects QoQ growth.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collections of new contributions, Prima AFP collected US$ 210.1 million in 3Q12. This represented 32.5% of total collections in the SPP, which indicates a slight QoQ drop in market share (33.0%).</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aforementioned results indicate that Prima AFP continues to grow along with the market and has maintained its leadership in terms of RAM; the volume of contribution collections; and the value of the portfolio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3Q12, uncertainty in the international markets with regard to a recovery in the European economy was slightly attenuated by the measures announced by authorities around the globe to contain the financial crisis in the euro zone. The economic indicators from the USA and China continue to be weak.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the profitability of Prima AFP’s funds under management (FuM), over the last twelve months (September 2012/ September 2011) funds 1, 2 and 3 reported yields of 9.3%, 8.4% and 5.1% respectively. In this context, the value of Prima AFP’s funds under management totaled US$ 11,300 million at the end of 3Q12.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the portfolio managed by Prima AFP at the end of the third quarter 2012:</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September 2012</w:t>
            </w:r>
          </w:p>
        </w:tc>
        <w:tc>
          <w:tcPr>
            <w:tcW w:w="10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 12</w:t>
            </w:r>
          </w:p>
        </w:tc>
        <w:tc>
          <w:tcPr>
            <w:tcW w:w="20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 %</w:t>
            </w:r>
          </w:p>
        </w:tc>
        <w:tc>
          <w:tcPr>
            <w:tcW w:w="26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Jun 12</w:t>
            </w:r>
          </w:p>
        </w:tc>
        <w:tc>
          <w:tcPr>
            <w:tcW w:w="200" w:type="dxa"/>
            <w:vAlign w:val="bottom"/>
            <w:tcBorders>
              <w:bottom w:val="single" w:sz="8" w:color="CCFFCC"/>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 %</w:t>
            </w:r>
          </w:p>
        </w:tc>
        <w:tc>
          <w:tcPr>
            <w:tcW w:w="180" w:type="dxa"/>
            <w:vAlign w:val="bottom"/>
            <w:tcBorders>
              <w:bottom w:val="single" w:sz="8" w:color="CCFFCC"/>
            </w:tcBorders>
          </w:tcPr>
          <w:p>
            <w:pPr>
              <w:spacing w:after="0"/>
              <w:rPr>
                <w:sz w:val="20"/>
                <w:szCs w:val="20"/>
                <w:color w:val="auto"/>
              </w:rPr>
            </w:pPr>
          </w:p>
        </w:tc>
      </w:tr>
      <w:tr>
        <w:trPr>
          <w:trHeight w:val="210"/>
        </w:trPr>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10.3%</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7,464</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66.1%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6,970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5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2,672</w:t>
            </w: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23.6%</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2,516</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23.9%</w:t>
            </w: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11,300</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-8255</wp:posOffset>
            </wp:positionV>
            <wp:extent cx="3481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 AFP’s fee income totaled US$ 32.1 million in 3Q12, which represented growth of 3.9% QoQ and 20.8% YoY. This increase was due to solid growth in RAM (the income base), which was attributable to the dynamism present in the Peruvian economy and the efforts that Prima AFP’s sales force has made to capture new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scenario, RAM, which is the aggregate of our affiliates’ salaries, continues to grow and reached US$ 616.1 million at the end of 3Q12. This represents a 5.3% increase QoQ.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PRIMA</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System</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Sep 2012</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Sep 2012</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0"/>
                <w:szCs w:val="20"/>
                <w:color w:val="auto"/>
              </w:rPr>
            </w:pPr>
          </w:p>
        </w:tc>
      </w:tr>
      <w:tr>
        <w:trPr>
          <w:trHeight w:val="210"/>
        </w:trPr>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fees (1)</w:t>
            </w:r>
          </w:p>
        </w:tc>
        <w:tc>
          <w:tcPr>
            <w:tcW w:w="12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w:t>
            </w:r>
          </w:p>
        </w:tc>
        <w:tc>
          <w:tcPr>
            <w:tcW w:w="1240" w:type="dxa"/>
            <w:vAlign w:val="bottom"/>
            <w:shd w:val="clear" w:color="auto" w:fill="CCFFCC"/>
          </w:tcPr>
          <w:p>
            <w:pPr>
              <w:ind w:left="980"/>
              <w:spacing w:after="0"/>
              <w:rPr>
                <w:sz w:val="20"/>
                <w:szCs w:val="20"/>
                <w:color w:val="auto"/>
              </w:rPr>
            </w:pPr>
            <w:r>
              <w:rPr>
                <w:rFonts w:ascii="Arial" w:cs="Arial" w:eastAsia="Arial" w:hAnsi="Arial"/>
                <w:sz w:val="18"/>
                <w:szCs w:val="18"/>
                <w:color w:val="auto"/>
                <w:w w:val="79"/>
              </w:rPr>
              <w:t>n.a.</w:t>
            </w:r>
          </w:p>
        </w:tc>
        <w:tc>
          <w:tcPr>
            <w:tcW w:w="160" w:type="dxa"/>
            <w:vAlign w:val="bottom"/>
            <w:shd w:val="clear" w:color="auto" w:fill="CCFFCC"/>
          </w:tcPr>
          <w:p>
            <w:pPr>
              <w:spacing w:after="0"/>
              <w:rPr>
                <w:sz w:val="18"/>
                <w:szCs w:val="18"/>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RAM base (2)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616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1,918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0</wp:posOffset>
            </wp:positionV>
            <wp:extent cx="2710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PRIMA AFP estimates. In accordance to local public infomation, (SMV).</w:t>
      </w:r>
    </w:p>
    <w:p>
      <w:pPr>
        <w:spacing w:after="0" w:line="22"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System administrative fee: simple average.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3Q12, administrative and sales expenses were US$ 13 million (+11.7% QoQ). This increase was due to the decision to set aside provisions for operating support, marketing and commercial support, all of which are related to the reform of the Private Pension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Depreciation and amortization expenses totaled US$ 2.2 million this quarter and include amortization of intangible assets (obtained in the framework of the merger with Unión Vida) as well as depreciation and amortization on real estate, equipment and systems.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in 3Q12 was US$ 16.9 million, which represented a decrease of 1.5% QoQ. In terms of the net result, the drop was 17.4% QoQ (US$ 9.5 million vs. 11.4 million) due to an increase in provisions for income tax (+16.2%) and provisions to cover NIC 18 (the SBS still needs to publish the rules for its implementation), which had an impact on the other income and expenses account.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 analysis of the accumulated results at the end of September indicates that Prima AFP has evolved favorably. This is evident in the company’s net income of US$ 30.1 million, which represents growth of 27.7% with regard to the net result reported for the same period in 2011. The operating result was 34.2% higher YoY, which is in line with the 20.9% increase in fee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return on average equity (ROAE) at the end of September 2012 was situated at 28.0%, which is higher than the figure reported for the same period last year (21.4%).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September 2012, Prima AFP reported an asset level of US$ 282.7 million; shareholders’ equity of US$ 185.4 million; and liabilities for a total of US$ 97.3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financial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20"/>
                <w:szCs w:val="20"/>
                <w:color w:val="auto"/>
              </w:rPr>
            </w:pPr>
            <w:r>
              <w:rPr>
                <w:rFonts w:ascii="Arial" w:cs="Arial" w:eastAsia="Arial" w:hAnsi="Arial"/>
                <w:sz w:val="14"/>
                <w:szCs w:val="14"/>
                <w:b w:val="1"/>
                <w:bCs w:val="1"/>
                <w:color w:val="auto"/>
              </w:rPr>
              <w:t>Main financial indicators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r>
      <w:tr>
        <w:trPr>
          <w:trHeight w:val="181"/>
        </w:trPr>
        <w:tc>
          <w:tcPr>
            <w:tcW w:w="3140" w:type="dxa"/>
            <w:vAlign w:val="bottom"/>
            <w:tcBorders>
              <w:bottom w:val="single" w:sz="8" w:color="CCFFCC"/>
            </w:tcBorders>
          </w:tcPr>
          <w:p>
            <w:pPr>
              <w:spacing w:after="0"/>
              <w:rPr>
                <w:sz w:val="20"/>
                <w:szCs w:val="20"/>
                <w:color w:val="auto"/>
              </w:rPr>
            </w:pPr>
            <w:r>
              <w:rPr>
                <w:rFonts w:ascii="Arial" w:cs="Arial" w:eastAsia="Arial" w:hAnsi="Arial"/>
                <w:sz w:val="14"/>
                <w:szCs w:val="14"/>
                <w:color w:val="auto"/>
              </w:rPr>
              <w:t>(US$ thousand) (1)</w:t>
            </w: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40" w:type="dxa"/>
            <w:vAlign w:val="bottom"/>
            <w:tcBorders>
              <w:bottom w:val="single" w:sz="8" w:color="CCFFCC"/>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60" w:type="dxa"/>
            <w:vAlign w:val="bottom"/>
            <w:tcBorders>
              <w:bottom w:val="single" w:sz="8" w:color="CCFFCC"/>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3Q11</w:t>
            </w:r>
          </w:p>
        </w:tc>
        <w:tc>
          <w:tcPr>
            <w:tcW w:w="260" w:type="dxa"/>
            <w:vAlign w:val="bottom"/>
            <w:tcBorders>
              <w:bottom w:val="single" w:sz="8" w:color="CCFFCC"/>
            </w:tcBorders>
          </w:tcPr>
          <w:p>
            <w:pPr>
              <w:spacing w:after="0"/>
              <w:rPr>
                <w:sz w:val="15"/>
                <w:szCs w:val="15"/>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240" w:type="dxa"/>
            <w:vAlign w:val="bottom"/>
            <w:tcBorders>
              <w:bottom w:val="single" w:sz="8" w:color="CCFFCC"/>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11</w:t>
            </w:r>
          </w:p>
        </w:tc>
        <w:tc>
          <w:tcPr>
            <w:tcW w:w="26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Sep 12 / Sep 11</w:t>
            </w:r>
          </w:p>
        </w:tc>
        <w:tc>
          <w:tcPr>
            <w:tcW w:w="140" w:type="dxa"/>
            <w:vAlign w:val="bottom"/>
            <w:tcBorders>
              <w:bottom w:val="single" w:sz="8" w:color="CCFFCC"/>
            </w:tcBorders>
          </w:tcPr>
          <w:p>
            <w:pPr>
              <w:spacing w:after="0"/>
              <w:rPr>
                <w:sz w:val="15"/>
                <w:szCs w:val="15"/>
                <w:color w:val="auto"/>
              </w:rPr>
            </w:pPr>
          </w:p>
        </w:tc>
      </w:tr>
      <w:tr>
        <w:trPr>
          <w:trHeight w:val="142"/>
        </w:trPr>
        <w:tc>
          <w:tcPr>
            <w:tcW w:w="3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from commissions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32,080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30,885</w:t>
            </w:r>
          </w:p>
        </w:tc>
        <w:tc>
          <w:tcPr>
            <w:tcW w:w="2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26,549</w:t>
            </w:r>
          </w:p>
        </w:tc>
        <w:tc>
          <w:tcPr>
            <w:tcW w:w="2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3.9%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20.8%</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92,542</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76,551</w:t>
            </w:r>
          </w:p>
        </w:tc>
        <w:tc>
          <w:tcPr>
            <w:tcW w:w="2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20.9%</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(13,042)</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(11,680)</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(11,666)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(37,401)</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(33,115)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w:t>
            </w:r>
          </w:p>
        </w:tc>
      </w:tr>
      <w:tr>
        <w:trPr>
          <w:trHeight w:val="149"/>
        </w:trPr>
        <w:tc>
          <w:tcPr>
            <w:tcW w:w="3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(2,179)</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(2,097)</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(2,317)</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(6,340)</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(7,068)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-10.3%</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16,860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17,108</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12,565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34.2%</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48,801</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36,367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34.2%</w:t>
            </w:r>
          </w:p>
        </w:tc>
      </w:tr>
      <w:tr>
        <w:trPr>
          <w:trHeight w:val="149"/>
        </w:trPr>
        <w:tc>
          <w:tcPr>
            <w:tcW w:w="3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(1,102)</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(263)</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(355)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-318.8%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-210.4%</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(1,602)</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(904)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-77.3%</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(6,154)</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(5,297)</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(4,544)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35.4%</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(16,932)</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(11,719)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44.5%</w:t>
            </w:r>
          </w:p>
        </w:tc>
      </w:tr>
      <w:tr>
        <w:trPr>
          <w:trHeight w:val="149"/>
        </w:trPr>
        <w:tc>
          <w:tcPr>
            <w:tcW w:w="3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9,604</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11,548</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7,666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25.3%</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30,267</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23,745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27.5%</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(154)</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(104)</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-217.7%</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(203)</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(202)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-0.7%</w:t>
            </w:r>
          </w:p>
        </w:tc>
      </w:tr>
      <w:tr>
        <w:trPr>
          <w:trHeight w:val="162"/>
        </w:trPr>
        <w:tc>
          <w:tcPr>
            <w:tcW w:w="31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9,450</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11,444</w:t>
            </w: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7,618</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24.1%</w:t>
            </w:r>
          </w:p>
        </w:tc>
        <w:tc>
          <w:tcPr>
            <w:tcW w:w="10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30,063</w:t>
            </w:r>
          </w:p>
        </w:tc>
        <w:tc>
          <w:tcPr>
            <w:tcW w:w="104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23,543</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27.7%</w:t>
            </w:r>
          </w:p>
        </w:tc>
      </w:tr>
      <w:tr>
        <w:trPr>
          <w:trHeight w:val="142"/>
        </w:trPr>
        <w:tc>
          <w:tcPr>
            <w:tcW w:w="3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ROAE (2)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25.9</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20.4</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7"/>
              </w:rPr>
              <w:t>-789 bps</w:t>
            </w:r>
          </w:p>
        </w:tc>
        <w:tc>
          <w:tcPr>
            <w:tcW w:w="260" w:type="dxa"/>
            <w:vAlign w:val="bottom"/>
            <w:tcBorders>
              <w:bottom w:val="single" w:sz="8" w:color="CCFFC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+555 bps</w:t>
            </w:r>
          </w:p>
        </w:tc>
        <w:tc>
          <w:tcPr>
            <w:tcW w:w="26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28.0</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21.4</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+661 bps</w:t>
            </w:r>
          </w:p>
        </w:tc>
        <w:tc>
          <w:tcPr>
            <w:tcW w:w="140" w:type="dxa"/>
            <w:vAlign w:val="bottom"/>
            <w:tcBorders>
              <w:bottom w:val="single" w:sz="8" w:color="CCFFCC"/>
            </w:tcBorders>
          </w:tcPr>
          <w:p>
            <w:pPr>
              <w:spacing w:after="0"/>
              <w:rPr>
                <w:sz w:val="12"/>
                <w:szCs w:val="12"/>
                <w:color w:val="auto"/>
              </w:rPr>
            </w:pPr>
          </w:p>
        </w:tc>
      </w:tr>
      <w:tr>
        <w:trPr>
          <w:trHeight w:val="142"/>
        </w:trPr>
        <w:tc>
          <w:tcPr>
            <w:tcW w:w="3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282,699</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263,672</w:t>
            </w:r>
          </w:p>
        </w:tc>
        <w:tc>
          <w:tcPr>
            <w:tcW w:w="2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264,139</w:t>
            </w:r>
          </w:p>
        </w:tc>
        <w:tc>
          <w:tcPr>
            <w:tcW w:w="2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7.2%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7.0%</w:t>
            </w: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97,295</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90,302</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87,576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3140" w:type="dxa"/>
            <w:vAlign w:val="bottom"/>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185,403</w:t>
            </w:r>
          </w:p>
        </w:tc>
        <w:tc>
          <w:tcPr>
            <w:tcW w:w="24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173,370</w:t>
            </w: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176,563</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5.0%</w:t>
            </w:r>
          </w:p>
        </w:tc>
        <w:tc>
          <w:tcPr>
            <w:tcW w:w="7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20"/>
        </w:trPr>
        <w:tc>
          <w:tcPr>
            <w:tcW w:w="3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of ROAE excludes the unrealized gains from Net shareholders´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emphasize that SBS has yet to establish the rules for Law 29903, the Law to Reform the Private Pension System.</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VIII.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the economy posted 6.3% growth versus 7.2% in July. This result was due primarily to continued dynamism in non-primary sectors such as construction, commerce and services, which is in line with strong internal demand. Sectors linked to external demand (and manufacturing in particular) have gradually recovered to achieve modest growth, which is in keeping with the fact that the outlook for global growth remains weak.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spending components, the dynamism seen in private spending is reflected in the fact that investment has recovered (13.5% in 2Q12) while household spending continues to grow (5.8%) as economic agents’ expectations evolve favorably. Along similar lines, public spending continued to expand at increasingly higher rates (16.2%) as sub-national governments moved to execute more of their budgets and were allotted more resources. In light of the aforementioned, growth in 3Q12 is expected to be the highest reported thus far this year.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took place in a context marked by improved business expectations in 3Q12. After having moderated in the previous quarter (but not decelerating to a point that can be associated with business pessimism), business people’s perception of the future of the economy improved considerably, which will more than likely lead to continued growth in private investment in coming months. In this scenario, our outlook for growth this year is 6.1% with a slight upward bias.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142875</wp:posOffset>
            </wp:positionV>
            <wp:extent cx="2529840" cy="2178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984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Source: INEI, BCR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the trade balance was negative for the second consecutive month. During this period, the deficit was situated at US$ 52 million after having posted a negative balance of US$ 272 million in July this year. The total value of exports was US$ 3,728 million, which represents a decline of 19.7% with regard to August 2011. This was primarily due to a decrease in traditional exports segment (-25.1%), which experienced contractions in most of its components including agricultural and mining exports. Non-traditional exports grew 1.9% due to an increase in chemical and sidermetallurgic product deliveries.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16"/>
          <w:szCs w:val="16"/>
          <w:color w:val="auto"/>
        </w:rPr>
        <w:t>Imports totaled US$ 3,780 million, which represents an increase of 9.3% with regard to August 2011. Imported volumes rose 8.4% due to an increase in purchases of capital goods and consumer goods. The average price rose 0.9% and increases in the price of oil and capital goods were particularly noteworthy. In this scenario, the accumulated trade balance over the last twelve months was US$ 5,021 million, which is the lowest level posted since Dec-09.</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country continues to accumulate international reserves (INR) despite episodes of exchange rate volatility; this scenario is also attributable to the fact that the BCR continues to intervene in the exchange rate market by purchasing dollars. As such, at the end of 3Q12, INR totaled US$ 61,161 million, which represents an increase of US$ 12,345 million YoY and US$ 3,936 million QoQ. The growth reported for INR in 3Q12 was due primarily to net foreign currency purchases in the Trading Room for US$ 3,016 million; the US$ 534 million increase in deposits in the financial system; a US$ 696 million increase in the valuation of investments; and an increase in yields on investments for a total of US$ 140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142875</wp:posOffset>
            </wp:positionV>
            <wp:extent cx="2280920" cy="2204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8092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Source: BCR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Annual inflation at the end of 3Q12 was situated at 3.74%, which indicates that the downward trajectory observed at the end of 2011 (4.74%) is still in effect. This decline has been affected by several supply shocks this year due to the fact that food and fuel prices have rebounded. As such, inflation’s convergence with BCR’s target range (2% +/- 1pp) has been slower than expected; accordingly, the price variation at the end of 2012 should situate at 3.2%, which is above the maximum tranche of BCR’s target range in a context in which inflationary pressures on the demand side remain moderate.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aforementioned, BCR is expected to maintain the current reference rate for the rest of this year. This is attributable to two factors: i)the deviation from the target range for inflation is associated primarily with temporary supply factors and ii) economic growth is close to reaching its potential. Nevertheless, given the uncertainty that has adversely affected exchange rate terms and growth in developed and emerging countries, BCR has indicated that it will keep a close eye on the evolution of these indicators to intervene should it be necessary.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 w:name="page42"/>
    <w:bookmarkEnd w:id="4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The exchange rate continued to experience a downward trend in 3Q12, which was in line with the economy’s good fundamentals and the fact that foreign capital flows have increased. The latter is due to a decline in risk perception across the globe after the world’s major central banks announced more monetary stimuli. The appreciatory trend in the Nuevo Sol may accentuate despite BCR’s intervention. During the period mentioned, BCR intervened in the exchange market by purchasing US$ 3,016 million. At the beginning of September, the issuing entity began implementing a plan to buy dollars not only when the Nuevo Sol appreciates but also when it drops in order to generate more volatility in the exchange rate market and, as such, generate more uncertainty regarding the Nuevo Sol’s trajectory. In this context, our estimate for year-end is situated at the lower end of the expected range between S/. 2.55 and S/.2.58 with a light downward bias.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Price Index Exchange Rate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percentage variation)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(Nuevos Soles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234430" cy="2349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3443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August 2012, the non-financial public sector reported an economic surplus of S/. 22,336 million, which tops the S/. 3,728 million posted for the same period in 2011.</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revenue accumulated by the general government at the end of August totaled S/.76,168 million, which represents a real increase of 6.6% YoY and indicates that collections continue to grow. This behavior is primarily a reflection of the evolution of income tax, which has expanded 6.9% thus far this year due mainly to growth in personal income tax collections (9.3%) and to a lesser extent due to an increase in collections for corporate income tax (6.1%). The result for the latter component was attenuated by the decline seen throughout the year in collections from mining (-16.0%) in a context of lower prices for our mineral exports, which affects the bottom line of companies in this sector. In contrast, growth in income tax collections was reported in the service sector (16.0%), commerce (13.2%) and construction (18.1%), which is in line with the evolution of the local economy.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8" w:lineRule="auto"/>
        <w:rPr>
          <w:sz w:val="20"/>
          <w:szCs w:val="20"/>
          <w:color w:val="auto"/>
        </w:rPr>
      </w:pPr>
      <w:r>
        <w:rPr>
          <w:rFonts w:ascii="Arial" w:cs="Arial" w:eastAsia="Arial" w:hAnsi="Arial"/>
          <w:sz w:val="16"/>
          <w:szCs w:val="16"/>
          <w:color w:val="auto"/>
        </w:rPr>
        <w:t>During the first eight months of this year, the General Government’s non-financial expenses</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(S/. 54,858 million) reported real growth of 4.0%, which was primarily attributable to an increase in expenses relative to investment projects at the local government level (95.1%) and an increase in the sub-national governments’ procurement of goods and services (39.6% of the local governments and 42.5% of the regional governments). This expansion is in line with the increase in spending execution seen after regional and local governments settled in following elections and the fact that MEF has been implementing</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economic stimulus programs since 4Q11. Nevertheless, the expenses of the Central Government</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have fallen 11.1% thus far this year. This reflects a decrease in transfer expenses, particularly with regard to the Fuel Price Stabilization Fund (FEPC).</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moderate behavior of public spending (led by the central government) indicates that at year-end, the fiscal surplus will be slightly above 2.0% of GDP. This is similar to last year’s result (1.9%) and reflects the fact that lower collections from the mining sector were partially offset by continued growth in tax revenues from other sectors of the economy.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142875</wp:posOffset>
            </wp:positionV>
            <wp:extent cx="2332355" cy="2186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3235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Sunat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74"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General government refers to the three levels of government: national (Central Government), regional and local.</w:t>
      </w:r>
    </w:p>
    <w:p>
      <w:pPr>
        <w:spacing w:after="0" w:line="242" w:lineRule="exact"/>
        <w:rPr>
          <w:sz w:val="20"/>
          <w:szCs w:val="20"/>
          <w:color w:val="auto"/>
        </w:rPr>
      </w:pPr>
    </w:p>
    <w:p>
      <w:pPr>
        <w:ind w:firstLine="8"/>
        <w:spacing w:after="0" w:line="194" w:lineRule="auto"/>
        <w:tabs>
          <w:tab w:leader="none" w:pos="121"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The Central of National Government refers exclusively to the ministries and other government bodies that work directly with the Congress and the President of the Republic among others.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Main Economic Indicators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IIQ</w:t>
            </w: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IIIQ</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IVQ</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Year</w:t>
            </w:r>
          </w:p>
        </w:tc>
        <w:tc>
          <w:tcPr>
            <w:tcW w:w="1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IQ</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IIQ</w:t>
            </w:r>
          </w:p>
        </w:tc>
      </w:tr>
      <w:tr>
        <w:trPr>
          <w:trHeight w:val="142"/>
        </w:trPr>
        <w:tc>
          <w:tcPr>
            <w:tcW w:w="436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GDP (US$ MM)</w:t>
            </w: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153,964</w:t>
            </w:r>
          </w:p>
        </w:tc>
        <w:tc>
          <w:tcPr>
            <w:tcW w:w="26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44,644</w:t>
            </w:r>
          </w:p>
        </w:tc>
        <w:tc>
          <w:tcPr>
            <w:tcW w:w="240" w:type="dxa"/>
            <w:vAlign w:val="bottom"/>
            <w:tcBorders>
              <w:top w:val="single" w:sz="8" w:color="CCFFCC"/>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44,819</w:t>
            </w:r>
          </w:p>
        </w:tc>
        <w:tc>
          <w:tcPr>
            <w:tcW w:w="24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46,321</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176,761</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46,645</w:t>
            </w:r>
          </w:p>
        </w:tc>
        <w:tc>
          <w:tcPr>
            <w:tcW w:w="20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50,100</w:t>
            </w:r>
          </w:p>
        </w:tc>
        <w:tc>
          <w:tcPr>
            <w:tcW w:w="100" w:type="dxa"/>
            <w:vAlign w:val="bottom"/>
            <w:tcBorders>
              <w:top w:val="single" w:sz="8" w:color="CCFFCC"/>
            </w:tcBorders>
            <w:shd w:val="clear" w:color="auto" w:fill="CCFFCC"/>
          </w:tcPr>
          <w:p>
            <w:pPr>
              <w:spacing w:after="0"/>
              <w:rPr>
                <w:sz w:val="12"/>
                <w:szCs w:val="12"/>
                <w:color w:val="auto"/>
              </w:rPr>
            </w:pP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per-capita (US$)</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5,101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5,736</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5,707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5,846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5,650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5,834</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6,210.3</w:t>
            </w:r>
          </w:p>
        </w:tc>
      </w:tr>
      <w:tr>
        <w:trPr>
          <w:trHeight w:val="149"/>
        </w:trPr>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Domestic demand (var. %)</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13.1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r>
      <w:tr>
        <w:trPr>
          <w:trHeight w:val="149"/>
        </w:trPr>
        <w:tc>
          <w:tcPr>
            <w:tcW w:w="43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Consumption (var. %)</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5.8</w:t>
            </w:r>
          </w:p>
        </w:tc>
      </w:tr>
      <w:tr>
        <w:trPr>
          <w:trHeight w:val="149"/>
        </w:trPr>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Private Investment (var. %)</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23.2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15.8</w:t>
            </w: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2.9</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4.00</w:t>
            </w: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2.82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2.70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w:t>
            </w: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-4.01</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w:t>
            </w: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2.83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2.78</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2.75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w:t>
            </w: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-0.3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5.5</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6.9</w:t>
            </w:r>
          </w:p>
        </w:tc>
      </w:tr>
      <w:tr>
        <w:trPr>
          <w:trHeight w:val="149"/>
        </w:trPr>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Central government current revenues (% of GDP)</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17.2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19.2</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w:t>
            </w:r>
          </w:p>
        </w:tc>
      </w:tr>
      <w:tr>
        <w:trPr>
          <w:trHeight w:val="149"/>
        </w:trPr>
        <w:tc>
          <w:tcPr>
            <w:tcW w:w="43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Tax Income (% of GDP)</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14.8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16.5</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15.5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16.6</w:t>
            </w:r>
          </w:p>
        </w:tc>
      </w:tr>
      <w:tr>
        <w:trPr>
          <w:trHeight w:val="149"/>
        </w:trPr>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Non Tax Income (% of GDP)</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w:t>
            </w:r>
          </w:p>
        </w:tc>
      </w:tr>
      <w:tr>
        <w:trPr>
          <w:trHeight w:val="149"/>
        </w:trPr>
        <w:tc>
          <w:tcPr>
            <w:tcW w:w="43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Current expenditures (% of GDP)</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11.8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13.0</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12.0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Capital expenditures (% of GDP)</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w:t>
            </w:r>
          </w:p>
        </w:tc>
      </w:tr>
      <w:tr>
        <w:trPr>
          <w:trHeight w:val="149"/>
        </w:trPr>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6,750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2,181</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3,210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2,004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9,302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2,237</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310</w:t>
            </w:r>
          </w:p>
        </w:tc>
      </w:tr>
      <w:tr>
        <w:trPr>
          <w:trHeight w:val="149"/>
        </w:trPr>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Exports (US$ MM)</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35,565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11,752</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12,900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11,511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46,268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11,808</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10,302</w:t>
            </w:r>
          </w:p>
        </w:tc>
      </w:tr>
      <w:tr>
        <w:trPr>
          <w:trHeight w:val="149"/>
        </w:trPr>
        <w:tc>
          <w:tcPr>
            <w:tcW w:w="43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Imports (US$ MM)</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28,815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9,570</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9,690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9,507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36,967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9,571</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9,992</w:t>
            </w: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-2,625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-1,361</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-3,341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-865</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-2,159</w:t>
            </w:r>
          </w:p>
        </w:tc>
      </w:tr>
      <w:tr>
        <w:trPr>
          <w:trHeight w:val="162"/>
        </w:trPr>
        <w:tc>
          <w:tcPr>
            <w:tcW w:w="436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Current Account Balance (% of GDP)</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b w:val="1"/>
                <w:bCs w:val="1"/>
                <w:color w:val="auto"/>
              </w:rPr>
              <w:t>-1.7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-2.6</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0.9</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-4.3</w:t>
            </w:r>
          </w:p>
        </w:tc>
      </w:tr>
      <w:tr>
        <w:trPr>
          <w:trHeight w:val="20"/>
        </w:trPr>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12</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11</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1,072,798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780,213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1,027,480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5,651,765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4,746,513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4,036,187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6,724,563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5,526,727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5,063,666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248,343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305,336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118,289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20,287,468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19,232,220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16,401,270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19,936,980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18,897,039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16,148,626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350,488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335,181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252,644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(670,582)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(626,119)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(483,163)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19,616,886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18,606,102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15,918,107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7,123,087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7,151,322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6,342,142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145,834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163,835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132,289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176,394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166,315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138,207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511,376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493,796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402,401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49,390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66,327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84,225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3,104,895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2,598,532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1,456,890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37,700,768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35,078,291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29,656,217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Non-interest bearing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5,945,915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5,824,219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5,104,702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bearing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16,101,538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15,213,424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12,962,189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b w:val="1"/>
                <w:bCs w:val="1"/>
                <w:color w:val="auto"/>
              </w:rPr>
              <w:t>Total 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22,047,452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21,037,643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18,066,891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2,833,022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2,518,745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2,246,074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49,390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66,327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84,225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1,330,631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1,284,518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1,116,277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201,342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198,287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177,926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65,184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69,782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59,056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4,680,730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4,239,957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3,797,410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2,357,338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1,881,918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955,043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128,024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105,982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60,534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33,693,114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31,403,158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26,563,438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Capital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471,912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(74,630)</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(74,630)</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(74,877)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Capital surplus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107,883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107,883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111,145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2,302,187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2,297,813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1,792,921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Unrealized gains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559,633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458,638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245,918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640,671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413,519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545,760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4,007,654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3,675,134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3,092,778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37,700,768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35,078,291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29,656,217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Contingent credits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15,565,860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14,350,579</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11,008,405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6" w:name="page47"/>
    <w:bookmarkEnd w:id="4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Change %</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to date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3Q12</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2Q12</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3"/>
          </w:tcPr>
          <w:p>
            <w:pPr>
              <w:ind w:left="20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12</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 11</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598,480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559,786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466,134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1,682,924</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1,338,128</w:t>
            </w: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(183,277)</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(165,850)</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(135,660)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35.1%</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(501,534)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(387,122)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415,203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393,936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330,473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5.4%</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25.6%</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1,181,390</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951,006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(94,389)</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(110,850)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(42,676)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-14.8%</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121.2%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(274,877)</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(144,451)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Fee income</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193,547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176,914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151,920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27.4%</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533,309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446,190</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44,864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43,727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35,242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127,844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101,762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32,007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16,090</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13,137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98.9%</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143.6%</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77,853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38,218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5,218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-62.8%</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25,206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16,622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275,636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250,757</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202,441</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9.9%</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36.2%</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764,212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602,792</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182,995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171,894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151,728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513,423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425,205</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(17,553)</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(17,729)</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(21,226)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-17.3%</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(67,432)</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(54,291)</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(93,034)</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(86,211)</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(81,276)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(273,608)</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(218,663)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technical commissions and Expenses (1)</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(25,690)</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(30,584)</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(19,011)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35.1%</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(80,411)</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(59,926)</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Total Insurance services technical result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46,718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37,370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30,216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91,972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92,324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b w:val="1"/>
                <w:bCs w:val="1"/>
                <w:color w:val="auto"/>
              </w:rPr>
              <w:t>Medical Services Technical Result (2)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(3,894)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1,632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(94)</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-338.6%</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-4251.2%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(305)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(195,891)</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(175,667)</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(147,563)</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(537,038)</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(423,372)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(139,336)</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(123,048)</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(99,527)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(367,072)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(283,490)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(27,500)</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(27,937)</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(24,454)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(83,712)</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(71,034)</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(5,089)</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(10,936)</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(8,314)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-53.5%</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(28,153)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(36,311)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(367,816)</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(337,589)</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(279,858)</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9.0%</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31.4%</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(1,015,975)</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(814,206)</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(3)</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271,458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235,256</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240,503</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15.4%</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12.9%</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746,417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687,371</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33,105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(1,685)</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(7,213)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2064.4%</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559.0%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44,604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6,448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(71,351)</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(58,573)</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(58,646)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21.8%</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(189,998)</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(162,487)</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233,212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174,998</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174,645</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33.3%</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33.5%</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601,024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531,332</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5,681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3,051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86.2%</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12,433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11,241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227,531</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171,946</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170,900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32.3%</w:t>
            </w:r>
          </w:p>
        </w:tc>
        <w:tc>
          <w:tcPr>
            <w:tcW w:w="2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33.1%</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588,590</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520,092</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40" w:firstLine="8"/>
        <w:spacing w:after="0" w:line="250" w:lineRule="auto"/>
        <w:tabs>
          <w:tab w:leader="none" w:pos="2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Net technical commissions and Expenses is a new item. Until 2Q11, this amount was used to be included in Other non financial income and Other operating expenses from the insurance business.</w:t>
      </w:r>
    </w:p>
    <w:p>
      <w:pPr>
        <w:ind w:right="420" w:firstLine="8"/>
        <w:spacing w:after="0" w:line="250" w:lineRule="auto"/>
        <w:tabs>
          <w:tab w:leader="none" w:pos="2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Medical Services Technical result is a new item. Until 2Q11, this amount was used to be included in Other non financial income and Other operating expenses from the insurance business.</w:t>
      </w: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 and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3Q12</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2Q12</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3Q11</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 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7.38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5.14%</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21.6%</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191.3%</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139.1%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141.8%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 Total loans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32,030.2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30,990.3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26,425.0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30,670.1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36,389.5</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34,619.7</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29,657.2</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34,464.1</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29,265.8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3,841.4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3,584.4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3,029.4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3,638.1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2,933.3</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380" w:firstLine="8"/>
        <w:spacing w:after="0" w:line="261" w:lineRule="auto"/>
        <w:tabs>
          <w:tab w:leader="none" w:pos="25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 not include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12</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11</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6,558,340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5,561,452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4,949,039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6,108,951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4,961,676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4,037,584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438,606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589,589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902,427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7,270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3,513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3,566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144,566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204,189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118,289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19,672,680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18,599,092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15,998,891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19,322,859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18,264,583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15,748,718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349,821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334,509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250,173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(669,756)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(625,293)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(482,457)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19,002,924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17,973,799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15,516,434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4,313,659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4,492,280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3,979,007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375,549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362,323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336,440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49,390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66,327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84,225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2,654,682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2,021,005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1,127,381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33,099,110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30,681,375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26,110,815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20,804,889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19,743,570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16,967,413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6,949,414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6,840,437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6,331,507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5,635,303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5,346,285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4,705,850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6,260,989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5,513,461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4,441,832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1,904,804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1,971,406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1,440,931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54,379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71,981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47,293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4,025,530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3,324,843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3,251,910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3,507,149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3,482,265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2,952,120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49,390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66,327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84,225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2,022,041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1,594,878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701,660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30,408,999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28,211,882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23,957,328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2,644,881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2,440,708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2,149,132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1,019,491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1,019,491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783,213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711,685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711,685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628,987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148,707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136,280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87,464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274,596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274,898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236,540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490,402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298,354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412,928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Minority interest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45,230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28,785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4,355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33,099,110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30,681,375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26,110,815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Off-balance sheet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15,152,350</w:t>
            </w:r>
          </w:p>
        </w:tc>
        <w:tc>
          <w:tcPr>
            <w:tcW w:w="22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14,274,169</w:t>
            </w: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10,903,399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9" w:name="page50"/>
    <w:bookmarkEnd w:id="4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3Q12</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2Q12</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3Q11</w:t>
            </w: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12</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Sep 12 / Sep 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558,570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511,980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433,949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1,558,199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1,239,995</w:t>
            </w:r>
          </w:p>
        </w:tc>
        <w:tc>
          <w:tcPr>
            <w:tcW w:w="20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(176,144)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(157,685)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(131,486)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34.0%</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(478,979)</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(379,700)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382,426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354,295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302,463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7.9%</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1,079,220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860,295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(94,604)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(111,091)</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(42,960)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120.2%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(275,537)</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(145,023)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Banking services commissions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172,626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151,598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132,509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466,209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386,741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44,948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43,650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35,281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127,928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101,891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28,315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10,941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158.8%</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52,903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9,918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2,102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11,530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1,588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-81.8%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17,369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12,374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247,991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217,719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181,379</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13.9%</w:t>
            </w:r>
          </w:p>
        </w:tc>
        <w:tc>
          <w:tcPr>
            <w:tcW w:w="2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664,409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510,924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(164,073)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(147,771)</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(125,764)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(450,886)</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(357,384)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(116,974)</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(102,667)</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(84,025)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(304,896)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(236,507)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(22,376)</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(23,115)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(20,304)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(69,144)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(58,409)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(10,020)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(8,790)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(7,089)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(28,109)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(30,255)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(313,443)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(282,343)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(237,182)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32.2%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(853,035)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(682,555)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222,370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178,580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203,700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24.5%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615,057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543,641</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27,799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(3,062)</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(6,622)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1007.9%</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519.8%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36,151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6,961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Workers' profit sharing</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(55,980)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(47,965)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(53,001)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(158,599)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(137,182)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(2,141)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-1276.4%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1794.7%</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(2,207)</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349.5%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192,048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127,735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143,964</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50.3%</w:t>
            </w:r>
          </w:p>
        </w:tc>
        <w:tc>
          <w:tcPr>
            <w:tcW w:w="2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33.4%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490,402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412,929</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-8890</wp:posOffset>
            </wp:positionV>
            <wp:extent cx="50685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Income before translation results and income taxes.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3Q12</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2Q12</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3Q11</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 12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FFFFFF"/>
              </w:rPr>
              <w:t>11</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FFFFFF"/>
              </w:rPr>
              <w:t>10</w:t>
            </w:r>
          </w:p>
        </w:tc>
        <w:tc>
          <w:tcPr>
            <w:tcW w:w="280" w:type="dxa"/>
            <w:vAlign w:val="bottom"/>
          </w:tcPr>
          <w:p>
            <w:pPr>
              <w:spacing w:after="0"/>
              <w:rPr>
                <w:sz w:val="18"/>
                <w:szCs w:val="18"/>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FFFFFF"/>
              </w:rPr>
              <w:t>7</w:t>
            </w:r>
          </w:p>
        </w:tc>
        <w:tc>
          <w:tcPr>
            <w:tcW w:w="260" w:type="dxa"/>
            <w:vAlign w:val="bottom"/>
          </w:tcPr>
          <w:p>
            <w:pPr>
              <w:spacing w:after="0"/>
              <w:rPr>
                <w:sz w:val="18"/>
                <w:szCs w:val="18"/>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FFFFFF"/>
              </w:rPr>
              <w:t>13</w:t>
            </w:r>
          </w:p>
        </w:tc>
        <w:tc>
          <w:tcPr>
            <w:tcW w:w="260" w:type="dxa"/>
            <w:vAlign w:val="bottom"/>
          </w:tcPr>
          <w:p>
            <w:pPr>
              <w:spacing w:after="0"/>
              <w:rPr>
                <w:sz w:val="18"/>
                <w:szCs w:val="18"/>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FFFFFF"/>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0.060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0.040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0.045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0.154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5.25%</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3,187.90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3,187.90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3,187.90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3,187.90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3,187.90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191.5%</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139.1%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142.7%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3,201.5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3,275.9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2,615.3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2,193.6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2,219.3</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1,843.9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28,517.2</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27,660.0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23,973.0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27,400.4</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31,890.2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30,323.8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26,211.1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30,180.8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26,003.0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2,542.8</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2,388.9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2,103.5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2,441.0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1" w:name="page52"/>
    <w:bookmarkEnd w:id="5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2"/>
              </w:rPr>
              <w:t>Three months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Change %</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580"/>
              <w:spacing w:after="0"/>
              <w:rPr>
                <w:sz w:val="20"/>
                <w:szCs w:val="20"/>
                <w:color w:val="auto"/>
              </w:rPr>
            </w:pPr>
            <w:r>
              <w:rPr>
                <w:rFonts w:ascii="Arial" w:cs="Arial" w:eastAsia="Arial" w:hAnsi="Arial"/>
                <w:sz w:val="13"/>
                <w:szCs w:val="13"/>
                <w:b w:val="1"/>
                <w:bCs w:val="1"/>
                <w:color w:val="auto"/>
                <w:w w:val="85"/>
              </w:rPr>
              <w:t>Year to date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2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rPr>
              <w:t>3Q12</w:t>
            </w: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2Q12</w:t>
            </w:r>
          </w:p>
        </w:tc>
        <w:tc>
          <w:tcPr>
            <w:tcW w:w="10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3Q11</w:t>
            </w:r>
          </w:p>
        </w:tc>
        <w:tc>
          <w:tcPr>
            <w:tcW w:w="1240" w:type="dxa"/>
            <w:vAlign w:val="bottom"/>
            <w:gridSpan w:val="3"/>
          </w:tcPr>
          <w:p>
            <w:pPr>
              <w:ind w:left="260"/>
              <w:spacing w:after="0"/>
              <w:rPr>
                <w:sz w:val="20"/>
                <w:szCs w:val="20"/>
                <w:color w:val="auto"/>
              </w:rPr>
            </w:pPr>
            <w:r>
              <w:rPr>
                <w:rFonts w:ascii="Arial" w:cs="Arial" w:eastAsia="Arial" w:hAnsi="Arial"/>
                <w:sz w:val="13"/>
                <w:szCs w:val="13"/>
                <w:b w:val="1"/>
                <w:bCs w:val="1"/>
                <w:color w:val="auto"/>
              </w:rPr>
              <w:t>QoQ</w:t>
            </w:r>
          </w:p>
        </w:tc>
        <w:tc>
          <w:tcPr>
            <w:tcW w:w="8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YoY</w:t>
            </w:r>
          </w:p>
        </w:tc>
        <w:tc>
          <w:tcPr>
            <w:tcW w:w="1240" w:type="dxa"/>
            <w:vAlign w:val="bottom"/>
            <w:gridSpan w:val="3"/>
          </w:tcPr>
          <w:p>
            <w:pPr>
              <w:ind w:left="220"/>
              <w:spacing w:after="0"/>
              <w:rPr>
                <w:sz w:val="20"/>
                <w:szCs w:val="20"/>
                <w:color w:val="auto"/>
              </w:rPr>
            </w:pPr>
            <w:r>
              <w:rPr>
                <w:rFonts w:ascii="Arial" w:cs="Arial" w:eastAsia="Arial" w:hAnsi="Arial"/>
                <w:sz w:val="13"/>
                <w:szCs w:val="13"/>
                <w:b w:val="1"/>
                <w:bCs w:val="1"/>
                <w:color w:val="auto"/>
              </w:rPr>
              <w:t>Sep 12</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76"/>
              </w:rPr>
              <w:t>Sep 11</w:t>
            </w:r>
          </w:p>
        </w:tc>
        <w:tc>
          <w:tcPr>
            <w:tcW w:w="10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8"/>
              </w:rPr>
              <w:t>Sep 12 / Sep 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Borders>
              <w:top w:val="single" w:sz="8" w:color="CCFFCC"/>
            </w:tcBorders>
            <w:shd w:val="clear" w:color="auto" w:fill="CCFFCC"/>
          </w:tcPr>
          <w:p>
            <w:pPr>
              <w:jc w:val="center"/>
              <w:ind w:right="57"/>
              <w:spacing w:after="0" w:line="129" w:lineRule="exact"/>
              <w:rPr>
                <w:sz w:val="20"/>
                <w:szCs w:val="20"/>
                <w:color w:val="auto"/>
              </w:rPr>
            </w:pPr>
            <w:r>
              <w:rPr>
                <w:rFonts w:ascii="Arial" w:cs="Arial" w:eastAsia="Arial" w:hAnsi="Arial"/>
                <w:sz w:val="13"/>
                <w:szCs w:val="13"/>
                <w:b w:val="1"/>
                <w:bCs w:val="1"/>
                <w:color w:val="auto"/>
                <w:w w:val="85"/>
              </w:rPr>
              <w:t>Results</w:t>
            </w:r>
          </w:p>
        </w:tc>
        <w:tc>
          <w:tcPr>
            <w:tcW w:w="7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auto"/>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auto"/>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CCFFCC"/>
            </w:tcBorders>
            <w:shd w:val="clear" w:color="auto" w:fill="CCFFCC"/>
          </w:tcPr>
          <w:p>
            <w:pPr>
              <w:spacing w:after="0"/>
              <w:rPr>
                <w:sz w:val="11"/>
                <w:szCs w:val="11"/>
                <w:color w:val="auto"/>
              </w:rPr>
            </w:pPr>
          </w:p>
        </w:tc>
        <w:tc>
          <w:tcPr>
            <w:tcW w:w="6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Written premiums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261,727</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231,508</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223,984</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13.1%</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720,777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615,135</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Ceded Premiums</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38,015</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26,142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33,120</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45.4%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87,132</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78,028</w:t>
            </w: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Unearned premium reserves (1) *</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37,671</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31,537</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40,561</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19.5%</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104,645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99,324</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earned premiums</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186,041</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173,829</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150,303</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7.0%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23.8%</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529,000</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437,783</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Direct claims *</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117,311</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115,358</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110,108</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395,310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291,496</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Reinsurance ceded</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6,723</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11,418</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7,606</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-41.1%</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-11.6%</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54,270</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18,542</w:t>
            </w: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Net claims</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110,588</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103,940</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102,502</w:t>
            </w:r>
          </w:p>
        </w:tc>
        <w:tc>
          <w:tcPr>
            <w:tcW w:w="24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6.4%</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7.9%</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341,040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272,954</w:t>
            </w:r>
          </w:p>
        </w:tc>
        <w:tc>
          <w:tcPr>
            <w:tcW w:w="180" w:type="dxa"/>
            <w:vAlign w:val="bottom"/>
          </w:tcPr>
          <w:p>
            <w:pPr>
              <w:spacing w:after="0"/>
              <w:rPr>
                <w:sz w:val="11"/>
                <w:szCs w:val="11"/>
                <w:color w:val="auto"/>
              </w:rPr>
            </w:pP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24.9%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Paid commissions *</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33,139</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31,414</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19,758</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5.5%</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67.7%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95,469</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72,298</w:t>
            </w: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Commissions received</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2,957</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2,602</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3,245</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7,758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8,407</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commissions</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30,182</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28,812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16,513</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4.8%</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82.8%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87,712</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63,892</w:t>
            </w: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Underwriting expenses *</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12,498</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12,035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10,665</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33,865</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32,200</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Underwriting income</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3,411</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3,183</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4,098</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-16.8%</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9,510</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9,674</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Net underwriting expenses</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9,088</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8,853</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6,567</w:t>
            </w:r>
          </w:p>
        </w:tc>
        <w:tc>
          <w:tcPr>
            <w:tcW w:w="24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2.7%</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38.4%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24,354</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22,526</w:t>
            </w: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Underwriting result before Medical Services</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36,184</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32,223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24,721</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12.3%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46.4%</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75,895</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78,411</w:t>
            </w: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Medical Services Underwriting result (1)</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b w:val="1"/>
                <w:bCs w:val="1"/>
                <w:color w:val="auto"/>
              </w:rPr>
              <w:t>(3,894)</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1,632</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67</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-338.6%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-5895.4%</w:t>
            </w:r>
          </w:p>
        </w:tc>
        <w:tc>
          <w:tcPr>
            <w:tcW w:w="10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(305)</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67</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-553.7%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Underwriting result</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32,290</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33,855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24,788</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30.3%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75,590</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78,478</w:t>
            </w: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Financial income</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22,419</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24,472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21,335</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5.1%</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67,513</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64,213</w:t>
            </w: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Gains on sale of securities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9,543</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7,348</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4,646</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29.9%</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25,573</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6,745</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279.1%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property and rental income</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1,432</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1,385</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1,326</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8.0%</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4,732</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3,715</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 Financial expenses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1,567</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1,950</w:t>
            </w:r>
          </w:p>
        </w:tc>
        <w:tc>
          <w:tcPr>
            <w:tcW w:w="2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418</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274.7%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5,084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1,140</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346.0%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Financial income, net</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31,826</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31,256</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26,887</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1.8%</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18.4%</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92,734</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73,533</w:t>
            </w: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benefits *</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23,282</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20,656</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20,718</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12.7%</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12.4%</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63,774</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50,035</w:t>
            </w: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 *</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21,069</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18,989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15,988</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11.0%</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31.8%</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57,742</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42,837</w:t>
            </w: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34.8%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Third party services</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10,665</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9,843</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9,061</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28,879</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21,890</w:t>
            </w: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320"/>
              <w:spacing w:after="0" w:line="135" w:lineRule="exact"/>
              <w:rPr>
                <w:sz w:val="20"/>
                <w:szCs w:val="20"/>
                <w:color w:val="auto"/>
              </w:rPr>
            </w:pPr>
            <w:r>
              <w:rPr>
                <w:rFonts w:ascii="Arial" w:cs="Arial" w:eastAsia="Arial" w:hAnsi="Arial"/>
                <w:sz w:val="13"/>
                <w:szCs w:val="13"/>
                <w:color w:val="auto"/>
              </w:rPr>
              <w:t>Management expenses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4,152</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3,390</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2,836</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22.5%</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11,045</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8,222</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Provisions</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3,181</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2,753</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1,855</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71.5%</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8,823</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5,714</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320"/>
              <w:spacing w:after="0" w:line="135" w:lineRule="exact"/>
              <w:rPr>
                <w:sz w:val="20"/>
                <w:szCs w:val="20"/>
                <w:color w:val="auto"/>
              </w:rPr>
            </w:pPr>
            <w:r>
              <w:rPr>
                <w:rFonts w:ascii="Arial" w:cs="Arial" w:eastAsia="Arial" w:hAnsi="Arial"/>
                <w:sz w:val="13"/>
                <w:szCs w:val="13"/>
                <w:color w:val="auto"/>
              </w:rPr>
              <w:t>Taxes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1,952</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1,686</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1,448</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15.8%</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34.8%</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5,417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4,413</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Other expenses *</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1,119</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1,317</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788</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42.1%</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3,577</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2,599</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Opertating expenses</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44,351</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39,644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36,707</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11.9%</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20.8%</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121,516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92,873</w:t>
            </w: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30.8%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Other income *</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1,985</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1,373</w:t>
            </w:r>
          </w:p>
        </w:tc>
        <w:tc>
          <w:tcPr>
            <w:tcW w:w="24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7034.7%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3,724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769</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384.1%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Traslations results</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3,548</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(38)</w:t>
            </w:r>
          </w:p>
        </w:tc>
        <w:tc>
          <w:tcPr>
            <w:tcW w:w="10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(531)</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9364.6%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767.9%</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5,276</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2,180</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Income tax</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4,250</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2,647</w:t>
            </w:r>
          </w:p>
        </w:tc>
        <w:tc>
          <w:tcPr>
            <w:tcW w:w="2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647</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557.0%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5,671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6,898</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Income before minority interest</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21,048</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24,155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13,763</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-12.9%</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52.9%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50,137</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55,189</w:t>
            </w: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2,086</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2,267</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1,633</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27.8%</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5,997</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8,917</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18,961</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21,888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12,129</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-13.4%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56.3%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44,140</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46,272</w:t>
            </w:r>
          </w:p>
        </w:tc>
        <w:tc>
          <w:tcPr>
            <w:tcW w:w="1000" w:type="dxa"/>
            <w:vAlign w:val="bottom"/>
            <w:gridSpan w:val="3"/>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Balance (end of period)</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2,518,019</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2,380,110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1,928,975</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5.8%</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30.5%</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2,518,019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1,928,975</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Invesment on securities and real state (2)</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1,653,662</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1,534,459</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1,351,557</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7.8%</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22.4%</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1,653,662</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1,351,557</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Technical reserves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1,532,319</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1,484,229</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1,295,668</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1,532,319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1,295,668</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equity</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585,183</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523,180</w:t>
            </w: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414,815</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41.1%</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585,183</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414,815</w:t>
            </w:r>
          </w:p>
        </w:tc>
        <w:tc>
          <w:tcPr>
            <w:tcW w:w="180" w:type="dxa"/>
            <w:vAlign w:val="bottom"/>
            <w:shd w:val="clear" w:color="auto" w:fill="CCFFCC"/>
          </w:tcPr>
          <w:p>
            <w:pPr>
              <w:spacing w:after="0"/>
              <w:rPr>
                <w:sz w:val="11"/>
                <w:szCs w:val="11"/>
                <w:color w:val="auto"/>
              </w:rPr>
            </w:pPr>
          </w:p>
        </w:tc>
        <w:tc>
          <w:tcPr>
            <w:tcW w:w="1000" w:type="dxa"/>
            <w:vAlign w:val="bottom"/>
            <w:gridSpan w:val="3"/>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Ratios</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Ceded</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14.5%</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12.1%</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12.7%</w:t>
            </w:r>
          </w:p>
        </w:tc>
        <w:tc>
          <w:tcPr>
            <w:tcW w:w="10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Loss ratio</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59.4%</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59.8%</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68.2%</w:t>
            </w:r>
          </w:p>
        </w:tc>
        <w:tc>
          <w:tcPr>
            <w:tcW w:w="10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(8.8)</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64.5%</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62.3%</w:t>
            </w:r>
          </w:p>
        </w:tc>
        <w:tc>
          <w:tcPr>
            <w:tcW w:w="10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w w:val="89"/>
              </w:rPr>
              <w:t>Commissions + technical expenses, net / net earned premiums</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21.1%</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15.4%</w:t>
            </w: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(0.6)</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5.8</w:t>
            </w:r>
          </w:p>
        </w:tc>
        <w:tc>
          <w:tcPr>
            <w:tcW w:w="24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21.2%</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19.7%</w:t>
            </w:r>
          </w:p>
        </w:tc>
        <w:tc>
          <w:tcPr>
            <w:tcW w:w="10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Underwriting results / net premiums earned</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13.8%</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13.9%</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11.0%</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0.9</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2.8</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10.5%</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12.7%</w:t>
            </w:r>
          </w:p>
        </w:tc>
        <w:tc>
          <w:tcPr>
            <w:tcW w:w="100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Operating expenses / net premiums earned</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23.8%</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22.8%</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24.4%</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23.0%</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21.2%</w:t>
            </w:r>
          </w:p>
        </w:tc>
        <w:tc>
          <w:tcPr>
            <w:tcW w:w="10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3"/>
                <w:szCs w:val="13"/>
                <w:color w:val="auto"/>
              </w:rPr>
              <w:t>Return on equity (3) (4)</w:t>
            </w:r>
          </w:p>
        </w:tc>
        <w:tc>
          <w:tcPr>
            <w:tcW w:w="102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13.7%</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17.6%</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13.4%</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(3.9)</w:t>
            </w:r>
          </w:p>
        </w:tc>
        <w:tc>
          <w:tcPr>
            <w:tcW w:w="220" w:type="dxa"/>
            <w:vAlign w:val="bottom"/>
            <w:shd w:val="clear" w:color="auto" w:fill="CCFFCC"/>
          </w:tcPr>
          <w:p>
            <w:pPr>
              <w:spacing w:after="0"/>
              <w:rPr>
                <w:sz w:val="15"/>
                <w:szCs w:val="15"/>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0.3</w:t>
            </w:r>
          </w:p>
        </w:tc>
        <w:tc>
          <w:tcPr>
            <w:tcW w:w="2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12.0%</w:t>
            </w:r>
          </w:p>
        </w:tc>
        <w:tc>
          <w:tcPr>
            <w:tcW w:w="22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18.1%</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Return on written premiums</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7.2%</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w:t>
            </w: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24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w:t>
            </w:r>
          </w:p>
        </w:tc>
        <w:tc>
          <w:tcPr>
            <w:tcW w:w="10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Combined ratio of PPS + PS (5) (6)</w:t>
            </w:r>
          </w:p>
        </w:tc>
        <w:tc>
          <w:tcPr>
            <w:tcW w:w="102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rPr>
              <w:t>102.3%</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102.1%</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103.2%</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0.2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(0.9)</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106.2%</w:t>
            </w:r>
          </w:p>
        </w:tc>
        <w:tc>
          <w:tcPr>
            <w:tcW w:w="2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101.9%</w:t>
            </w:r>
          </w:p>
        </w:tc>
        <w:tc>
          <w:tcPr>
            <w:tcW w:w="1000" w:type="dxa"/>
            <w:vAlign w:val="bottom"/>
            <w:gridSpan w:val="3"/>
          </w:tcPr>
          <w:p>
            <w:pPr>
              <w:jc w:val="right"/>
              <w:ind w:right="140"/>
              <w:spacing w:after="0" w:line="135" w:lineRule="exact"/>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claims / net earned premiums</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65.2%</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67.9%</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w:t>
            </w: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(2.7)</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68.9%</w:t>
            </w:r>
          </w:p>
        </w:tc>
        <w:tc>
          <w:tcPr>
            <w:tcW w:w="22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64.8%</w:t>
            </w:r>
          </w:p>
        </w:tc>
        <w:tc>
          <w:tcPr>
            <w:tcW w:w="10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w w:val="94"/>
              </w:rPr>
              <w:t>General expenses and commissions / net earned premiums</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auto"/>
              </w:rPr>
              <w:t>37.1%</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38.0%</w:t>
            </w: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35.3%</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37.3%</w:t>
            </w:r>
          </w:p>
        </w:tc>
        <w:tc>
          <w:tcPr>
            <w:tcW w:w="22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37.1%</w:t>
            </w: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-6985</wp:posOffset>
            </wp:positionV>
            <wp:extent cx="50685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i w:val="1"/>
          <w:iCs w:val="1"/>
          <w:color w:val="auto"/>
        </w:rPr>
        <w:t>*Change in these accounts are due to reclassifications made in 2Q12 and 3Q11.</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(1)In 3Q12 Unearned premium reserves from Unit Link portfolio were reclassified from Financial Income and Gains on sale of securities</w:t>
      </w:r>
    </w:p>
    <w:p>
      <w:pPr>
        <w:spacing w:after="0" w:line="9"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This account reflects the operating income of the medical subsidiaries adquired. This amount used to be included in Other income until 1Q12.</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EPS includes Médica, Doctor +, Clínica San Borja, Análisis Clínicos, Galeno, Oncocare, Clínica El Golf y Clínica Sánchez Ferrer.</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8, 2012</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688"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lowerRoman"/>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lowerRoman"/>
      <w:start w:val="1"/>
    </w:lvl>
  </w:abstractNum>
  <w:abstractNum w:abstractNumId="17">
    <w:nsid w:val="B03E0C6"/>
    <w:multiLevelType w:val="hybridMultilevel"/>
    <w:lvl w:ilvl="0">
      <w:lvlJc w:val="left"/>
      <w:lvlText w:val="(%1)"/>
      <w:numFmt w:val="lowerRoman"/>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3"/>
      <w:numFmt w:val="bullet"/>
      <w:start w:val="1"/>
    </w:lvl>
  </w:abstractNum>
  <w:abstractNum w:abstractNumId="24">
    <w:nsid w:val="3A95F874"/>
    <w:multiLevelType w:val="hybridMultilevel"/>
    <w:lvl w:ilvl="0">
      <w:lvlJc w:val="left"/>
      <w:lvlText w:val="%1"/>
      <w:numFmt w:val="decimal"/>
      <w:start w:val="1"/>
    </w:lvl>
    <w:lvl w:ilvl="1">
      <w:lvlJc w:val="left"/>
      <w:lvlText w:val="(%2)"/>
      <w:numFmt w:val="decimal"/>
      <w:start w:val="1"/>
    </w:lvl>
  </w:abstractNum>
  <w:abstractNum w:abstractNumId="25">
    <w:nsid w:val="8138641"/>
    <w:multiLevelType w:val="hybridMultilevel"/>
    <w:lvl w:ilvl="0">
      <w:lvlJc w:val="left"/>
      <w:lvlText w:val="(%1)"/>
      <w:numFmt w:val="decimal"/>
      <w:start w:val="2"/>
    </w:lvl>
    <w:lvl w:ilvl="1">
      <w:lvlJc w:val="left"/>
      <w:lvlText w:val="%2"/>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4"/>
      <w:numFmt w:val="bullet"/>
      <w:start w:val="1"/>
    </w:lvl>
  </w:abstractNum>
  <w:abstractNum w:abstractNumId="29">
    <w:nsid w:val="6CEAF087"/>
    <w:multiLevelType w:val="hybridMultilevel"/>
    <w:lvl w:ilvl="0">
      <w:lvlJc w:val="left"/>
      <w:lvlText w:val="5"/>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2019-12-09T13:06:01Z</dcterms:created>
  <dcterms:modified xsi:type="dcterms:W3CDTF">2019-12-09T13:06:01Z</dcterms:modified>
</cp:coreProperties>
</file>