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UNITED STATES</w:t>
      </w:r>
    </w:p>
    <w:p>
      <w:pPr>
        <w:jc w:val="center"/>
        <w:ind w:right="18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8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7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940"/>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Credicorp Ltd.</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60"/>
        <w:spacing w:after="0"/>
        <w:rPr>
          <w:sz w:val="20"/>
          <w:szCs w:val="20"/>
          <w:color w:val="auto"/>
        </w:rPr>
      </w:pPr>
      <w:r>
        <w:rPr>
          <w:rFonts w:ascii="Courier New" w:cs="Courier New" w:eastAsia="Courier New" w:hAnsi="Courier New"/>
          <w:sz w:val="18"/>
          <w:szCs w:val="18"/>
          <w:color w:val="auto"/>
        </w:rPr>
        <w:t>225305903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520" w:hanging="420"/>
        <w:spacing w:after="0"/>
        <w:tabs>
          <w:tab w:leader="none" w:pos="5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20" w:right="39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Group International, Inc.</w:t>
      </w:r>
    </w:p>
    <w:p>
      <w:pPr>
        <w:spacing w:after="0" w:line="1" w:lineRule="exact"/>
        <w:rPr>
          <w:rFonts w:ascii="Courier New" w:cs="Courier New" w:eastAsia="Courier New" w:hAnsi="Courier New"/>
          <w:sz w:val="18"/>
          <w:szCs w:val="18"/>
          <w:color w:val="auto"/>
        </w:rPr>
      </w:pP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95-4154357</w:t>
      </w:r>
    </w:p>
    <w:p>
      <w:pPr>
        <w:sectPr>
          <w:pgSz w:w="11900" w:h="16838" w:orient="portrait"/>
          <w:cols w:equalWidth="0" w:num="1">
            <w:col w:w="9599"/>
          </w:cols>
          <w:pgMar w:left="860" w:top="1440" w:right="1440" w:bottom="0" w:gutter="0" w:footer="0" w:header="0"/>
        </w:sectPr>
      </w:pPr>
    </w:p>
    <w:bookmarkStart w:id="1" w:name="page2"/>
    <w:bookmarkEnd w:id="1"/>
    <w:p>
      <w:pPr>
        <w:ind w:left="100"/>
        <w:spacing w:after="0"/>
        <w:tabs>
          <w:tab w:leader="none" w:pos="5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60"/>
        <w:spacing w:after="0" w:line="238" w:lineRule="auto"/>
        <w:rPr>
          <w:sz w:val="20"/>
          <w:szCs w:val="20"/>
          <w:color w:val="auto"/>
        </w:rPr>
      </w:pPr>
      <w:r>
        <w:rPr>
          <w:rFonts w:ascii="Courier New" w:cs="Courier New" w:eastAsia="Courier New" w:hAnsi="Courier New"/>
          <w:sz w:val="18"/>
          <w:szCs w:val="18"/>
          <w:color w:val="auto"/>
        </w:rPr>
        <w:t>(a)</w:t>
      </w:r>
    </w:p>
    <w:p>
      <w:pPr>
        <w:spacing w:after="0" w:line="201" w:lineRule="exact"/>
        <w:rPr>
          <w:sz w:val="20"/>
          <w:szCs w:val="20"/>
          <w:color w:val="auto"/>
        </w:rPr>
      </w:pPr>
    </w:p>
    <w:p>
      <w:pPr>
        <w:ind w:left="716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20" w:hanging="420"/>
        <w:spacing w:after="0"/>
        <w:tabs>
          <w:tab w:leader="none" w:pos="5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 w:right="5279" w:hanging="420"/>
        <w:spacing w:after="0" w:line="469" w:lineRule="auto"/>
        <w:tabs>
          <w:tab w:leader="none" w:pos="5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6" w:lineRule="exact"/>
        <w:rPr>
          <w:sz w:val="20"/>
          <w:szCs w:val="20"/>
          <w:color w:val="auto"/>
        </w:rPr>
      </w:pPr>
    </w:p>
    <w:p>
      <w:pPr>
        <w:ind w:left="1880" w:right="5919" w:hanging="411"/>
        <w:spacing w:after="0" w:line="469" w:lineRule="auto"/>
        <w:tabs>
          <w:tab w:leader="none" w:pos="18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10,110,830</w:t>
      </w:r>
    </w:p>
    <w:p>
      <w:pPr>
        <w:spacing w:after="0" w:line="210" w:lineRule="exact"/>
        <w:rPr>
          <w:sz w:val="20"/>
          <w:szCs w:val="20"/>
          <w:color w:val="auto"/>
        </w:rPr>
      </w:pPr>
    </w:p>
    <w:p>
      <w:pPr>
        <w:ind w:left="1460"/>
        <w:spacing w:after="0"/>
        <w:tabs>
          <w:tab w:leader="none" w:pos="1860" w:val="left"/>
        </w:tabs>
        <w:rPr>
          <w:sz w:val="20"/>
          <w:szCs w:val="20"/>
          <w:color w:val="auto"/>
        </w:rPr>
      </w:pPr>
      <w:r>
        <w:rPr>
          <w:rFonts w:ascii="Courier New" w:cs="Courier New" w:eastAsia="Courier New" w:hAnsi="Courier New"/>
          <w:sz w:val="18"/>
          <w:szCs w:val="18"/>
          <w:color w:val="auto"/>
        </w:rPr>
        <w:t>6</w:t>
        <w:tab/>
        <w:t>SHARED VOTING POWER</w:t>
      </w:r>
    </w:p>
    <w:p>
      <w:pPr>
        <w:ind w:left="10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line="238" w:lineRule="auto"/>
        <w:rPr>
          <w:sz w:val="20"/>
          <w:szCs w:val="20"/>
          <w:color w:val="auto"/>
        </w:rPr>
      </w:pPr>
      <w:r>
        <w:rPr>
          <w:rFonts w:ascii="Courier New" w:cs="Courier New" w:eastAsia="Courier New" w:hAnsi="Courier New"/>
          <w:sz w:val="18"/>
          <w:szCs w:val="18"/>
          <w:color w:val="auto"/>
        </w:rPr>
        <w:t>SHARES</w:t>
      </w:r>
    </w:p>
    <w:p>
      <w:pPr>
        <w:ind w:left="1880"/>
        <w:spacing w:after="0"/>
        <w:rPr>
          <w:sz w:val="20"/>
          <w:szCs w:val="20"/>
          <w:color w:val="auto"/>
        </w:rPr>
      </w:pPr>
      <w:r>
        <w:rPr>
          <w:rFonts w:ascii="Courier New" w:cs="Courier New" w:eastAsia="Courier New" w:hAnsi="Courier New"/>
          <w:sz w:val="18"/>
          <w:szCs w:val="18"/>
          <w:color w:val="auto"/>
        </w:rPr>
        <w:t>NONE</w:t>
      </w:r>
    </w:p>
    <w:p>
      <w:pPr>
        <w:spacing w:after="0" w:line="3" w:lineRule="exact"/>
        <w:rPr>
          <w:sz w:val="20"/>
          <w:szCs w:val="20"/>
          <w:color w:val="auto"/>
        </w:rPr>
      </w:pPr>
    </w:p>
    <w:p>
      <w:pPr>
        <w:jc w:val="right"/>
        <w:ind w:right="843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43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60" w:val="left"/>
        </w:tabs>
        <w:rPr>
          <w:sz w:val="20"/>
          <w:szCs w:val="20"/>
          <w:color w:val="auto"/>
        </w:rPr>
      </w:pPr>
      <w:r>
        <w:rPr>
          <w:rFonts w:ascii="Courier New" w:cs="Courier New" w:eastAsia="Courier New" w:hAnsi="Courier New"/>
          <w:sz w:val="18"/>
          <w:szCs w:val="18"/>
          <w:color w:val="auto"/>
        </w:rPr>
        <w:t>7</w:t>
        <w:tab/>
        <w:t>SOLE DISPOSITIVE POWER</w:t>
      </w:r>
    </w:p>
    <w:p>
      <w:pPr>
        <w:ind w:left="420"/>
        <w:spacing w:after="0" w:line="238" w:lineRule="auto"/>
        <w:rPr>
          <w:sz w:val="20"/>
          <w:szCs w:val="20"/>
          <w:color w:val="auto"/>
        </w:rPr>
      </w:pPr>
      <w:r>
        <w:rPr>
          <w:rFonts w:ascii="Courier New" w:cs="Courier New" w:eastAsia="Courier New" w:hAnsi="Courier New"/>
          <w:sz w:val="18"/>
          <w:szCs w:val="18"/>
          <w:color w:val="auto"/>
        </w:rPr>
        <w:t>EACH</w:t>
      </w:r>
    </w:p>
    <w:p>
      <w:pPr>
        <w:ind w:left="100"/>
        <w:spacing w:after="0"/>
        <w:rPr>
          <w:sz w:val="20"/>
          <w:szCs w:val="20"/>
          <w:color w:val="auto"/>
        </w:rPr>
      </w:pPr>
      <w:r>
        <w:rPr>
          <w:rFonts w:ascii="Courier New" w:cs="Courier New" w:eastAsia="Courier New" w:hAnsi="Courier New"/>
          <w:sz w:val="18"/>
          <w:szCs w:val="18"/>
          <w:color w:val="auto"/>
        </w:rPr>
        <w:t>REPORTING</w:t>
      </w:r>
    </w:p>
    <w:p>
      <w:pPr>
        <w:ind w:left="1880"/>
        <w:spacing w:after="0" w:line="237" w:lineRule="auto"/>
        <w:rPr>
          <w:sz w:val="20"/>
          <w:szCs w:val="20"/>
          <w:color w:val="auto"/>
        </w:rPr>
      </w:pPr>
      <w:r>
        <w:rPr>
          <w:rFonts w:ascii="Courier New" w:cs="Courier New" w:eastAsia="Courier New" w:hAnsi="Courier New"/>
          <w:sz w:val="18"/>
          <w:szCs w:val="18"/>
          <w:color w:val="auto"/>
        </w:rPr>
        <w:t>10,110,830</w:t>
      </w:r>
    </w:p>
    <w:p>
      <w:pPr>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10" w:lineRule="exact"/>
        <w:rPr>
          <w:sz w:val="20"/>
          <w:szCs w:val="20"/>
          <w:color w:val="auto"/>
        </w:rPr>
      </w:pPr>
    </w:p>
    <w:p>
      <w:pPr>
        <w:ind w:left="1880" w:right="5179" w:hanging="411"/>
        <w:spacing w:after="0" w:line="469" w:lineRule="auto"/>
        <w:tabs>
          <w:tab w:leader="none" w:pos="18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6" w:lineRule="exact"/>
        <w:rPr>
          <w:sz w:val="20"/>
          <w:szCs w:val="20"/>
          <w:color w:val="auto"/>
        </w:rPr>
      </w:pPr>
    </w:p>
    <w:p>
      <w:pPr>
        <w:ind w:left="520" w:right="2019" w:hanging="420"/>
        <w:spacing w:after="0" w:line="469" w:lineRule="auto"/>
        <w:tabs>
          <w:tab w:leader="none" w:pos="5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10,110,830 Beneficial ownership disclaimed pursuant to Rule 13d-4</w:t>
      </w:r>
    </w:p>
    <w:p>
      <w:pPr>
        <w:spacing w:after="0" w:line="216" w:lineRule="exact"/>
        <w:rPr>
          <w:sz w:val="20"/>
          <w:szCs w:val="20"/>
          <w:color w:val="auto"/>
        </w:rPr>
      </w:pPr>
    </w:p>
    <w:p>
      <w:pPr>
        <w:ind w:left="520" w:hanging="420"/>
        <w:spacing w:after="0"/>
        <w:tabs>
          <w:tab w:leader="none" w:pos="5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20" w:right="4119" w:hanging="420"/>
        <w:spacing w:after="0" w:line="469" w:lineRule="auto"/>
        <w:tabs>
          <w:tab w:leader="none" w:pos="5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10.7%</w:t>
      </w:r>
    </w:p>
    <w:p>
      <w:pPr>
        <w:spacing w:after="0" w:line="215" w:lineRule="exact"/>
        <w:rPr>
          <w:rFonts w:ascii="Courier New" w:cs="Courier New" w:eastAsia="Courier New" w:hAnsi="Courier New"/>
          <w:sz w:val="18"/>
          <w:szCs w:val="18"/>
          <w:color w:val="auto"/>
        </w:rPr>
      </w:pPr>
    </w:p>
    <w:p>
      <w:pPr>
        <w:ind w:left="520" w:right="6439" w:hanging="420"/>
        <w:spacing w:after="0" w:line="469" w:lineRule="auto"/>
        <w:tabs>
          <w:tab w:leader="none" w:pos="5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10"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9599"/>
          </w:cols>
          <w:pgMar w:left="860" w:top="339" w:right="1440" w:bottom="1440" w:gutter="0" w:footer="0" w:header="0"/>
        </w:sectPr>
      </w:pPr>
    </w:p>
    <w:bookmarkStart w:id="2" w:name="page3"/>
    <w:bookmarkEnd w:id="2"/>
    <w:p>
      <w:pPr>
        <w:spacing w:after="0" w:line="200" w:lineRule="exact"/>
        <w:rPr>
          <w:sz w:val="20"/>
          <w:szCs w:val="20"/>
          <w:color w:val="auto"/>
        </w:rPr>
      </w:pPr>
    </w:p>
    <w:p>
      <w:pPr>
        <w:spacing w:after="0" w:line="292" w:lineRule="exact"/>
        <w:rPr>
          <w:sz w:val="20"/>
          <w:szCs w:val="20"/>
          <w:color w:val="auto"/>
        </w:rPr>
      </w:pPr>
    </w:p>
    <w:p>
      <w:pPr>
        <w:ind w:left="520" w:hanging="420"/>
        <w:spacing w:after="0"/>
        <w:tabs>
          <w:tab w:leader="none" w:pos="5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20" w:right="39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International, Inc.</w:t>
      </w:r>
    </w:p>
    <w:p>
      <w:pPr>
        <w:spacing w:after="0" w:line="1" w:lineRule="exact"/>
        <w:rPr>
          <w:rFonts w:ascii="Courier New" w:cs="Courier New" w:eastAsia="Courier New" w:hAnsi="Courier New"/>
          <w:sz w:val="18"/>
          <w:szCs w:val="18"/>
          <w:color w:val="auto"/>
        </w:rPr>
      </w:pP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95-4154361</w:t>
      </w:r>
    </w:p>
    <w:p>
      <w:pPr>
        <w:spacing w:after="0" w:line="201" w:lineRule="exact"/>
        <w:rPr>
          <w:sz w:val="20"/>
          <w:szCs w:val="20"/>
          <w:color w:val="auto"/>
        </w:rPr>
      </w:pPr>
    </w:p>
    <w:p>
      <w:pPr>
        <w:ind w:left="100"/>
        <w:spacing w:after="0"/>
        <w:tabs>
          <w:tab w:leader="none" w:pos="5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60"/>
        <w:spacing w:after="0" w:line="238" w:lineRule="auto"/>
        <w:rPr>
          <w:sz w:val="20"/>
          <w:szCs w:val="20"/>
          <w:color w:val="auto"/>
        </w:rPr>
      </w:pPr>
      <w:r>
        <w:rPr>
          <w:rFonts w:ascii="Courier New" w:cs="Courier New" w:eastAsia="Courier New" w:hAnsi="Courier New"/>
          <w:sz w:val="18"/>
          <w:szCs w:val="18"/>
          <w:color w:val="auto"/>
        </w:rPr>
        <w:t>(a)</w:t>
      </w:r>
    </w:p>
    <w:p>
      <w:pPr>
        <w:spacing w:after="0" w:line="201" w:lineRule="exact"/>
        <w:rPr>
          <w:sz w:val="20"/>
          <w:szCs w:val="20"/>
          <w:color w:val="auto"/>
        </w:rPr>
      </w:pPr>
    </w:p>
    <w:p>
      <w:pPr>
        <w:ind w:left="716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20" w:hanging="420"/>
        <w:spacing w:after="0"/>
        <w:tabs>
          <w:tab w:leader="none" w:pos="5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 w:right="5279" w:hanging="420"/>
        <w:spacing w:after="0" w:line="469"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6" w:lineRule="exact"/>
        <w:rPr>
          <w:sz w:val="20"/>
          <w:szCs w:val="20"/>
          <w:color w:val="auto"/>
        </w:rPr>
      </w:pPr>
    </w:p>
    <w:p>
      <w:pPr>
        <w:ind w:left="1880" w:right="5919" w:hanging="411"/>
        <w:spacing w:after="0" w:line="469" w:lineRule="auto"/>
        <w:tabs>
          <w:tab w:leader="none" w:pos="18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10" w:lineRule="exact"/>
        <w:rPr>
          <w:sz w:val="20"/>
          <w:szCs w:val="20"/>
          <w:color w:val="auto"/>
        </w:rPr>
      </w:pPr>
    </w:p>
    <w:p>
      <w:pPr>
        <w:ind w:left="1460"/>
        <w:spacing w:after="0"/>
        <w:tabs>
          <w:tab w:leader="none" w:pos="1860" w:val="left"/>
        </w:tabs>
        <w:rPr>
          <w:sz w:val="20"/>
          <w:szCs w:val="20"/>
          <w:color w:val="auto"/>
        </w:rPr>
      </w:pPr>
      <w:r>
        <w:rPr>
          <w:rFonts w:ascii="Courier New" w:cs="Courier New" w:eastAsia="Courier New" w:hAnsi="Courier New"/>
          <w:sz w:val="18"/>
          <w:szCs w:val="18"/>
          <w:color w:val="auto"/>
        </w:rPr>
        <w:t>6</w:t>
        <w:tab/>
        <w:t>SHARED VOTING POWER</w:t>
      </w:r>
    </w:p>
    <w:p>
      <w:pPr>
        <w:ind w:left="10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line="238" w:lineRule="auto"/>
        <w:rPr>
          <w:sz w:val="20"/>
          <w:szCs w:val="20"/>
          <w:color w:val="auto"/>
        </w:rPr>
      </w:pPr>
      <w:r>
        <w:rPr>
          <w:rFonts w:ascii="Courier New" w:cs="Courier New" w:eastAsia="Courier New" w:hAnsi="Courier New"/>
          <w:sz w:val="18"/>
          <w:szCs w:val="18"/>
          <w:color w:val="auto"/>
        </w:rPr>
        <w:t>SHARES</w:t>
      </w:r>
    </w:p>
    <w:p>
      <w:pPr>
        <w:ind w:left="1880"/>
        <w:spacing w:after="0"/>
        <w:rPr>
          <w:sz w:val="20"/>
          <w:szCs w:val="20"/>
          <w:color w:val="auto"/>
        </w:rPr>
      </w:pPr>
      <w:r>
        <w:rPr>
          <w:rFonts w:ascii="Courier New" w:cs="Courier New" w:eastAsia="Courier New" w:hAnsi="Courier New"/>
          <w:sz w:val="18"/>
          <w:szCs w:val="18"/>
          <w:color w:val="auto"/>
        </w:rPr>
        <w:t>NONE</w:t>
      </w:r>
    </w:p>
    <w:p>
      <w:pPr>
        <w:spacing w:after="0" w:line="3" w:lineRule="exact"/>
        <w:rPr>
          <w:sz w:val="20"/>
          <w:szCs w:val="20"/>
          <w:color w:val="auto"/>
        </w:rPr>
      </w:pPr>
    </w:p>
    <w:p>
      <w:pPr>
        <w:jc w:val="right"/>
        <w:ind w:right="843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43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60" w:val="left"/>
        </w:tabs>
        <w:rPr>
          <w:sz w:val="20"/>
          <w:szCs w:val="20"/>
          <w:color w:val="auto"/>
        </w:rPr>
      </w:pPr>
      <w:r>
        <w:rPr>
          <w:rFonts w:ascii="Courier New" w:cs="Courier New" w:eastAsia="Courier New" w:hAnsi="Courier New"/>
          <w:sz w:val="18"/>
          <w:szCs w:val="18"/>
          <w:color w:val="auto"/>
        </w:rPr>
        <w:t>7</w:t>
        <w:tab/>
        <w:t>SOLE DISPOSITIVE POWER</w:t>
      </w:r>
    </w:p>
    <w:p>
      <w:pPr>
        <w:ind w:left="420"/>
        <w:spacing w:after="0" w:line="238" w:lineRule="auto"/>
        <w:rPr>
          <w:sz w:val="20"/>
          <w:szCs w:val="20"/>
          <w:color w:val="auto"/>
        </w:rPr>
      </w:pPr>
      <w:r>
        <w:rPr>
          <w:rFonts w:ascii="Courier New" w:cs="Courier New" w:eastAsia="Courier New" w:hAnsi="Courier New"/>
          <w:sz w:val="18"/>
          <w:szCs w:val="18"/>
          <w:color w:val="auto"/>
        </w:rPr>
        <w:t>EACH</w:t>
      </w:r>
    </w:p>
    <w:p>
      <w:pPr>
        <w:ind w:left="100"/>
        <w:spacing w:after="0"/>
        <w:rPr>
          <w:sz w:val="20"/>
          <w:szCs w:val="20"/>
          <w:color w:val="auto"/>
        </w:rPr>
      </w:pPr>
      <w:r>
        <w:rPr>
          <w:rFonts w:ascii="Courier New" w:cs="Courier New" w:eastAsia="Courier New" w:hAnsi="Courier New"/>
          <w:sz w:val="18"/>
          <w:szCs w:val="18"/>
          <w:color w:val="auto"/>
        </w:rPr>
        <w:t>REPORTING</w:t>
      </w:r>
    </w:p>
    <w:p>
      <w:pPr>
        <w:ind w:left="1880"/>
        <w:spacing w:after="0" w:line="237" w:lineRule="auto"/>
        <w:rPr>
          <w:sz w:val="20"/>
          <w:szCs w:val="20"/>
          <w:color w:val="auto"/>
        </w:rPr>
      </w:pPr>
      <w:r>
        <w:rPr>
          <w:rFonts w:ascii="Courier New" w:cs="Courier New" w:eastAsia="Courier New" w:hAnsi="Courier New"/>
          <w:sz w:val="18"/>
          <w:szCs w:val="18"/>
          <w:color w:val="auto"/>
        </w:rPr>
        <w:t>9,715,650</w:t>
      </w:r>
    </w:p>
    <w:p>
      <w:pPr>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10" w:lineRule="exact"/>
        <w:rPr>
          <w:sz w:val="20"/>
          <w:szCs w:val="20"/>
          <w:color w:val="auto"/>
        </w:rPr>
      </w:pPr>
    </w:p>
    <w:p>
      <w:pPr>
        <w:ind w:left="1880" w:right="5179" w:hanging="411"/>
        <w:spacing w:after="0" w:line="469" w:lineRule="auto"/>
        <w:tabs>
          <w:tab w:leader="none" w:pos="18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6" w:lineRule="exact"/>
        <w:rPr>
          <w:sz w:val="20"/>
          <w:szCs w:val="20"/>
          <w:color w:val="auto"/>
        </w:rPr>
      </w:pPr>
    </w:p>
    <w:p>
      <w:pPr>
        <w:ind w:left="520" w:right="2119" w:hanging="420"/>
        <w:spacing w:after="0" w:line="469" w:lineRule="auto"/>
        <w:tabs>
          <w:tab w:leader="none" w:pos="5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9,715,650 Beneficial ownership disclaimed pursuant to Rule 13d-4</w:t>
      </w:r>
    </w:p>
    <w:p>
      <w:pPr>
        <w:spacing w:after="0" w:line="216" w:lineRule="exact"/>
        <w:rPr>
          <w:sz w:val="20"/>
          <w:szCs w:val="20"/>
          <w:color w:val="auto"/>
        </w:rPr>
      </w:pPr>
    </w:p>
    <w:p>
      <w:pPr>
        <w:ind w:left="520" w:hanging="420"/>
        <w:spacing w:after="0"/>
        <w:tabs>
          <w:tab w:leader="none" w:pos="5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20" w:right="4119" w:hanging="420"/>
        <w:spacing w:after="0" w:line="469" w:lineRule="auto"/>
        <w:tabs>
          <w:tab w:leader="none" w:pos="5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10.3%</w:t>
      </w:r>
    </w:p>
    <w:p>
      <w:pPr>
        <w:spacing w:after="0" w:line="215" w:lineRule="exact"/>
        <w:rPr>
          <w:rFonts w:ascii="Courier New" w:cs="Courier New" w:eastAsia="Courier New" w:hAnsi="Courier New"/>
          <w:sz w:val="18"/>
          <w:szCs w:val="18"/>
          <w:color w:val="auto"/>
        </w:rPr>
      </w:pPr>
    </w:p>
    <w:p>
      <w:pPr>
        <w:ind w:left="520" w:right="6439" w:hanging="420"/>
        <w:spacing w:after="0" w:line="469" w:lineRule="auto"/>
        <w:tabs>
          <w:tab w:leader="none" w:pos="5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10"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*SEE INSTRUCTION BEFORE FILLING OUT!</w:t>
      </w:r>
    </w:p>
    <w:p>
      <w:pPr>
        <w:spacing w:after="0" w:line="200" w:lineRule="exact"/>
        <w:rPr>
          <w:sz w:val="20"/>
          <w:szCs w:val="20"/>
          <w:color w:val="auto"/>
        </w:rPr>
      </w:pP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225305903</w:t>
      </w:r>
      <w:r>
        <w:rPr>
          <w:sz w:val="20"/>
          <w:szCs w:val="20"/>
          <w:color w:val="auto"/>
        </w:rPr>
        <w:tab/>
      </w:r>
      <w:r>
        <w:rPr>
          <w:rFonts w:ascii="Courier New" w:cs="Courier New" w:eastAsia="Courier New" w:hAnsi="Courier New"/>
          <w:sz w:val="16"/>
          <w:szCs w:val="16"/>
          <w:color w:val="auto"/>
        </w:rPr>
        <w:t>Page 3 of 8</w:t>
      </w:r>
    </w:p>
    <w:p>
      <w:pPr>
        <w:sectPr>
          <w:pgSz w:w="11900" w:h="16838" w:orient="portrait"/>
          <w:cols w:equalWidth="0" w:num="1">
            <w:col w:w="9599"/>
          </w:cols>
          <w:pgMar w:left="860" w:top="1440" w:right="1440" w:bottom="773" w:gutter="0" w:footer="0" w:header="0"/>
        </w:sectPr>
      </w:pPr>
    </w:p>
    <w:bookmarkStart w:id="3" w:name="page4"/>
    <w:bookmarkEnd w:id="3"/>
    <w:p>
      <w:pPr>
        <w:ind w:left="520" w:hanging="420"/>
        <w:spacing w:after="0"/>
        <w:tabs>
          <w:tab w:leader="none" w:pos="5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20" w:right="39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Emerging Markets Growth Fund, Inc.</w:t>
      </w:r>
    </w:p>
    <w:p>
      <w:pPr>
        <w:spacing w:after="0" w:line="1" w:lineRule="exact"/>
        <w:rPr>
          <w:rFonts w:ascii="Courier New" w:cs="Courier New" w:eastAsia="Courier New" w:hAnsi="Courier New"/>
          <w:sz w:val="18"/>
          <w:szCs w:val="18"/>
          <w:color w:val="auto"/>
        </w:rPr>
      </w:pP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95-4026510</w:t>
      </w:r>
    </w:p>
    <w:p>
      <w:pPr>
        <w:spacing w:after="0" w:line="201" w:lineRule="exact"/>
        <w:rPr>
          <w:sz w:val="20"/>
          <w:szCs w:val="20"/>
          <w:color w:val="auto"/>
        </w:rPr>
      </w:pPr>
    </w:p>
    <w:p>
      <w:pPr>
        <w:ind w:left="100"/>
        <w:spacing w:after="0"/>
        <w:tabs>
          <w:tab w:leader="none" w:pos="5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60"/>
        <w:spacing w:after="0" w:line="238" w:lineRule="auto"/>
        <w:rPr>
          <w:sz w:val="20"/>
          <w:szCs w:val="20"/>
          <w:color w:val="auto"/>
        </w:rPr>
      </w:pPr>
      <w:r>
        <w:rPr>
          <w:rFonts w:ascii="Courier New" w:cs="Courier New" w:eastAsia="Courier New" w:hAnsi="Courier New"/>
          <w:sz w:val="18"/>
          <w:szCs w:val="18"/>
          <w:color w:val="auto"/>
        </w:rPr>
        <w:t>(a)</w:t>
      </w:r>
    </w:p>
    <w:p>
      <w:pPr>
        <w:spacing w:after="0" w:line="201" w:lineRule="exact"/>
        <w:rPr>
          <w:sz w:val="20"/>
          <w:szCs w:val="20"/>
          <w:color w:val="auto"/>
        </w:rPr>
      </w:pPr>
    </w:p>
    <w:p>
      <w:pPr>
        <w:ind w:left="716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20" w:hanging="420"/>
        <w:spacing w:after="0"/>
        <w:tabs>
          <w:tab w:leader="none" w:pos="5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 w:right="5279" w:hanging="420"/>
        <w:spacing w:after="0" w:line="469" w:lineRule="auto"/>
        <w:tabs>
          <w:tab w:leader="none" w:pos="5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16" w:lineRule="exact"/>
        <w:rPr>
          <w:sz w:val="20"/>
          <w:szCs w:val="20"/>
          <w:color w:val="auto"/>
        </w:rPr>
      </w:pPr>
    </w:p>
    <w:p>
      <w:pPr>
        <w:ind w:left="1880" w:right="5919" w:hanging="411"/>
        <w:spacing w:after="0" w:line="469" w:lineRule="auto"/>
        <w:tabs>
          <w:tab w:leader="none" w:pos="18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6,719,862</w:t>
      </w:r>
    </w:p>
    <w:p>
      <w:pPr>
        <w:spacing w:after="0" w:line="210" w:lineRule="exact"/>
        <w:rPr>
          <w:sz w:val="20"/>
          <w:szCs w:val="20"/>
          <w:color w:val="auto"/>
        </w:rPr>
      </w:pPr>
    </w:p>
    <w:p>
      <w:pPr>
        <w:ind w:left="1460"/>
        <w:spacing w:after="0"/>
        <w:tabs>
          <w:tab w:leader="none" w:pos="1860" w:val="left"/>
        </w:tabs>
        <w:rPr>
          <w:sz w:val="20"/>
          <w:szCs w:val="20"/>
          <w:color w:val="auto"/>
        </w:rPr>
      </w:pPr>
      <w:r>
        <w:rPr>
          <w:rFonts w:ascii="Courier New" w:cs="Courier New" w:eastAsia="Courier New" w:hAnsi="Courier New"/>
          <w:sz w:val="18"/>
          <w:szCs w:val="18"/>
          <w:color w:val="auto"/>
        </w:rPr>
        <w:t>6</w:t>
        <w:tab/>
        <w:t>SHARED VOTING POWER</w:t>
      </w:r>
    </w:p>
    <w:p>
      <w:pPr>
        <w:ind w:left="10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line="238" w:lineRule="auto"/>
        <w:rPr>
          <w:sz w:val="20"/>
          <w:szCs w:val="20"/>
          <w:color w:val="auto"/>
        </w:rPr>
      </w:pPr>
      <w:r>
        <w:rPr>
          <w:rFonts w:ascii="Courier New" w:cs="Courier New" w:eastAsia="Courier New" w:hAnsi="Courier New"/>
          <w:sz w:val="18"/>
          <w:szCs w:val="18"/>
          <w:color w:val="auto"/>
        </w:rPr>
        <w:t>SHARES</w:t>
      </w:r>
    </w:p>
    <w:p>
      <w:pPr>
        <w:ind w:left="1880"/>
        <w:spacing w:after="0"/>
        <w:rPr>
          <w:sz w:val="20"/>
          <w:szCs w:val="20"/>
          <w:color w:val="auto"/>
        </w:rPr>
      </w:pPr>
      <w:r>
        <w:rPr>
          <w:rFonts w:ascii="Courier New" w:cs="Courier New" w:eastAsia="Courier New" w:hAnsi="Courier New"/>
          <w:sz w:val="18"/>
          <w:szCs w:val="18"/>
          <w:color w:val="auto"/>
        </w:rPr>
        <w:t>NONE</w:t>
      </w:r>
    </w:p>
    <w:p>
      <w:pPr>
        <w:spacing w:after="0" w:line="3" w:lineRule="exact"/>
        <w:rPr>
          <w:sz w:val="20"/>
          <w:szCs w:val="20"/>
          <w:color w:val="auto"/>
        </w:rPr>
      </w:pPr>
    </w:p>
    <w:p>
      <w:pPr>
        <w:jc w:val="right"/>
        <w:ind w:right="843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43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60" w:val="left"/>
        </w:tabs>
        <w:rPr>
          <w:sz w:val="20"/>
          <w:szCs w:val="20"/>
          <w:color w:val="auto"/>
        </w:rPr>
      </w:pPr>
      <w:r>
        <w:rPr>
          <w:rFonts w:ascii="Courier New" w:cs="Courier New" w:eastAsia="Courier New" w:hAnsi="Courier New"/>
          <w:sz w:val="18"/>
          <w:szCs w:val="18"/>
          <w:color w:val="auto"/>
        </w:rPr>
        <w:t>7</w:t>
        <w:tab/>
        <w:t>SOLE DISPOSITIVE POWER</w:t>
      </w:r>
    </w:p>
    <w:p>
      <w:pPr>
        <w:ind w:left="420"/>
        <w:spacing w:after="0" w:line="238" w:lineRule="auto"/>
        <w:rPr>
          <w:sz w:val="20"/>
          <w:szCs w:val="20"/>
          <w:color w:val="auto"/>
        </w:rPr>
      </w:pPr>
      <w:r>
        <w:rPr>
          <w:rFonts w:ascii="Courier New" w:cs="Courier New" w:eastAsia="Courier New" w:hAnsi="Courier New"/>
          <w:sz w:val="18"/>
          <w:szCs w:val="18"/>
          <w:color w:val="auto"/>
        </w:rPr>
        <w:t>EACH</w:t>
      </w:r>
    </w:p>
    <w:p>
      <w:pPr>
        <w:ind w:left="100"/>
        <w:spacing w:after="0"/>
        <w:rPr>
          <w:sz w:val="20"/>
          <w:szCs w:val="20"/>
          <w:color w:val="auto"/>
        </w:rPr>
      </w:pPr>
      <w:r>
        <w:rPr>
          <w:rFonts w:ascii="Courier New" w:cs="Courier New" w:eastAsia="Courier New" w:hAnsi="Courier New"/>
          <w:sz w:val="18"/>
          <w:szCs w:val="18"/>
          <w:color w:val="auto"/>
        </w:rPr>
        <w:t>REPORTING</w:t>
      </w:r>
    </w:p>
    <w:p>
      <w:pPr>
        <w:ind w:left="1880"/>
        <w:spacing w:after="0" w:line="237" w:lineRule="auto"/>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10" w:lineRule="exact"/>
        <w:rPr>
          <w:sz w:val="20"/>
          <w:szCs w:val="20"/>
          <w:color w:val="auto"/>
        </w:rPr>
      </w:pPr>
    </w:p>
    <w:p>
      <w:pPr>
        <w:ind w:left="1880" w:right="5179" w:hanging="411"/>
        <w:spacing w:after="0" w:line="469" w:lineRule="auto"/>
        <w:tabs>
          <w:tab w:leader="none" w:pos="18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6" w:lineRule="exact"/>
        <w:rPr>
          <w:sz w:val="20"/>
          <w:szCs w:val="20"/>
          <w:color w:val="auto"/>
        </w:rPr>
      </w:pPr>
    </w:p>
    <w:p>
      <w:pPr>
        <w:ind w:left="520" w:right="2759" w:hanging="420"/>
        <w:spacing w:after="0" w:line="469" w:lineRule="auto"/>
        <w:tabs>
          <w:tab w:leader="none" w:pos="5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6,719,862</w:t>
      </w:r>
    </w:p>
    <w:p>
      <w:pPr>
        <w:spacing w:after="0" w:line="216" w:lineRule="exact"/>
        <w:rPr>
          <w:sz w:val="20"/>
          <w:szCs w:val="20"/>
          <w:color w:val="auto"/>
        </w:rPr>
      </w:pPr>
    </w:p>
    <w:p>
      <w:pPr>
        <w:ind w:left="520" w:hanging="420"/>
        <w:spacing w:after="0"/>
        <w:tabs>
          <w:tab w:leader="none" w:pos="5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20" w:right="4119" w:hanging="420"/>
        <w:spacing w:after="0" w:line="469" w:lineRule="auto"/>
        <w:tabs>
          <w:tab w:leader="none" w:pos="5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7.1%</w:t>
      </w:r>
    </w:p>
    <w:p>
      <w:pPr>
        <w:spacing w:after="0" w:line="215" w:lineRule="exact"/>
        <w:rPr>
          <w:rFonts w:ascii="Courier New" w:cs="Courier New" w:eastAsia="Courier New" w:hAnsi="Courier New"/>
          <w:sz w:val="18"/>
          <w:szCs w:val="18"/>
          <w:color w:val="auto"/>
        </w:rPr>
      </w:pPr>
    </w:p>
    <w:p>
      <w:pPr>
        <w:ind w:left="520" w:right="6439" w:hanging="420"/>
        <w:spacing w:after="0" w:line="469" w:lineRule="auto"/>
        <w:tabs>
          <w:tab w:leader="none" w:pos="5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line="210" w:lineRule="exact"/>
        <w:rPr>
          <w:sz w:val="20"/>
          <w:szCs w:val="20"/>
          <w:color w:val="auto"/>
        </w:rPr>
      </w:pPr>
    </w:p>
    <w:p>
      <w:pPr>
        <w:ind w:left="21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9599"/>
          </w:cols>
          <w:pgMar w:left="860" w:top="339" w:right="1440" w:bottom="1440" w:gutter="0" w:footer="0" w:header="0"/>
        </w:sectPr>
      </w:pPr>
    </w:p>
    <w:bookmarkStart w:id="4" w:name="page5"/>
    <w:bookmarkEnd w:id="4"/>
    <w:p>
      <w:pPr>
        <w:jc w:val="center"/>
        <w:ind w:right="1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8"/>
          <w:szCs w:val="18"/>
          <w:color w:val="auto"/>
        </w:rPr>
        <w:t>Schedule 13G</w:t>
      </w:r>
    </w:p>
    <w:p>
      <w:pPr>
        <w:jc w:val="center"/>
        <w:ind w:right="1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Credicorp Ltd.</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Banco de Credico</w:t>
      </w:r>
    </w:p>
    <w:p>
      <w:pPr>
        <w:ind w:left="740"/>
        <w:spacing w:after="0" w:line="238" w:lineRule="auto"/>
        <w:rPr>
          <w:sz w:val="20"/>
          <w:szCs w:val="20"/>
          <w:color w:val="auto"/>
        </w:rPr>
      </w:pPr>
      <w:r>
        <w:rPr>
          <w:rFonts w:ascii="Courier New" w:cs="Courier New" w:eastAsia="Courier New" w:hAnsi="Courier New"/>
          <w:sz w:val="18"/>
          <w:szCs w:val="18"/>
          <w:color w:val="auto"/>
        </w:rPr>
        <w:t>410 Park Avenue, 6th Floor</w:t>
      </w:r>
    </w:p>
    <w:p>
      <w:pPr>
        <w:ind w:left="740"/>
        <w:spacing w:after="0"/>
        <w:tabs>
          <w:tab w:leader="none" w:pos="2180" w:val="left"/>
        </w:tabs>
        <w:rPr>
          <w:sz w:val="20"/>
          <w:szCs w:val="20"/>
          <w:color w:val="auto"/>
        </w:rPr>
      </w:pPr>
      <w:r>
        <w:rPr>
          <w:rFonts w:ascii="Courier New" w:cs="Courier New" w:eastAsia="Courier New" w:hAnsi="Courier New"/>
          <w:sz w:val="18"/>
          <w:szCs w:val="18"/>
          <w:color w:val="auto"/>
        </w:rPr>
        <w:t>New York, NY</w:t>
        <w:tab/>
        <w:t>10022</w:t>
      </w:r>
    </w:p>
    <w:p>
      <w:pPr>
        <w:spacing w:after="0" w:line="200"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4" w:lineRule="exact"/>
        <w:rPr>
          <w:sz w:val="20"/>
          <w:szCs w:val="20"/>
          <w:color w:val="auto"/>
        </w:rPr>
      </w:pPr>
    </w:p>
    <w:p>
      <w:pPr>
        <w:ind w:left="740" w:right="1919"/>
        <w:spacing w:after="0" w:line="235" w:lineRule="auto"/>
        <w:rPr>
          <w:sz w:val="20"/>
          <w:szCs w:val="20"/>
          <w:color w:val="auto"/>
        </w:rPr>
      </w:pPr>
      <w:r>
        <w:rPr>
          <w:rFonts w:ascii="Courier New" w:cs="Courier New" w:eastAsia="Courier New" w:hAnsi="Courier New"/>
          <w:sz w:val="18"/>
          <w:szCs w:val="18"/>
          <w:color w:val="auto"/>
        </w:rPr>
        <w:t>Capital Group International, Inc., Capital International, Inc. and Emerging Markets Growth Fund, Inc.</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11100 Santa Monica Blvd.</w:t>
      </w:r>
    </w:p>
    <w:p>
      <w:pPr>
        <w:ind w:left="740"/>
        <w:spacing w:after="0"/>
        <w:tabs>
          <w:tab w:leader="none" w:pos="250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90025</w:t>
      </w:r>
    </w:p>
    <w:p>
      <w:pPr>
        <w:spacing w:after="0" w:line="202" w:lineRule="exact"/>
        <w:rPr>
          <w:sz w:val="20"/>
          <w:szCs w:val="20"/>
          <w:color w:val="auto"/>
        </w:rPr>
      </w:pPr>
    </w:p>
    <w:p>
      <w:pPr>
        <w:spacing w:after="0"/>
        <w:tabs>
          <w:tab w:leader="none" w:pos="1240" w:val="left"/>
          <w:tab w:leader="none" w:pos="282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225305903</w:t>
      </w:r>
    </w:p>
    <w:p>
      <w:pPr>
        <w:spacing w:after="0" w:line="20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left="1260" w:right="2119" w:hanging="528"/>
        <w:spacing w:after="0" w:line="235" w:lineRule="auto"/>
        <w:tabs>
          <w:tab w:leader="none" w:pos="136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1260" w:right="1819" w:hanging="528"/>
        <w:spacing w:after="0" w:line="235" w:lineRule="auto"/>
        <w:tabs>
          <w:tab w:leader="none" w:pos="147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6" w:lineRule="exact"/>
        <w:rPr>
          <w:sz w:val="20"/>
          <w:szCs w:val="20"/>
          <w:color w:val="auto"/>
        </w:rPr>
      </w:pPr>
    </w:p>
    <w:p>
      <w:pPr>
        <w:ind w:left="1260" w:right="2439" w:hanging="528"/>
        <w:spacing w:after="0" w:line="235" w:lineRule="auto"/>
        <w:tabs>
          <w:tab w:leader="none" w:pos="1365"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1819"/>
        <w:spacing w:after="0" w:line="270" w:lineRule="auto"/>
        <w:rPr>
          <w:sz w:val="20"/>
          <w:szCs w:val="20"/>
          <w:color w:val="auto"/>
        </w:rPr>
      </w:pPr>
      <w:r>
        <w:rPr>
          <w:rFonts w:ascii="Courier New" w:cs="Courier New" w:eastAsia="Courier New" w:hAnsi="Courier New"/>
          <w:sz w:val="16"/>
          <w:szCs w:val="16"/>
          <w:color w:val="auto"/>
        </w:rPr>
        <w:t>Capital Group International,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Capital Group International, Inc. does not have investment power or voting power over any of the securities reported herein; however, Capital Group International, Inc. may be deemed to "beneficially own" such securities by virtue of Rule 13d-3 under the Act.</w:t>
      </w:r>
    </w:p>
    <w:p>
      <w:pPr>
        <w:sectPr>
          <w:pgSz w:w="11900" w:h="16838" w:orient="portrait"/>
          <w:cols w:equalWidth="0" w:num="1">
            <w:col w:w="9599"/>
          </w:cols>
          <w:pgMar w:left="860" w:top="919" w:right="1440" w:bottom="1440" w:gutter="0" w:footer="0" w:header="0"/>
        </w:sectPr>
      </w:pPr>
    </w:p>
    <w:bookmarkStart w:id="5" w:name="page6"/>
    <w:bookmarkEnd w:id="5"/>
    <w:p>
      <w:pPr>
        <w:spacing w:after="0" w:line="200" w:lineRule="exact"/>
        <w:rPr>
          <w:sz w:val="20"/>
          <w:szCs w:val="20"/>
          <w:color w:val="auto"/>
        </w:rPr>
      </w:pPr>
    </w:p>
    <w:p>
      <w:pPr>
        <w:spacing w:after="0" w:line="397" w:lineRule="exact"/>
        <w:rPr>
          <w:sz w:val="20"/>
          <w:szCs w:val="20"/>
          <w:color w:val="auto"/>
        </w:rPr>
      </w:pPr>
    </w:p>
    <w:p>
      <w:pPr>
        <w:ind w:left="740" w:right="1819"/>
        <w:spacing w:after="0" w:line="237" w:lineRule="auto"/>
        <w:rPr>
          <w:sz w:val="20"/>
          <w:szCs w:val="20"/>
          <w:color w:val="auto"/>
        </w:rPr>
      </w:pPr>
      <w:r>
        <w:rPr>
          <w:rFonts w:ascii="Courier New" w:cs="Courier New" w:eastAsia="Courier New" w:hAnsi="Courier New"/>
          <w:sz w:val="18"/>
          <w:szCs w:val="18"/>
          <w:color w:val="auto"/>
        </w:rPr>
        <w:t>Capital International, Inc., an investment adviser registered under Section 203 of the Investment Advisers Act of 1940 is deemed to be the beneficial owner of 9,715,650 shares or 10.3% of the 94,382,000 shares of Common Stock believed to be outstanding as a result of acting as investment adviser to various investment companies and institutional accounts.</w:t>
      </w:r>
    </w:p>
    <w:p>
      <w:pPr>
        <w:spacing w:after="0" w:line="209" w:lineRule="exact"/>
        <w:rPr>
          <w:sz w:val="20"/>
          <w:szCs w:val="20"/>
          <w:color w:val="auto"/>
        </w:rPr>
      </w:pPr>
    </w:p>
    <w:p>
      <w:pPr>
        <w:ind w:left="740" w:right="1919"/>
        <w:spacing w:after="0" w:line="237" w:lineRule="auto"/>
        <w:rPr>
          <w:sz w:val="20"/>
          <w:szCs w:val="20"/>
          <w:color w:val="auto"/>
        </w:rPr>
      </w:pPr>
      <w:r>
        <w:rPr>
          <w:rFonts w:ascii="Courier New" w:cs="Courier New" w:eastAsia="Courier New" w:hAnsi="Courier New"/>
          <w:sz w:val="18"/>
          <w:szCs w:val="18"/>
          <w:color w:val="auto"/>
        </w:rPr>
        <w:t>Emerging Markets Growth Fund, Inc. , an investment company registered under the Investment Company Act of 1940, which is advised by Capital International, Inc., is the beneficial owner of 6,719,862 shares or 7.1% of the 94,382,000 shares of Common Stock believed to be outstanding.</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169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1040" w:right="1919"/>
        <w:spacing w:after="0" w:line="275" w:lineRule="auto"/>
        <w:rPr>
          <w:sz w:val="20"/>
          <w:szCs w:val="20"/>
          <w:color w:val="auto"/>
        </w:rPr>
      </w:pPr>
      <w:r>
        <w:rPr>
          <w:rFonts w:ascii="Courier New" w:cs="Courier New" w:eastAsia="Courier New" w:hAnsi="Courier New"/>
          <w:sz w:val="16"/>
          <w:szCs w:val="16"/>
          <w:color w:val="auto"/>
        </w:rPr>
        <w:t>Capital International Research and Management, Inc. dba Capital International, Inc. is an investment adviser registered under Section 203 of the Investment Advisers Act of 1940 and is a wholly owned subsidiary of Capital Group International, Inc.</w:t>
      </w:r>
    </w:p>
    <w:p>
      <w:pPr>
        <w:spacing w:after="0" w:line="17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1040" w:right="1699"/>
        <w:spacing w:after="0" w:line="237" w:lineRule="auto"/>
        <w:rPr>
          <w:sz w:val="20"/>
          <w:szCs w:val="20"/>
          <w:color w:val="auto"/>
        </w:rPr>
      </w:pPr>
      <w:r>
        <w:rPr>
          <w:rFonts w:ascii="Courier New" w:cs="Courier New" w:eastAsia="Courier New" w:hAnsi="Courier New"/>
          <w:sz w:val="18"/>
          <w:szCs w:val="18"/>
          <w:color w:val="auto"/>
        </w:rPr>
        <w:t>Capital International S.A. (CISA)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CISA is a wholly owned subsidiary of Capital Group International, Inc.</w:t>
      </w:r>
    </w:p>
    <w:p>
      <w:pPr>
        <w:spacing w:after="0" w:line="20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1040" w:right="1699"/>
        <w:spacing w:after="0" w:line="237" w:lineRule="auto"/>
        <w:rPr>
          <w:sz w:val="20"/>
          <w:szCs w:val="20"/>
          <w:color w:val="auto"/>
        </w:rPr>
      </w:pPr>
      <w:r>
        <w:rPr>
          <w:rFonts w:ascii="Courier New" w:cs="Courier New" w:eastAsia="Courier New" w:hAnsi="Courier New"/>
          <w:sz w:val="18"/>
          <w:szCs w:val="18"/>
          <w:color w:val="auto"/>
        </w:rPr>
        <w:t>Capital International Limited (CIL)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CIL is a wholly owned subsidiary of Capital Group International, Inc.</w:t>
      </w:r>
    </w:p>
    <w:p>
      <w:pPr>
        <w:spacing w:after="0" w:line="20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1040" w:right="2339"/>
        <w:spacing w:after="0" w:line="279" w:lineRule="auto"/>
        <w:rPr>
          <w:sz w:val="20"/>
          <w:szCs w:val="20"/>
          <w:color w:val="auto"/>
        </w:rPr>
      </w:pPr>
      <w:r>
        <w:rPr>
          <w:rFonts w:ascii="Courier New" w:cs="Courier New" w:eastAsia="Courier New" w:hAnsi="Courier New"/>
          <w:sz w:val="16"/>
          <w:szCs w:val="16"/>
          <w:color w:val="auto"/>
        </w:rPr>
        <w:t>Capital International, Inc. serves as investment adviser to Emerging Markets Growth Fund, Inc., an investment company registered under the Investment Company Act of 1940.</w:t>
      </w:r>
    </w:p>
    <w:p>
      <w:pPr>
        <w:spacing w:after="0" w:line="172" w:lineRule="exact"/>
        <w:rPr>
          <w:sz w:val="20"/>
          <w:szCs w:val="20"/>
          <w:color w:val="auto"/>
        </w:rPr>
      </w:pPr>
    </w:p>
    <w:p>
      <w:pPr>
        <w:spacing w:after="0"/>
        <w:tabs>
          <w:tab w:leader="none" w:pos="920" w:val="left"/>
          <w:tab w:leader="none" w:pos="72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right="4439"/>
        <w:spacing w:after="0" w:line="469" w:lineRule="auto"/>
        <w:rPr>
          <w:sz w:val="20"/>
          <w:szCs w:val="20"/>
          <w:color w:val="auto"/>
        </w:rPr>
      </w:pPr>
      <w:r>
        <w:rPr>
          <w:rFonts w:ascii="Courier New" w:cs="Courier New" w:eastAsia="Courier New" w:hAnsi="Courier New"/>
          <w:sz w:val="18"/>
          <w:szCs w:val="18"/>
          <w:color w:val="auto"/>
        </w:rPr>
        <w:t>Item 9 Notice of Dissolution of the Group: N/A Item 10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225305903</w:t>
      </w:r>
      <w:r>
        <w:rPr>
          <w:sz w:val="20"/>
          <w:szCs w:val="20"/>
          <w:color w:val="auto"/>
        </w:rPr>
        <w:tab/>
      </w:r>
      <w:r>
        <w:rPr>
          <w:rFonts w:ascii="Courier New" w:cs="Courier New" w:eastAsia="Courier New" w:hAnsi="Courier New"/>
          <w:sz w:val="16"/>
          <w:szCs w:val="16"/>
          <w:color w:val="auto"/>
        </w:rPr>
        <w:t>Page 6 of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40" w:right="19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w:t>
      </w:r>
    </w:p>
    <w:p>
      <w:pPr>
        <w:sectPr>
          <w:pgSz w:w="11900" w:h="16938" w:orient="portrait"/>
          <w:cols w:equalWidth="0" w:num="1">
            <w:col w:w="9599"/>
          </w:cols>
          <w:pgMar w:left="860" w:top="1440" w:right="1440" w:bottom="0" w:gutter="0" w:footer="0" w:header="0"/>
        </w:sectPr>
      </w:pPr>
    </w:p>
    <w:bookmarkStart w:id="6" w:name="page7"/>
    <w:bookmarkEnd w:id="6"/>
    <w:p>
      <w:pPr>
        <w:ind w:left="740"/>
        <w:spacing w:after="0"/>
        <w:rPr>
          <w:sz w:val="20"/>
          <w:szCs w:val="20"/>
          <w:color w:val="auto"/>
        </w:rPr>
      </w:pPr>
      <w:r>
        <w:rPr>
          <w:rFonts w:ascii="Courier New" w:cs="Courier New" w:eastAsia="Courier New" w:hAnsi="Courier New"/>
          <w:sz w:val="18"/>
          <w:szCs w:val="18"/>
          <w:color w:val="auto"/>
        </w:rPr>
        <w:t>purpose or effect.</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840" w:type="dxa"/>
        <w:tblCellMar>
          <w:top w:w="0" w:type="dxa"/>
          <w:left w:w="0" w:type="dxa"/>
          <w:bottom w:w="0" w:type="dxa"/>
          <w:right w:w="0" w:type="dxa"/>
        </w:tblCellMar>
      </w:tblPr>
      <w:tr>
        <w:trPr>
          <w:trHeight w:val="204"/>
        </w:trPr>
        <w:tc>
          <w:tcPr>
            <w:tcW w:w="10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440" w:type="dxa"/>
            <w:vAlign w:val="bottom"/>
          </w:tcPr>
          <w:p>
            <w:pPr>
              <w:ind w:left="540"/>
              <w:spacing w:after="0"/>
              <w:rPr>
                <w:sz w:val="20"/>
                <w:szCs w:val="20"/>
                <w:color w:val="auto"/>
              </w:rPr>
            </w:pPr>
            <w:r>
              <w:rPr>
                <w:rFonts w:ascii="Courier New" w:cs="Courier New" w:eastAsia="Courier New" w:hAnsi="Courier New"/>
                <w:sz w:val="18"/>
                <w:szCs w:val="18"/>
                <w:color w:val="auto"/>
              </w:rPr>
              <w:t>February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w w:val="96"/>
              </w:rPr>
              <w:t>2000 (For the period ended</w:t>
            </w:r>
          </w:p>
        </w:tc>
      </w:tr>
      <w:tr>
        <w:trPr>
          <w:trHeight w:val="203"/>
        </w:trPr>
        <w:tc>
          <w:tcPr>
            <w:tcW w:w="1040" w:type="dxa"/>
            <w:vAlign w:val="bottom"/>
          </w:tcPr>
          <w:p>
            <w:pPr>
              <w:spacing w:after="0"/>
              <w:rPr>
                <w:sz w:val="17"/>
                <w:szCs w:val="17"/>
                <w:color w:val="auto"/>
              </w:rPr>
            </w:pPr>
          </w:p>
        </w:tc>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December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1999)</w:t>
            </w:r>
          </w:p>
        </w:tc>
      </w:tr>
    </w:tbl>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Chairman</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0" w:lineRule="exact"/>
        <w:rPr>
          <w:sz w:val="20"/>
          <w:szCs w:val="20"/>
          <w:color w:val="auto"/>
        </w:rPr>
      </w:pPr>
    </w:p>
    <w:p>
      <w:pPr>
        <w:spacing w:after="0" w:line="204" w:lineRule="exact"/>
        <w:rPr>
          <w:sz w:val="20"/>
          <w:szCs w:val="20"/>
          <w:color w:val="auto"/>
        </w:rPr>
      </w:pPr>
    </w:p>
    <w:tbl>
      <w:tblPr>
        <w:tblLayout w:type="fixed"/>
        <w:tblInd w:w="840" w:type="dxa"/>
        <w:tblCellMar>
          <w:top w:w="0" w:type="dxa"/>
          <w:left w:w="0" w:type="dxa"/>
          <w:bottom w:w="0" w:type="dxa"/>
          <w:right w:w="0" w:type="dxa"/>
        </w:tblCellMar>
      </w:tblPr>
      <w:tr>
        <w:trPr>
          <w:trHeight w:val="204"/>
        </w:trPr>
        <w:tc>
          <w:tcPr>
            <w:tcW w:w="10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440" w:type="dxa"/>
            <w:vAlign w:val="bottom"/>
          </w:tcPr>
          <w:p>
            <w:pPr>
              <w:ind w:left="540"/>
              <w:spacing w:after="0"/>
              <w:rPr>
                <w:sz w:val="20"/>
                <w:szCs w:val="20"/>
                <w:color w:val="auto"/>
              </w:rPr>
            </w:pPr>
            <w:r>
              <w:rPr>
                <w:rFonts w:ascii="Courier New" w:cs="Courier New" w:eastAsia="Courier New" w:hAnsi="Courier New"/>
                <w:sz w:val="18"/>
                <w:szCs w:val="18"/>
                <w:color w:val="auto"/>
              </w:rPr>
              <w:t>February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w w:val="96"/>
              </w:rPr>
              <w:t>2000 (For the period ended</w:t>
            </w:r>
          </w:p>
        </w:tc>
      </w:tr>
      <w:tr>
        <w:trPr>
          <w:trHeight w:val="203"/>
        </w:trPr>
        <w:tc>
          <w:tcPr>
            <w:tcW w:w="1040" w:type="dxa"/>
            <w:vAlign w:val="bottom"/>
          </w:tcPr>
          <w:p>
            <w:pPr>
              <w:spacing w:after="0"/>
              <w:rPr>
                <w:sz w:val="17"/>
                <w:szCs w:val="17"/>
                <w:color w:val="auto"/>
              </w:rPr>
            </w:pPr>
          </w:p>
        </w:tc>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December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1999)</w:t>
            </w:r>
          </w:p>
        </w:tc>
      </w:tr>
    </w:tbl>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Vice Chairman</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Capital International, Inc.</w:t>
      </w:r>
    </w:p>
    <w:p>
      <w:pPr>
        <w:spacing w:after="0" w:line="200" w:lineRule="exact"/>
        <w:rPr>
          <w:sz w:val="20"/>
          <w:szCs w:val="20"/>
          <w:color w:val="auto"/>
        </w:rPr>
      </w:pPr>
    </w:p>
    <w:p>
      <w:pPr>
        <w:spacing w:after="0" w:line="204" w:lineRule="exact"/>
        <w:rPr>
          <w:sz w:val="20"/>
          <w:szCs w:val="20"/>
          <w:color w:val="auto"/>
        </w:rPr>
      </w:pPr>
    </w:p>
    <w:tbl>
      <w:tblPr>
        <w:tblLayout w:type="fixed"/>
        <w:tblInd w:w="840" w:type="dxa"/>
        <w:tblCellMar>
          <w:top w:w="0" w:type="dxa"/>
          <w:left w:w="0" w:type="dxa"/>
          <w:bottom w:w="0" w:type="dxa"/>
          <w:right w:w="0" w:type="dxa"/>
        </w:tblCellMar>
      </w:tblPr>
      <w:tr>
        <w:trPr>
          <w:trHeight w:val="204"/>
        </w:trPr>
        <w:tc>
          <w:tcPr>
            <w:tcW w:w="10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440" w:type="dxa"/>
            <w:vAlign w:val="bottom"/>
          </w:tcPr>
          <w:p>
            <w:pPr>
              <w:ind w:left="540"/>
              <w:spacing w:after="0"/>
              <w:rPr>
                <w:sz w:val="20"/>
                <w:szCs w:val="20"/>
                <w:color w:val="auto"/>
              </w:rPr>
            </w:pPr>
            <w:r>
              <w:rPr>
                <w:rFonts w:ascii="Courier New" w:cs="Courier New" w:eastAsia="Courier New" w:hAnsi="Courier New"/>
                <w:sz w:val="18"/>
                <w:szCs w:val="18"/>
                <w:color w:val="auto"/>
              </w:rPr>
              <w:t>February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w w:val="96"/>
              </w:rPr>
              <w:t>2000 (For the period ended</w:t>
            </w:r>
          </w:p>
        </w:tc>
      </w:tr>
      <w:tr>
        <w:trPr>
          <w:trHeight w:val="203"/>
        </w:trPr>
        <w:tc>
          <w:tcPr>
            <w:tcW w:w="1040" w:type="dxa"/>
            <w:vAlign w:val="bottom"/>
          </w:tcPr>
          <w:p>
            <w:pPr>
              <w:spacing w:after="0"/>
              <w:rPr>
                <w:sz w:val="17"/>
                <w:szCs w:val="17"/>
                <w:color w:val="auto"/>
              </w:rPr>
            </w:pPr>
          </w:p>
        </w:tc>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December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1999)</w:t>
            </w:r>
          </w:p>
        </w:tc>
      </w:tr>
    </w:tbl>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Vice Chairman</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Emerging Markets Growth Fund,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Michael J. Downer</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191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29, 1999 included as an Exhibit to Schedule 13G filed with the Securities and Exchange Commission by Capital Group International, Inc. on February 10, 2000 with respect to Acclaim Entertainment,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225305903</w:t>
      </w:r>
      <w:r>
        <w:rPr>
          <w:sz w:val="20"/>
          <w:szCs w:val="20"/>
          <w:color w:val="auto"/>
        </w:rPr>
        <w:tab/>
      </w:r>
      <w:r>
        <w:rPr>
          <w:rFonts w:ascii="Courier New" w:cs="Courier New" w:eastAsia="Courier New" w:hAnsi="Courier New"/>
          <w:sz w:val="16"/>
          <w:szCs w:val="16"/>
          <w:color w:val="auto"/>
        </w:rPr>
        <w:t>Page 7 of 8</w:t>
      </w:r>
    </w:p>
    <w:p>
      <w:pPr>
        <w:spacing w:after="0" w:line="200" w:lineRule="exact"/>
        <w:rPr>
          <w:sz w:val="20"/>
          <w:szCs w:val="20"/>
          <w:color w:val="auto"/>
        </w:rPr>
      </w:pPr>
    </w:p>
    <w:p>
      <w:pPr>
        <w:spacing w:after="0" w:line="204"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Los Angeles, CA</w:t>
      </w:r>
    </w:p>
    <w:p>
      <w:pPr>
        <w:jc w:val="center"/>
        <w:ind w:right="1699"/>
        <w:spacing w:after="0" w:line="238" w:lineRule="auto"/>
        <w:rPr>
          <w:sz w:val="20"/>
          <w:szCs w:val="20"/>
          <w:color w:val="auto"/>
        </w:rPr>
      </w:pPr>
      <w:r>
        <w:rPr>
          <w:rFonts w:ascii="Courier New" w:cs="Courier New" w:eastAsia="Courier New" w:hAnsi="Courier New"/>
          <w:sz w:val="18"/>
          <w:szCs w:val="18"/>
          <w:color w:val="auto"/>
        </w:rPr>
        <w:t>February 10, 2000</w:t>
      </w:r>
    </w:p>
    <w:p>
      <w:pPr>
        <w:spacing w:after="0" w:line="200" w:lineRule="exact"/>
        <w:rPr>
          <w:sz w:val="20"/>
          <w:szCs w:val="20"/>
          <w:color w:val="auto"/>
        </w:rPr>
      </w:pPr>
    </w:p>
    <w:p>
      <w:pPr>
        <w:spacing w:after="0" w:line="210" w:lineRule="exact"/>
        <w:rPr>
          <w:sz w:val="20"/>
          <w:szCs w:val="20"/>
          <w:color w:val="auto"/>
        </w:rPr>
      </w:pPr>
    </w:p>
    <w:p>
      <w:pPr>
        <w:ind w:right="1699" w:firstLine="211"/>
        <w:spacing w:after="0" w:line="237" w:lineRule="auto"/>
        <w:rPr>
          <w:sz w:val="20"/>
          <w:szCs w:val="20"/>
          <w:color w:val="auto"/>
        </w:rPr>
      </w:pPr>
      <w:r>
        <w:rPr>
          <w:rFonts w:ascii="Courier New" w:cs="Courier New" w:eastAsia="Courier New" w:hAnsi="Courier New"/>
          <w:sz w:val="18"/>
          <w:szCs w:val="18"/>
          <w:color w:val="auto"/>
        </w:rPr>
        <w:t>Capital Group International, Inc. ("CGII"), Capital International, Inc. ("CII"), Emerging Markets Growth Fund, Inc. ("EMGF") hereby agree to file a joint statement on Schedule 13G under the Securities Exchange Act of 1934 (the "Act") in connection with their beneficial ownership of Common Stock issued by Credicorp Ltd.</w:t>
      </w:r>
    </w:p>
    <w:p>
      <w:pPr>
        <w:spacing w:after="0" w:line="208" w:lineRule="exact"/>
        <w:rPr>
          <w:sz w:val="20"/>
          <w:szCs w:val="20"/>
          <w:color w:val="auto"/>
        </w:rPr>
      </w:pPr>
    </w:p>
    <w:p>
      <w:pPr>
        <w:ind w:right="2119" w:firstLine="211"/>
        <w:spacing w:after="0" w:line="235" w:lineRule="auto"/>
        <w:rPr>
          <w:sz w:val="20"/>
          <w:szCs w:val="20"/>
          <w:color w:val="auto"/>
        </w:rPr>
      </w:pPr>
      <w:r>
        <w:rPr>
          <w:rFonts w:ascii="Courier New" w:cs="Courier New" w:eastAsia="Courier New" w:hAnsi="Courier New"/>
          <w:sz w:val="18"/>
          <w:szCs w:val="18"/>
          <w:color w:val="auto"/>
        </w:rPr>
        <w:t>CGII, CII, EMGF state that they are each entitled to individually use Schedule 13G pursuant to Rule 13d-1(c) of the Act.</w:t>
      </w:r>
    </w:p>
    <w:p>
      <w:pPr>
        <w:spacing w:after="0" w:line="208" w:lineRule="exact"/>
        <w:rPr>
          <w:sz w:val="20"/>
          <w:szCs w:val="20"/>
          <w:color w:val="auto"/>
        </w:rPr>
      </w:pPr>
    </w:p>
    <w:p>
      <w:pPr>
        <w:ind w:right="1699" w:firstLine="211"/>
        <w:spacing w:after="0" w:line="279" w:lineRule="auto"/>
        <w:rPr>
          <w:sz w:val="20"/>
          <w:szCs w:val="20"/>
          <w:color w:val="auto"/>
        </w:rPr>
      </w:pPr>
      <w:r>
        <w:rPr>
          <w:rFonts w:ascii="Courier New" w:cs="Courier New" w:eastAsia="Courier New" w:hAnsi="Courier New"/>
          <w:sz w:val="16"/>
          <w:szCs w:val="16"/>
          <w:color w:val="auto"/>
        </w:rPr>
        <w:t>CGII, CII, EMGF are each responsible for the timely filing of the statement and any amendments thereto, and for the completeness and accuracy of the information concerning each of them contained therein but are not</w:t>
      </w:r>
    </w:p>
    <w:p>
      <w:pPr>
        <w:sectPr>
          <w:pgSz w:w="11900" w:h="16838" w:orient="portrait"/>
          <w:cols w:equalWidth="0" w:num="1">
            <w:col w:w="9599"/>
          </w:cols>
          <w:pgMar w:left="860" w:top="136" w:right="1440" w:bottom="0" w:gutter="0" w:footer="0" w:header="0"/>
        </w:sectPr>
      </w:pPr>
    </w:p>
    <w:bookmarkStart w:id="7" w:name="page8"/>
    <w:bookmarkEnd w:id="7"/>
    <w:p>
      <w:pPr>
        <w:ind w:right="1819"/>
        <w:spacing w:after="0" w:line="235" w:lineRule="auto"/>
        <w:rPr>
          <w:sz w:val="20"/>
          <w:szCs w:val="20"/>
          <w:color w:val="auto"/>
        </w:rPr>
      </w:pPr>
      <w:r>
        <w:rPr>
          <w:rFonts w:ascii="Courier New" w:cs="Courier New" w:eastAsia="Courier New" w:hAnsi="Courier New"/>
          <w:sz w:val="18"/>
          <w:szCs w:val="18"/>
          <w:color w:val="auto"/>
        </w:rPr>
        <w:t>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CAPITAL GROUP INTERNATIONAL, INC.</w:t>
      </w:r>
    </w:p>
    <w:p>
      <w:pPr>
        <w:spacing w:after="0" w:line="201" w:lineRule="exact"/>
        <w:rPr>
          <w:sz w:val="20"/>
          <w:szCs w:val="20"/>
          <w:color w:val="auto"/>
        </w:rPr>
      </w:pPr>
    </w:p>
    <w:p>
      <w:pPr>
        <w:ind w:left="178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David I. Fisher, Chairman</w:t>
      </w:r>
    </w:p>
    <w:p>
      <w:pPr>
        <w:ind w:left="3680"/>
        <w:spacing w:after="0" w:line="238" w:lineRule="auto"/>
        <w:rPr>
          <w:sz w:val="20"/>
          <w:szCs w:val="20"/>
          <w:color w:val="auto"/>
        </w:rPr>
      </w:pPr>
      <w:r>
        <w:rPr>
          <w:rFonts w:ascii="Courier New" w:cs="Courier New" w:eastAsia="Courier New" w:hAnsi="Courier New"/>
          <w:sz w:val="18"/>
          <w:szCs w:val="18"/>
          <w:color w:val="auto"/>
        </w:rPr>
        <w:t>Capital Group International,</w:t>
      </w:r>
    </w:p>
    <w:p>
      <w:pPr>
        <w:ind w:left="3680"/>
        <w:spacing w:after="0" w:line="238" w:lineRule="auto"/>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4"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CAPITAL INTERNATIONAL, INC.</w:t>
      </w:r>
    </w:p>
    <w:p>
      <w:pPr>
        <w:spacing w:after="0" w:line="201" w:lineRule="exact"/>
        <w:rPr>
          <w:sz w:val="20"/>
          <w:szCs w:val="20"/>
          <w:color w:val="auto"/>
        </w:rPr>
      </w:pPr>
    </w:p>
    <w:p>
      <w:pPr>
        <w:ind w:left="178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David I. Fisher, Vice Chairman</w:t>
      </w:r>
    </w:p>
    <w:p>
      <w:pPr>
        <w:ind w:left="3680"/>
        <w:spacing w:after="0" w:line="238" w:lineRule="auto"/>
        <w:rPr>
          <w:sz w:val="20"/>
          <w:szCs w:val="20"/>
          <w:color w:val="auto"/>
        </w:rPr>
      </w:pPr>
      <w:r>
        <w:rPr>
          <w:rFonts w:ascii="Courier New" w:cs="Courier New" w:eastAsia="Courier New" w:hAnsi="Courier New"/>
          <w:sz w:val="18"/>
          <w:szCs w:val="18"/>
          <w:color w:val="auto"/>
        </w:rPr>
        <w:t>Capital International, Inc.</w:t>
      </w:r>
    </w:p>
    <w:p>
      <w:pPr>
        <w:spacing w:after="0" w:line="200" w:lineRule="exact"/>
        <w:rPr>
          <w:sz w:val="20"/>
          <w:szCs w:val="20"/>
          <w:color w:val="auto"/>
        </w:rPr>
      </w:pPr>
    </w:p>
    <w:p>
      <w:pPr>
        <w:spacing w:after="0" w:line="204"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EMERGING MARKETS GROWTH FUND, INC.</w:t>
      </w:r>
    </w:p>
    <w:p>
      <w:pPr>
        <w:spacing w:after="0" w:line="201" w:lineRule="exact"/>
        <w:rPr>
          <w:sz w:val="20"/>
          <w:szCs w:val="20"/>
          <w:color w:val="auto"/>
        </w:rPr>
      </w:pPr>
    </w:p>
    <w:p>
      <w:pPr>
        <w:ind w:left="178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David I. Fisher, Vice Chairman</w:t>
      </w:r>
    </w:p>
    <w:p>
      <w:pPr>
        <w:ind w:left="3680"/>
        <w:spacing w:after="0" w:line="238" w:lineRule="auto"/>
        <w:rPr>
          <w:sz w:val="20"/>
          <w:szCs w:val="20"/>
          <w:color w:val="auto"/>
        </w:rPr>
      </w:pPr>
      <w:r>
        <w:rPr>
          <w:rFonts w:ascii="Courier New" w:cs="Courier New" w:eastAsia="Courier New" w:hAnsi="Courier New"/>
          <w:sz w:val="18"/>
          <w:szCs w:val="18"/>
          <w:color w:val="auto"/>
        </w:rPr>
        <w:t>Emerging Markets Growth Fund,</w:t>
      </w:r>
    </w:p>
    <w:p>
      <w:pPr>
        <w:ind w:left="3680"/>
        <w:spacing w:after="0" w:line="238" w:lineRule="auto"/>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Michael J. Downer</w:t>
      </w:r>
    </w:p>
    <w:p>
      <w:pPr>
        <w:ind w:left="52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20" w:right="169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29, 1999 included as an Exhibit to Schedule 13G filed with the Securities and Exchange Commission by Capital Group International, Inc. on February 10, 2000 with respect to Acclaim Entertainment, Inc</w:t>
      </w:r>
    </w:p>
    <w:sectPr>
      <w:pgSz w:w="11900" w:h="16838" w:orient="portrait"/>
      <w:cols w:equalWidth="0" w:num="1">
        <w:col w:w="9599"/>
      </w:cols>
      <w:pgMar w:left="8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bullet"/>
      <w:start w:val="1"/>
    </w:lvl>
  </w:abstractNum>
  <w:abstractNum w:abstractNumId="1">
    <w:nsid w:val="140E0F76"/>
    <w:multiLevelType w:val="hybridMultilevel"/>
    <w:lvl w:ilvl="0">
      <w:lvlJc w:val="left"/>
      <w:lvlText w:val="3"/>
      <w:numFmt w:val="bullet"/>
      <w:start w:val="1"/>
    </w:lvl>
  </w:abstractNum>
  <w:abstractNum w:abstractNumId="2">
    <w:nsid w:val="3352255A"/>
    <w:multiLevelType w:val="hybridMultilevel"/>
    <w:lvl w:ilvl="0">
      <w:lvlJc w:val="left"/>
      <w:lvlText w:val="4"/>
      <w:numFmt w:val="bullet"/>
      <w:start w:val="1"/>
    </w:lvl>
  </w:abstractNum>
  <w:abstractNum w:abstractNumId="3">
    <w:nsid w:val="109CF92E"/>
    <w:multiLevelType w:val="hybridMultilevel"/>
    <w:lvl w:ilvl="0">
      <w:lvlJc w:val="left"/>
      <w:lvlText w:val="5"/>
      <w:numFmt w:val="bullet"/>
      <w:start w:val="1"/>
    </w:lvl>
  </w:abstractNum>
  <w:abstractNum w:abstractNumId="4">
    <w:nsid w:val="DED7263"/>
    <w:multiLevelType w:val="hybridMultilevel"/>
    <w:lvl w:ilvl="0">
      <w:lvlJc w:val="left"/>
      <w:lvlText w:val="8"/>
      <w:numFmt w:val="bullet"/>
      <w:start w:val="1"/>
    </w:lvl>
  </w:abstractNum>
  <w:abstractNum w:abstractNumId="5">
    <w:nsid w:val="7FDCC233"/>
    <w:multiLevelType w:val="hybridMultilevel"/>
    <w:lvl w:ilvl="0">
      <w:lvlJc w:val="left"/>
      <w:lvlText w:val="9"/>
      <w:numFmt w:val="bullet"/>
      <w:start w:val="1"/>
    </w:lvl>
  </w:abstractNum>
  <w:abstractNum w:abstractNumId="6">
    <w:nsid w:val="1BEFD79F"/>
    <w:multiLevelType w:val="hybridMultilevel"/>
    <w:lvl w:ilvl="0">
      <w:lvlJc w:val="left"/>
      <w:lvlText w:val="%1"/>
      <w:numFmt w:val="decimal"/>
      <w:start w:val="10"/>
    </w:lvl>
  </w:abstractNum>
  <w:abstractNum w:abstractNumId="7">
    <w:nsid w:val="41A7C4C9"/>
    <w:multiLevelType w:val="hybridMultilevel"/>
    <w:lvl w:ilvl="0">
      <w:lvlJc w:val="left"/>
      <w:lvlText w:val="1"/>
      <w:numFmt w:val="bullet"/>
      <w:start w:val="1"/>
    </w:lvl>
  </w:abstractNum>
  <w:abstractNum w:abstractNumId="8">
    <w:nsid w:val="6B68079A"/>
    <w:multiLevelType w:val="hybridMultilevel"/>
    <w:lvl w:ilvl="0">
      <w:lvlJc w:val="left"/>
      <w:lvlText w:val="3"/>
      <w:numFmt w:val="bullet"/>
      <w:start w:val="1"/>
    </w:lvl>
  </w:abstractNum>
  <w:abstractNum w:abstractNumId="9">
    <w:nsid w:val="4E6AFB66"/>
    <w:multiLevelType w:val="hybridMultilevel"/>
    <w:lvl w:ilvl="0">
      <w:lvlJc w:val="left"/>
      <w:lvlText w:val="4"/>
      <w:numFmt w:val="bullet"/>
      <w:start w:val="1"/>
    </w:lvl>
  </w:abstractNum>
  <w:abstractNum w:abstractNumId="10">
    <w:nsid w:val="25E45D32"/>
    <w:multiLevelType w:val="hybridMultilevel"/>
    <w:lvl w:ilvl="0">
      <w:lvlJc w:val="left"/>
      <w:lvlText w:val="5"/>
      <w:numFmt w:val="bullet"/>
      <w:start w:val="1"/>
    </w:lvl>
  </w:abstractNum>
  <w:abstractNum w:abstractNumId="11">
    <w:nsid w:val="519B500D"/>
    <w:multiLevelType w:val="hybridMultilevel"/>
    <w:lvl w:ilvl="0">
      <w:lvlJc w:val="left"/>
      <w:lvlText w:val="8"/>
      <w:numFmt w:val="bullet"/>
      <w:start w:val="1"/>
    </w:lvl>
  </w:abstractNum>
  <w:abstractNum w:abstractNumId="12">
    <w:nsid w:val="431BD7B7"/>
    <w:multiLevelType w:val="hybridMultilevel"/>
    <w:lvl w:ilvl="0">
      <w:lvlJc w:val="left"/>
      <w:lvlText w:val="9"/>
      <w:numFmt w:val="bullet"/>
      <w:start w:val="1"/>
    </w:lvl>
  </w:abstractNum>
  <w:abstractNum w:abstractNumId="13">
    <w:nsid w:val="3F2DBA31"/>
    <w:multiLevelType w:val="hybridMultilevel"/>
    <w:lvl w:ilvl="0">
      <w:lvlJc w:val="left"/>
      <w:lvlText w:val="%1"/>
      <w:numFmt w:val="decimal"/>
      <w:start w:val="10"/>
    </w:lvl>
  </w:abstractNum>
  <w:abstractNum w:abstractNumId="14">
    <w:nsid w:val="7C83E458"/>
    <w:multiLevelType w:val="hybridMultilevel"/>
    <w:lvl w:ilvl="0">
      <w:lvlJc w:val="left"/>
      <w:lvlText w:val="1"/>
      <w:numFmt w:val="bullet"/>
      <w:start w:val="1"/>
    </w:lvl>
  </w:abstractNum>
  <w:abstractNum w:abstractNumId="15">
    <w:nsid w:val="257130A3"/>
    <w:multiLevelType w:val="hybridMultilevel"/>
    <w:lvl w:ilvl="0">
      <w:lvlJc w:val="left"/>
      <w:lvlText w:val="3"/>
      <w:numFmt w:val="bullet"/>
      <w:start w:val="1"/>
    </w:lvl>
  </w:abstractNum>
  <w:abstractNum w:abstractNumId="16">
    <w:nsid w:val="62BBD95A"/>
    <w:multiLevelType w:val="hybridMultilevel"/>
    <w:lvl w:ilvl="0">
      <w:lvlJc w:val="left"/>
      <w:lvlText w:val="4"/>
      <w:numFmt w:val="bullet"/>
      <w:start w:val="1"/>
    </w:lvl>
  </w:abstractNum>
  <w:abstractNum w:abstractNumId="17">
    <w:nsid w:val="436C6125"/>
    <w:multiLevelType w:val="hybridMultilevel"/>
    <w:lvl w:ilvl="0">
      <w:lvlJc w:val="left"/>
      <w:lvlText w:val="5"/>
      <w:numFmt w:val="bullet"/>
      <w:start w:val="1"/>
    </w:lvl>
  </w:abstractNum>
  <w:abstractNum w:abstractNumId="18">
    <w:nsid w:val="628C895D"/>
    <w:multiLevelType w:val="hybridMultilevel"/>
    <w:lvl w:ilvl="0">
      <w:lvlJc w:val="left"/>
      <w:lvlText w:val="8"/>
      <w:numFmt w:val="bullet"/>
      <w:start w:val="1"/>
    </w:lvl>
  </w:abstractNum>
  <w:abstractNum w:abstractNumId="19">
    <w:nsid w:val="333AB105"/>
    <w:multiLevelType w:val="hybridMultilevel"/>
    <w:lvl w:ilvl="0">
      <w:lvlJc w:val="left"/>
      <w:lvlText w:val="9"/>
      <w:numFmt w:val="bullet"/>
      <w:start w:val="1"/>
    </w:lvl>
  </w:abstractNum>
  <w:abstractNum w:abstractNumId="20">
    <w:nsid w:val="721DA317"/>
    <w:multiLevelType w:val="hybridMultilevel"/>
    <w:lvl w:ilvl="0">
      <w:lvlJc w:val="left"/>
      <w:lvlText w:val="%1"/>
      <w:numFmt w:val="decimal"/>
      <w:start w:val="10"/>
    </w:lvl>
  </w:abstractNum>
  <w:abstractNum w:abstractNumId="21">
    <w:nsid w:val="2443A858"/>
    <w:multiLevelType w:val="hybridMultilevel"/>
    <w:lvl w:ilvl="0">
      <w:lvlJc w:val="left"/>
      <w:lvlText w:val="(%1)"/>
      <w:numFmt w:val="lowerLetter"/>
      <w:start w:val="4"/>
    </w:lvl>
  </w:abstractNum>
  <w:abstractNum w:abstractNumId="22">
    <w:nsid w:val="2D1D5AE9"/>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2020-10-07T03:00:31Z</dcterms:created>
  <dcterms:modified xsi:type="dcterms:W3CDTF">2020-10-07T03:00:31Z</dcterms:modified>
</cp:coreProperties>
</file>