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April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5852160</wp:posOffset>
            </wp:positionH>
            <wp:positionV relativeFrom="page">
              <wp:posOffset>337820</wp:posOffset>
            </wp:positionV>
            <wp:extent cx="155194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01, 2009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Credicorp’s Board of Directors, in its session held on March 31, 2009, approved unanimously the establishment of a new program for long-term incentives to Senior Executives of all Credicorp´s subsidiaries for which those Executives selected will receive shares of Credicorp. This program will be instituted in all Credicorp’s subsidiaries. The Board also approved changes to some conditions of the previous program to keep both programs aligned.</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Finally, to reduce the volatility and improve the retention capacity of the Stock Appreciation Rights Program (the previous plan), the Board approved the exchange of rights conceded in 2007 and 2008 for a smaller number of rights of the new program with shorter term and lower price to exercise.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08,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tabs>
          <w:tab w:leader="none" w:pos="5880" w:val="left"/>
        </w:tabs>
        <w:rPr>
          <w:sz w:val="20"/>
          <w:szCs w:val="20"/>
          <w:color w:val="auto"/>
        </w:rPr>
      </w:pPr>
      <w:r>
        <w:rPr>
          <w:rFonts w:ascii="Arial" w:cs="Arial" w:eastAsia="Arial" w:hAnsi="Arial"/>
          <w:sz w:val="18"/>
          <w:szCs w:val="18"/>
          <w:color w:val="auto"/>
        </w:rPr>
        <w:t>By:</w:t>
        <w:tab/>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2019-12-10T13:17:34Z</dcterms:created>
  <dcterms:modified xsi:type="dcterms:W3CDTF">2019-12-10T13:17:34Z</dcterms:modified>
</cp:coreProperties>
</file>