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January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313690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January 13</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SMV Resolution for Material Events and Reserved Information and Other Communications N° 005-2014-SMV-01, Credicorp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complies by notifying you of the following Material Event.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Today, Credicorp Ltd. (Credicorp) has transferred over the Bolsa de Valores de Lima to its subsidiary, Grupo Crédito S.A. (GC), 97,971,179 shares owned by Credicorp Ltd. of Banco de Credito del Perú (BCP), which represent 1.39% of BCP’s share capital.</w:t>
      </w:r>
    </w:p>
    <w:p>
      <w:pPr>
        <w:spacing w:after="0" w:line="170"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 xml:space="preserve">This operation concludes the transfer of 635,971,179 shares of BCP, equivalent to 9.00% of BCP’s share capital, owned by Credicorp. The transaction was announced to the market through a </w:t>
      </w:r>
      <w:r>
        <w:rPr>
          <w:rFonts w:ascii="Arial" w:cs="Arial" w:eastAsia="Arial" w:hAnsi="Arial"/>
          <w:sz w:val="18"/>
          <w:szCs w:val="18"/>
          <w:i w:val="1"/>
          <w:iCs w:val="1"/>
          <w:color w:val="auto"/>
        </w:rPr>
        <w:t>Hecho de Importancia</w:t>
      </w:r>
      <w:r>
        <w:rPr>
          <w:rFonts w:ascii="Arial" w:cs="Arial" w:eastAsia="Arial" w:hAnsi="Arial"/>
          <w:sz w:val="18"/>
          <w:szCs w:val="18"/>
          <w:color w:val="auto"/>
        </w:rPr>
        <w:t xml:space="preserve"> (Material Event) on January 11</w:t>
      </w:r>
      <w:r>
        <w:rPr>
          <w:rFonts w:ascii="Arial" w:cs="Arial" w:eastAsia="Arial" w:hAnsi="Arial"/>
          <w:sz w:val="30"/>
          <w:szCs w:val="30"/>
          <w:color w:val="auto"/>
          <w:vertAlign w:val="superscript"/>
        </w:rPr>
        <w:t>th</w:t>
      </w:r>
      <w:r>
        <w:rPr>
          <w:rFonts w:ascii="Arial" w:cs="Arial" w:eastAsia="Arial" w:hAnsi="Arial"/>
          <w:sz w:val="18"/>
          <w:szCs w:val="18"/>
          <w:color w:val="auto"/>
        </w:rPr>
        <w:t>, 2017. The total amount paid for all the shares was S/3,505,916,484.50.</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informed previously, this transfer has been conducted within the framework of an internal reorganization within Credicorp, without causing any change in control of BCP because Credicorp, through its subsidiary GC, will continue to own 97.69% of the shares of BCP.</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Guillermo Morales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January 13</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Guillermo Morales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2019-12-06T02:42:19Z</dcterms:created>
  <dcterms:modified xsi:type="dcterms:W3CDTF">2019-12-06T02:42:19Z</dcterms:modified>
</cp:coreProperties>
</file>