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194310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March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206375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5" w:lineRule="exact"/>
        <w:rPr>
          <w:sz w:val="24"/>
          <w:szCs w:val="24"/>
          <w:color w:val="auto"/>
        </w:rPr>
      </w:pPr>
    </w:p>
    <w:p>
      <w:pPr>
        <w:jc w:val="center"/>
        <w:ind w:right="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593090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700" w:top="715" w:right="5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757555</wp:posOffset>
            </wp:positionV>
            <wp:extent cx="2032635"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3263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March 29, 2012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article 28 of the Capital Markets Law approved by Law N° 093-2002-EF and CONASEV Resolution for Material Events and Reserved Information and Other Communications number 107-2002-EF/94.10, as modified by CONASEV Resolution number 009-2003-EF/94.10, Credicorp Ltd. complies with notifying you of the following Material Event: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Grupo Crédito Inversiones S.A., a company of Grupo Crédito, a subsidiary of Credicorp, announced today that has acquired a 30% stake in The FoodLinks, a Chilean company owned by the Holding Invertec.</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FoodLinks is a company that facilitates traditional and non-traditional Chilean exporters of food to develop successful and sustainable businesses in China. The company has based its business model on the identification, design and definition of products with value propositions that serve Chinese market’s needs. The FoodLinks, in association with Grupo Crédito, aims to replicate its business model in Perú focused on promoting food exports of medium and small Peruvian producers to China and building long-term business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-10160</wp:posOffset>
            </wp:positionV>
            <wp:extent cx="8470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470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March 30, 2012</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Mario Ferrari</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780"/>
      </w:cols>
      <w:pgMar w:left="240" w:top="117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2019-12-09T11:57:29Z</dcterms:created>
  <dcterms:modified xsi:type="dcterms:W3CDTF">2019-12-09T11:57:29Z</dcterms:modified>
</cp:coreProperties>
</file>