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210820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December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CREDICORP LTD.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-262890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660" w:top="463" w:right="61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6117590</wp:posOffset>
            </wp:positionH>
            <wp:positionV relativeFrom="page">
              <wp:posOffset>243205</wp:posOffset>
            </wp:positionV>
            <wp:extent cx="1286510" cy="37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37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December 21, 2009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COMISIÓN NACIONAL SUPERVISORA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 EMPRESAS Y VALORES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Sirs,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LTD., in accordance with CONASEV Resolution 107-2002-EF/94.10 for Material Events and Reserved Information and Other Communications, complies with notifying you of the following Material Event: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December 15 and 17, 2009 Credicorp acquired through the Lima Stock Exchange 31’563,066 common stocks of Alicorp S.A.A. (3.73% of total shares) and 9’788,476 investment stocks of Intradevco Industrial S.A. (25.22% of total investment shares). The shares were transferred from Grupo Crédito S.A. and from Banco de Crédito del Perú, respectively to Credicorp. This operation represented a re-distribution between companies of the same economic group without altering the control group. The details of Credicorp’s direct and indirect holding in the companies are provided in the enclosed chart.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transaction was made using own funds and financing obtained by Credicorp from third parties.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1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ALICORP S.A.A. (ALICORC1)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Before December 15, 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From December 15, 2009 onwards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Pacífico Peruano Suiza</w:t>
            </w:r>
          </w:p>
        </w:tc>
        <w:tc>
          <w:tcPr>
            <w:tcW w:w="2180" w:type="dxa"/>
            <w:vAlign w:val="bottom"/>
          </w:tcPr>
          <w:p>
            <w:pPr>
              <w:ind w:left="9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# Shares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9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# Shares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2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3,220,000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0.38%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3,220,000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0.38%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Pacifico Vida</w:t>
            </w:r>
          </w:p>
        </w:tc>
        <w:tc>
          <w:tcPr>
            <w:tcW w:w="218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710,461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0.08%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710,461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0.08%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Grupo Crédito S.A.</w:t>
            </w:r>
          </w:p>
        </w:tc>
        <w:tc>
          <w:tcPr>
            <w:tcW w:w="218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31,563,066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3.73%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0.00%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Atlantic Security Bank</w:t>
            </w:r>
          </w:p>
        </w:tc>
        <w:tc>
          <w:tcPr>
            <w:tcW w:w="218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36,949,507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4.36%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36,949,507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4.36%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Credicorp Ltd</w:t>
            </w:r>
          </w:p>
        </w:tc>
        <w:tc>
          <w:tcPr>
            <w:tcW w:w="218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0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0.00%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31,563,066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3.73%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Total</w:t>
            </w:r>
          </w:p>
        </w:tc>
        <w:tc>
          <w:tcPr>
            <w:tcW w:w="2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72,443,034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8.55%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72,443,034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8.55%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Intradevco Industrial S.A. (INTINDI1)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Before December 17, 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From December 17, 2009 onwards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2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Banco de Crédito del Perú</w:t>
            </w:r>
          </w:p>
        </w:tc>
        <w:tc>
          <w:tcPr>
            <w:tcW w:w="2180" w:type="dxa"/>
            <w:vAlign w:val="bottom"/>
          </w:tcPr>
          <w:p>
            <w:pPr>
              <w:ind w:left="8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# Shares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# Shares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14,385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0.04%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0.00%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Grupo Crédito S.A.</w:t>
            </w:r>
          </w:p>
        </w:tc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9,774,091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25.18%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0.00%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312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Credicorp Ltd</w:t>
            </w:r>
          </w:p>
        </w:tc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0.00%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9,788,476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25.22%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Total</w:t>
            </w:r>
          </w:p>
        </w:tc>
        <w:tc>
          <w:tcPr>
            <w:tcW w:w="2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9,788,476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25.22%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9,788,476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25.22%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Giuliana Cuzquen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21, 2009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14605</wp:posOffset>
            </wp:positionV>
            <wp:extent cx="35077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226695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60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2019-12-10T14:02:14Z</dcterms:created>
  <dcterms:modified xsi:type="dcterms:W3CDTF">2019-12-10T14:02:14Z</dcterms:modified>
</cp:coreProperties>
</file>