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olor w:val="000000"/>
        </w:rPr>
      </w:pPr>
      <w:bookmarkStart w:id="0" w:name="ef20072558_6k.htm"/>
      <w:bookmarkStart w:id="1" w:name="ksef20072558_6k"/>
      <w:bookmarkEnd w:id="0"/>
      <w:bookmarkEnd w:id="1"/>
      <w:r>
        <w:rPr>
          <w:color w:val="000000"/>
        </w:rPr>
        <w:drawing>
          <wp:inline distT="0" distB="0" distL="0" distR="0">
            <wp:extent cx="25717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485775"/>
                    </a:xfrm>
                    <a:prstGeom prst="rect">
                      <a:avLst/>
                    </a:prstGeom>
                  </pic:spPr>
                </pic:pic>
              </a:graphicData>
            </a:graphic>
          </wp:inline>
        </w:drawing>
      </w:r>
    </w:p>
    <w:p>
      <w:pPr>
        <w:pStyle w:val="HorizontalLine"/>
        <w:bidi w:val="0"/>
        <w:jc w:val="center"/>
        <w:rPr/>
      </w:pPr>
      <w:r>
        <w:rPr/>
      </w:r>
    </w:p>
    <w:p>
      <w:pPr>
        <w:pStyle w:val="TextBody"/>
        <w:bidi w:val="0"/>
        <w:spacing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Report of Foreign Private Issuer</w:t>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Pursuant to Rule 13a-16 or 15d-16 under the</w:t>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Securities Exchange Act of 1934</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For the month of May 2026</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Commission File Number: 001-14014</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serif" w:hAnsi="Times New Roman;serif"/>
          <w:b/>
          <w:color w:val="000000"/>
          <w:sz w:val="48"/>
        </w:rPr>
      </w:pPr>
      <w:r>
        <w:rPr>
          <w:rFonts w:ascii="Times New Roman;serif" w:hAnsi="Times New Roman;serif"/>
          <w:b/>
          <w:color w:val="000000"/>
          <w:sz w:val="48"/>
        </w:rPr>
        <w:t>CREDICORP LTD.</w:t>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(Translation of registrant’s name into English)</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Of our subsidiary</w:t>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Banco de Credito del Peru:</w:t>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Calle Centenario 156</w:t>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La Molina 15026</w:t>
      </w:r>
    </w:p>
    <w:p>
      <w:pPr>
        <w:pStyle w:val="TextBody"/>
        <w:bidi w:val="0"/>
        <w:spacing w:before="0" w:after="0"/>
        <w:jc w:val="center"/>
        <w:rPr>
          <w:rFonts w:ascii="Times New Roman;serif" w:hAnsi="Times New Roman;serif"/>
          <w:color w:val="000000"/>
          <w:sz w:val="20"/>
        </w:rPr>
      </w:pPr>
      <w:r>
        <w:rPr>
          <w:rFonts w:ascii="Times New Roman;serif" w:hAnsi="Times New Roman;serif"/>
          <w:b/>
          <w:color w:val="000000"/>
          <w:sz w:val="20"/>
        </w:rPr>
        <w:t xml:space="preserve">Lima, Peru </w:t>
      </w:r>
      <w:r>
        <w:rPr>
          <w:rFonts w:ascii="Times New Roman;serif" w:hAnsi="Times New Roman;serif"/>
          <w:color w:val="000000"/>
          <w:sz w:val="20"/>
        </w:rPr>
        <w:t>(Address of principal executive office)</w:t>
      </w:r>
    </w:p>
    <w:p>
      <w:pPr>
        <w:pStyle w:val="TextBody"/>
        <w:bidi w:val="0"/>
        <w:spacing w:before="0" w:after="0"/>
        <w:jc w:val="left"/>
        <w:rPr/>
      </w:pPr>
      <w:r>
        <w:rPr/>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Indicate by check mark whether the registrant files or will file annual reports under cover of Form 20-F or Form 40-F.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Form 20-F ☒   Form 40-F☐</w:t>
      </w:r>
    </w:p>
    <w:p>
      <w:pPr>
        <w:pStyle w:val="TextBody"/>
        <w:bidi w:val="0"/>
        <w:spacing w:before="0" w:after="0"/>
        <w:jc w:val="left"/>
        <w:rPr>
          <w:color w:val="000000"/>
        </w:rPr>
      </w:pPr>
      <w:r>
        <w:rPr>
          <w:color w:val="000000"/>
        </w:rPr>
        <w:t xml:space="preserve">  </w:t>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257175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0" cy="4857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May 5,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a follow</w:t>
        <w:noBreakHyphen/>
        <w:t>up to the information disclosed in the Form 6-K furnished to the SEC on December 29, 2025, Credicorp Ltd. (‘Credicorp’) hereby notifies you, as a Material Event, that on May 5, 2026, the Peruvian Superintendence of Banking, Insurance and Private Pension Fund Administrators (SBS) notified our subsidiary Banco de Crédito del Perú (BCP) of the granting of authorization for the acquisition of 100% of the shares of Helm Bank USA (“Helm Bank”), through two subsidiaries—Orange Perú Holding S.A. and Orange Financial Holding Inc.—which will be incorporated for the sole purpose of implementing the acquisition and holding such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completion of the transaction is subject to obtaining the required regulatory approvals in the United States from the Florida Office of Financial Regulation (OFR) and the Federal Reserve System (FED), as well as the fulfillment of other customary closing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both"/>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257175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71750" cy="485775"/>
                    </a:xfrm>
                    <a:prstGeom prst="rect">
                      <a:avLst/>
                    </a:prstGeom>
                  </pic:spPr>
                </pic:pic>
              </a:graphicData>
            </a:graphic>
          </wp:inline>
        </w:drawing>
      </w:r>
      <w:r>
        <w:rPr>
          <w:color w:val="000000"/>
        </w:rPr>
        <w:t xml:space="preserve"> </w:t>
      </w:r>
    </w:p>
    <w:p>
      <w:pPr>
        <w:pStyle w:val="HorizontalLine"/>
        <w:pBdr>
          <w:bottom w:val="single" w:sz="12" w:space="0" w:color="808080"/>
        </w:pBdr>
        <w:bidi w:val="0"/>
        <w:jc w:val="left"/>
        <w:rPr/>
      </w:pPr>
      <w:r>
        <w:rPr/>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color w:val="000000"/>
        </w:rPr>
      </w:pPr>
      <w:r>
        <w:rPr>
          <w:color w:val="000000"/>
        </w:rPr>
        <w:t> </w:t>
      </w:r>
    </w:p>
    <w:p>
      <w:pPr>
        <w:pStyle w:val="TextBody"/>
        <w:bidi w:val="0"/>
        <w:spacing w:before="0" w:after="0"/>
        <w:ind w:left="0" w:right="0" w:firstLine="594"/>
        <w:jc w:val="left"/>
        <w:rPr>
          <w:rFonts w:ascii="Times New Roman;serif" w:hAnsi="Times New Roman;serif"/>
          <w:color w:val="000000"/>
          <w:sz w:val="20"/>
        </w:rPr>
      </w:pPr>
      <w:r>
        <w:rPr>
          <w:rFonts w:ascii="Times New Roman;serif" w:hAnsi="Times New Roman;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olor w:val="000000"/>
        </w:rPr>
      </w:pPr>
      <w:r>
        <w:rPr>
          <w:color w:val="000000"/>
        </w:rPr>
        <w:t> </w:t>
      </w:r>
    </w:p>
    <w:p>
      <w:pPr>
        <w:pStyle w:val="TextBody"/>
        <w:bidi w:val="0"/>
        <w:spacing w:before="0" w:after="0"/>
        <w:ind w:left="0" w:right="0" w:firstLine="594"/>
        <w:jc w:val="left"/>
        <w:rPr>
          <w:rFonts w:ascii="Times New Roman;serif" w:hAnsi="Times New Roman;serif"/>
          <w:color w:val="000000"/>
          <w:sz w:val="20"/>
        </w:rPr>
      </w:pPr>
      <w:r>
        <w:rPr>
          <w:rFonts w:ascii="Times New Roman;serif" w:hAnsi="Times New Roman;serif"/>
          <w:color w:val="000000"/>
          <w:sz w:val="20"/>
        </w:rPr>
        <w:t>Date: May 5,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 w:name="zbdf724938565481e9fe0e966aba1f1e9"/>
      <w:bookmarkStart w:id="3" w:name="zbdf724938565481e9fe0e966aba1f1e9"/>
      <w:bookmarkEnd w:id="3"/>
    </w:p>
    <w:tbl>
      <w:tblPr>
        <w:tblW w:w="2830" w:type="dxa"/>
        <w:jc w:val="left"/>
        <w:tblInd w:w="0" w:type="dxa"/>
        <w:tblLayout w:type="fixed"/>
        <w:tblCellMar>
          <w:top w:w="0" w:type="dxa"/>
          <w:left w:w="0" w:type="dxa"/>
          <w:bottom w:w="0" w:type="dxa"/>
          <w:right w:w="0" w:type="dxa"/>
        </w:tblCellMar>
      </w:tblPr>
      <w:tblGrid>
        <w:gridCol w:w="75"/>
        <w:gridCol w:w="410"/>
        <w:gridCol w:w="2270"/>
        <w:gridCol w:w="75"/>
      </w:tblGrid>
      <w:tr>
        <w:trPr/>
        <w:tc>
          <w:tcPr>
            <w:tcW w:w="75" w:type="dxa"/>
            <w:tcBorders/>
            <w:vAlign w:val="center"/>
          </w:tcPr>
          <w:p>
            <w:pPr>
              <w:pStyle w:val="TableContents"/>
              <w:bidi w:val="0"/>
              <w:spacing w:before="0" w:after="0"/>
              <w:jc w:val="left"/>
              <w:rPr>
                <w:color w:val="000000"/>
              </w:rPr>
            </w:pPr>
            <w:r>
              <w:rPr>
                <w:color w:val="000000"/>
              </w:rPr>
              <w:t> </w:t>
            </w:r>
          </w:p>
        </w:tc>
        <w:tc>
          <w:tcPr>
            <w:tcW w:w="2680" w:type="dxa"/>
            <w:gridSpan w:val="2"/>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CREDICORP LTD.</w:t>
            </w:r>
          </w:p>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(Registrant)</w:t>
            </w:r>
          </w:p>
        </w:tc>
        <w:tc>
          <w:tcPr>
            <w:tcW w:w="75" w:type="dxa"/>
            <w:tcBorders/>
            <w:vAlign w:val="center"/>
          </w:tcPr>
          <w:p>
            <w:pPr>
              <w:pStyle w:val="TableContents"/>
              <w:bidi w:val="0"/>
              <w:spacing w:before="0" w:after="0"/>
              <w:jc w:val="left"/>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410"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color w:val="000000"/>
              </w:rPr>
            </w:pPr>
            <w:r>
              <w:rPr>
                <w:color w:val="000000"/>
              </w:rPr>
              <w:t> </w:t>
            </w:r>
          </w:p>
        </w:tc>
        <w:tc>
          <w:tcPr>
            <w:tcW w:w="75" w:type="dxa"/>
            <w:tcBorders/>
            <w:vAlign w:val="center"/>
          </w:tcPr>
          <w:p>
            <w:pPr>
              <w:pStyle w:val="TableContents"/>
              <w:bidi w:val="0"/>
              <w:spacing w:before="0" w:after="0"/>
              <w:jc w:val="left"/>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410"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 xml:space="preserve">By:  </w:t>
            </w:r>
          </w:p>
        </w:tc>
        <w:tc>
          <w:tcPr>
            <w:tcW w:w="2270" w:type="dxa"/>
            <w:tcBorders>
              <w:bottom w:val="single" w:sz="12" w:space="0" w:color="000000"/>
            </w:tcBorders>
            <w:tcMar>
              <w:bottom w:w="28" w:type="dxa"/>
            </w:tcM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/s/ Guillermo Morales</w:t>
            </w:r>
          </w:p>
        </w:tc>
        <w:tc>
          <w:tcPr>
            <w:tcW w:w="75" w:type="dxa"/>
            <w:tcBorders/>
            <w:vAlign w:val="center"/>
          </w:tcPr>
          <w:p>
            <w:pPr>
              <w:pStyle w:val="TableContents"/>
              <w:bidi w:val="0"/>
              <w:spacing w:before="0" w:after="0"/>
              <w:jc w:val="left"/>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410"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serif" w:hAnsi="Times New Roman;serif"/>
                <w:b/>
                <w:color w:val="000000"/>
                <w:sz w:val="20"/>
              </w:rPr>
            </w:pPr>
            <w:r>
              <w:rPr>
                <w:rFonts w:ascii="Times New Roman;serif" w:hAnsi="Times New Roman;serif"/>
                <w:b/>
                <w:color w:val="000000"/>
                <w:sz w:val="20"/>
              </w:rPr>
              <w:t>Guillermo Morales</w:t>
            </w:r>
          </w:p>
        </w:tc>
        <w:tc>
          <w:tcPr>
            <w:tcW w:w="75" w:type="dxa"/>
            <w:tcBorders/>
            <w:vAlign w:val="center"/>
          </w:tcPr>
          <w:p>
            <w:pPr>
              <w:pStyle w:val="TableContents"/>
              <w:bidi w:val="0"/>
              <w:spacing w:before="0" w:after="0"/>
              <w:jc w:val="left"/>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410"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serif" w:hAnsi="Times New Roman;serif"/>
                <w:b/>
                <w:color w:val="000000"/>
                <w:sz w:val="20"/>
              </w:rPr>
            </w:pPr>
            <w:r>
              <w:rPr>
                <w:rFonts w:ascii="Times New Roman;serif" w:hAnsi="Times New Roman;serif"/>
                <w:b/>
                <w:color w:val="000000"/>
                <w:sz w:val="20"/>
              </w:rPr>
              <w:t>Authorized Representative</w:t>
            </w:r>
          </w:p>
        </w:tc>
        <w:tc>
          <w:tcPr>
            <w:tcW w:w="75" w:type="dxa"/>
            <w:tcBorders/>
            <w:vAlign w:val="center"/>
          </w:tcPr>
          <w:p>
            <w:pPr>
              <w:pStyle w:val="TableContents"/>
              <w:bidi w:val="0"/>
              <w:spacing w:before="0" w:after="0"/>
              <w:jc w:val="left"/>
              <w:rPr>
                <w:color w:val="000000"/>
              </w:rPr>
            </w:pPr>
            <w:r>
              <w:rPr>
                <w:color w:val="000000"/>
              </w:rPr>
              <w:t> </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363</Words>
  <Characters>1951</Characters>
  <CharactersWithSpaces>2307</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