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February,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Jose N.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Banco de Credito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(511) 313-2123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jhung@bcp.com.pe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Web site: http://www.credicorpnet.com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Alfredo Montero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Banco de Credito, Miami Agency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(305) 448-0971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(305) 448-0981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amontero@bcpmiami.com</w:t>
      </w:r>
    </w:p>
    <w:p>
      <w:pPr>
        <w:spacing w:after="0" w:line="200" w:lineRule="exact"/>
        <w:rPr>
          <w:sz w:val="20"/>
          <w:szCs w:val="20"/>
          <w:color w:val="auto"/>
        </w:rPr>
      </w:pPr>
    </w:p>
    <w:p>
      <w:pPr>
        <w:sectPr>
          <w:pgSz w:w="11900" w:h="16838" w:orient="portrait"/>
          <w:cols w:equalWidth="0" w:num="2">
            <w:col w:w="7280" w:space="720"/>
            <w:col w:w="3420"/>
          </w:cols>
          <w:pgMar w:left="240" w:top="347" w:right="239" w:bottom="0" w:gutter="0" w:footer="0" w:header="0"/>
        </w:sectPr>
      </w:pPr>
    </w:p>
    <w:p>
      <w:pPr>
        <w:spacing w:after="0" w:line="4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CREDICORP LTD. ANNOUNCES FINANCIAL RESULTS</w:t>
      </w:r>
    </w:p>
    <w:p>
      <w:pPr>
        <w:spacing w:after="0" w:line="38"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FOR THE QUARTER ENDED DECEMBER 31, 2003</w:t>
      </w:r>
    </w:p>
    <w:p>
      <w:pPr>
        <w:sectPr>
          <w:pgSz w:w="11900" w:h="16838" w:orient="portrait"/>
          <w:cols w:equalWidth="0" w:num="1">
            <w:col w:w="11420"/>
          </w:cols>
          <w:pgMar w:left="240" w:top="347" w:right="239" w:bottom="0" w:gutter="0" w:footer="0" w:header="0"/>
          <w:type w:val="continuous"/>
        </w:sectPr>
      </w:pP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(Lima, Peru, February 5, 2004) - Credicorp Ltd. (“Credicorp”) (NYSE:BAP; LSE:BAPC1) today announced its financial results for the quarter ended December 31, 2003.</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reported a consolidated net income of US$80.6 million for the year ended December 31, 2003, 90.2% above net income of US$42.4 million in 2002, resulting in US$1.01 and US$0.53 per share, respectively. Total year 2003 results improve with respect to the preceding year mainly due to: higher non-financial revenue; increased net interest income; and, lower loan loss provisions. Increases in income could offset expense growth, which include costs due to the merger of Banco Santander Central Hispano-Peru (“BSCH-Peru”) and of Solución Financiera de Crédito. In this later case, the merger process will continue into the first quarter of 2004.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 the fourth quarter of 2003 was US$23.8 million, compared to US$13.5 million in the last quarter of 2002, or US$0.30 and US$0.17 per share, respectively. Fourth quarter results improve with respect to the same period of 2002, mainly due to lower loan loss provisions and higher net interest income, which offset increased income taxes.</w:t>
      </w:r>
    </w:p>
    <w:p>
      <w:pPr>
        <w:spacing w:after="0" w:line="19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 CREDICORP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2900" w:type="dxa"/>
            <w:vAlign w:val="bottom"/>
            <w:gridSpan w:val="5"/>
          </w:tcPr>
          <w:p>
            <w:pPr>
              <w:ind w:left="1300"/>
              <w:spacing w:after="0"/>
              <w:rPr>
                <w:sz w:val="20"/>
                <w:szCs w:val="20"/>
                <w:color w:val="auto"/>
              </w:rPr>
            </w:pPr>
            <w:r>
              <w:rPr>
                <w:rFonts w:ascii="Arial" w:cs="Arial" w:eastAsia="Arial" w:hAnsi="Arial"/>
                <w:sz w:val="18"/>
                <w:szCs w:val="18"/>
                <w:color w:val="auto"/>
                <w:w w:val="95"/>
              </w:rPr>
              <w:t>Three months ended</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3"/>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64"/>
        </w:trPr>
        <w:tc>
          <w:tcPr>
            <w:tcW w:w="458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31.12.02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31.12.03</w:t>
            </w:r>
          </w:p>
        </w:tc>
      </w:tr>
      <w:tr>
        <w:trPr>
          <w:trHeight w:val="164"/>
        </w:trPr>
        <w:tc>
          <w:tcPr>
            <w:tcW w:w="458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0"/>
                <w:szCs w:val="20"/>
                <w:color w:val="auto"/>
              </w:rPr>
            </w:pPr>
            <w:r>
              <w:rPr>
                <w:rFonts w:ascii="Arial" w:cs="Arial" w:eastAsia="Arial" w:hAnsi="Arial"/>
                <w:sz w:val="18"/>
                <w:szCs w:val="18"/>
                <w:color w:val="auto"/>
              </w:rPr>
              <w:t>Net interest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87.8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335.3</w:t>
            </w:r>
          </w:p>
        </w:tc>
        <w:tc>
          <w:tcPr>
            <w:tcW w:w="1320" w:type="dxa"/>
            <w:vAlign w:val="bottom"/>
          </w:tcPr>
          <w:p>
            <w:pPr>
              <w:jc w:val="right"/>
              <w:spacing w:after="0"/>
              <w:rPr>
                <w:sz w:val="20"/>
                <w:szCs w:val="20"/>
                <w:color w:val="auto"/>
              </w:rPr>
            </w:pPr>
            <w:r>
              <w:rPr>
                <w:rFonts w:ascii="Arial" w:cs="Arial" w:eastAsia="Arial" w:hAnsi="Arial"/>
                <w:sz w:val="18"/>
                <w:szCs w:val="18"/>
                <w:color w:val="auto"/>
              </w:rPr>
              <w:t>358.9</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320" w:type="dxa"/>
            <w:vAlign w:val="bottom"/>
          </w:tcPr>
          <w:p>
            <w:pPr>
              <w:jc w:val="right"/>
              <w:spacing w:after="0"/>
              <w:rPr>
                <w:sz w:val="20"/>
                <w:szCs w:val="20"/>
                <w:color w:val="auto"/>
              </w:rPr>
            </w:pPr>
            <w:r>
              <w:rPr>
                <w:rFonts w:ascii="Arial" w:cs="Arial" w:eastAsia="Arial" w:hAnsi="Arial"/>
                <w:sz w:val="18"/>
                <w:szCs w:val="18"/>
                <w:color w:val="auto"/>
              </w:rPr>
              <w:t>23.7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111.6</w:t>
            </w:r>
          </w:p>
        </w:tc>
        <w:tc>
          <w:tcPr>
            <w:tcW w:w="13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Other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99.5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374.8</w:t>
            </w:r>
          </w:p>
        </w:tc>
        <w:tc>
          <w:tcPr>
            <w:tcW w:w="132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132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Other expenses</w:t>
            </w:r>
          </w:p>
        </w:tc>
        <w:tc>
          <w:tcPr>
            <w:tcW w:w="1320" w:type="dxa"/>
            <w:vAlign w:val="bottom"/>
          </w:tcPr>
          <w:p>
            <w:pPr>
              <w:jc w:val="right"/>
              <w:spacing w:after="0"/>
              <w:rPr>
                <w:sz w:val="20"/>
                <w:szCs w:val="20"/>
                <w:color w:val="auto"/>
              </w:rPr>
            </w:pPr>
            <w:r>
              <w:rPr>
                <w:rFonts w:ascii="Arial" w:cs="Arial" w:eastAsia="Arial" w:hAnsi="Arial"/>
                <w:sz w:val="18"/>
                <w:szCs w:val="18"/>
                <w:color w:val="auto"/>
              </w:rPr>
              <w:t>115.2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113.9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411.1</w:t>
            </w:r>
          </w:p>
        </w:tc>
        <w:tc>
          <w:tcPr>
            <w:tcW w:w="132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Merger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Translation result</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Income before income tax and minority interest</w:t>
            </w: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13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Income Tax</w:t>
            </w: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13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13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Net Income per share (1)</w:t>
            </w:r>
          </w:p>
        </w:tc>
        <w:tc>
          <w:tcPr>
            <w:tcW w:w="1320" w:type="dxa"/>
            <w:vAlign w:val="bottom"/>
          </w:tcPr>
          <w:p>
            <w:pPr>
              <w:jc w:val="right"/>
              <w:spacing w:after="0"/>
              <w:rPr>
                <w:sz w:val="20"/>
                <w:szCs w:val="20"/>
                <w:color w:val="auto"/>
              </w:rPr>
            </w:pPr>
            <w:r>
              <w:rPr>
                <w:rFonts w:ascii="Arial" w:cs="Arial" w:eastAsia="Arial" w:hAnsi="Arial"/>
                <w:sz w:val="18"/>
                <w:szCs w:val="18"/>
                <w:color w:val="auto"/>
              </w:rPr>
              <w:t>0.17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-2515235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-2515235</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-2154555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-2154555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-2154555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-2154555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-2154555</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ind w:right="20" w:firstLine="8"/>
        <w:spacing w:after="0" w:line="268" w:lineRule="auto"/>
        <w:tabs>
          <w:tab w:leader="none" w:pos="267"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79.8 million net outstanding shares in all periods. The total number of shares is 94.4 million, however, as 14.6 million are held by affiliates as treasury shares, the net consolidated outstanding shares are 79.8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221615</wp:posOffset>
            </wp:positionV>
            <wp:extent cx="722503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(US$Mn)</w:t>
            </w:r>
          </w:p>
        </w:tc>
        <w:tc>
          <w:tcPr>
            <w:tcW w:w="2720" w:type="dxa"/>
            <w:vAlign w:val="bottom"/>
          </w:tcPr>
          <w:p>
            <w:pPr>
              <w:jc w:val="right"/>
              <w:ind w:right="652"/>
              <w:spacing w:after="0"/>
              <w:rPr>
                <w:sz w:val="20"/>
                <w:szCs w:val="20"/>
                <w:color w:val="auto"/>
              </w:rPr>
            </w:pPr>
            <w:r>
              <w:rPr>
                <w:rFonts w:ascii="Arial" w:cs="Arial" w:eastAsia="Arial" w:hAnsi="Arial"/>
                <w:sz w:val="18"/>
                <w:szCs w:val="18"/>
                <w:color w:val="auto"/>
              </w:rPr>
              <w:t>4Q02</w:t>
            </w:r>
          </w:p>
        </w:tc>
        <w:tc>
          <w:tcPr>
            <w:tcW w:w="1360" w:type="dxa"/>
            <w:vAlign w:val="bottom"/>
          </w:tcPr>
          <w:p>
            <w:pPr>
              <w:jc w:val="right"/>
              <w:ind w:right="632"/>
              <w:spacing w:after="0"/>
              <w:rPr>
                <w:sz w:val="20"/>
                <w:szCs w:val="20"/>
                <w:color w:val="auto"/>
              </w:rPr>
            </w:pPr>
            <w:r>
              <w:rPr>
                <w:rFonts w:ascii="Arial" w:cs="Arial" w:eastAsia="Arial" w:hAnsi="Arial"/>
                <w:sz w:val="18"/>
                <w:szCs w:val="18"/>
                <w:color w:val="auto"/>
              </w:rPr>
              <w:t>3Q03</w:t>
            </w: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4Q03</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12m02</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12m03</w:t>
            </w:r>
          </w:p>
        </w:tc>
      </w:tr>
      <w:tr>
        <w:trPr>
          <w:trHeight w:val="164"/>
        </w:trPr>
        <w:tc>
          <w:tcPr>
            <w:tcW w:w="3420" w:type="dxa"/>
            <w:vAlign w:val="bottom"/>
            <w:tcBorders>
              <w:bottom w:val="single" w:sz="8" w:color="9A9A9A"/>
            </w:tcBorders>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r>
      <w:tr>
        <w:trPr>
          <w:trHeight w:val="370"/>
        </w:trPr>
        <w:tc>
          <w:tcPr>
            <w:tcW w:w="3420" w:type="dxa"/>
            <w:vAlign w:val="bottom"/>
          </w:tcPr>
          <w:p>
            <w:pPr>
              <w:spacing w:after="0"/>
              <w:rPr>
                <w:sz w:val="20"/>
                <w:szCs w:val="20"/>
                <w:color w:val="auto"/>
              </w:rPr>
            </w:pPr>
            <w:r>
              <w:rPr>
                <w:rFonts w:ascii="Arial" w:cs="Arial" w:eastAsia="Arial" w:hAnsi="Arial"/>
                <w:sz w:val="18"/>
                <w:szCs w:val="18"/>
                <w:color w:val="auto"/>
              </w:rPr>
              <w:t>Banco de Credito BCP(1)</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US$22.5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US$28.7</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US$27.4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US$59.8</w:t>
            </w:r>
          </w:p>
        </w:tc>
        <w:tc>
          <w:tcPr>
            <w:tcW w:w="1140" w:type="dxa"/>
            <w:vAlign w:val="bottom"/>
          </w:tcPr>
          <w:p>
            <w:pPr>
              <w:jc w:val="right"/>
              <w:spacing w:after="0"/>
              <w:rPr>
                <w:sz w:val="20"/>
                <w:szCs w:val="20"/>
                <w:color w:val="auto"/>
              </w:rPr>
            </w:pPr>
            <w:r>
              <w:rPr>
                <w:rFonts w:ascii="Arial" w:cs="Arial" w:eastAsia="Arial" w:hAnsi="Arial"/>
                <w:sz w:val="18"/>
                <w:szCs w:val="18"/>
                <w:color w:val="auto"/>
              </w:rPr>
              <w:t>US$91.3</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Atlantic</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PPS</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Banco Tequendama</w:t>
            </w:r>
          </w:p>
        </w:tc>
        <w:tc>
          <w:tcPr>
            <w:tcW w:w="272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Credicorp and others(2)</w:t>
            </w:r>
          </w:p>
        </w:tc>
        <w:tc>
          <w:tcPr>
            <w:tcW w:w="2720" w:type="dxa"/>
            <w:vAlign w:val="bottom"/>
          </w:tcPr>
          <w:p>
            <w:pPr>
              <w:jc w:val="right"/>
              <w:ind w:right="192"/>
              <w:spacing w:after="0"/>
              <w:rPr>
                <w:sz w:val="20"/>
                <w:szCs w:val="20"/>
                <w:color w:val="auto"/>
              </w:rPr>
            </w:pPr>
            <w:r>
              <w:rPr>
                <w:rFonts w:ascii="Arial" w:cs="Arial" w:eastAsia="Arial" w:hAnsi="Arial"/>
                <w:sz w:val="18"/>
                <w:szCs w:val="18"/>
                <w:color w:val="auto"/>
              </w:rPr>
              <w:t>-9.0</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-21.6</w:t>
            </w: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US$13.5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US$26.0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US$23.8</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US$42.4</w:t>
            </w:r>
          </w:p>
        </w:tc>
        <w:tc>
          <w:tcPr>
            <w:tcW w:w="1140" w:type="dxa"/>
            <w:vAlign w:val="bottom"/>
          </w:tcPr>
          <w:p>
            <w:pPr>
              <w:jc w:val="right"/>
              <w:spacing w:after="0"/>
              <w:rPr>
                <w:sz w:val="20"/>
                <w:szCs w:val="20"/>
                <w:color w:val="auto"/>
              </w:rPr>
            </w:pPr>
            <w:r>
              <w:rPr>
                <w:rFonts w:ascii="Arial" w:cs="Arial" w:eastAsia="Arial" w:hAnsi="Arial"/>
                <w:sz w:val="18"/>
                <w:szCs w:val="18"/>
                <w:color w:val="auto"/>
              </w:rPr>
              <w:t>US$80.6</w:t>
            </w:r>
          </w:p>
        </w:tc>
      </w:tr>
      <w:tr>
        <w:trPr>
          <w:trHeight w:val="164"/>
        </w:trPr>
        <w:tc>
          <w:tcPr>
            <w:tcW w:w="3420" w:type="dxa"/>
            <w:vAlign w:val="bottom"/>
            <w:tcBorders>
              <w:bottom w:val="single" w:sz="8" w:color="9A9A9A"/>
            </w:tcBorders>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-1401445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type w:val="continuous"/>
        </w:sectPr>
      </w:pPr>
    </w:p>
    <w:bookmarkStart w:id="2" w:name="page3"/>
    <w:bookmarkEnd w:id="2"/>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quarter of 2003, the Credicorp and others concept contributed a loss of US$3.6 million, which includes a US$0.3 million provision for substandard loans transferred from Banco Tequendama and a US$2.1 million charge for investments and contingencies reserves. Total year 2003 negative contribution of US$21.9 million is mainly due to US$5.6 million of provisions for loans transferred from Banco Tequendama and US$8.7 million of investments and contingencies reserves. In the last quarter of 2002, a US$9.0 million loss was contributed, resulting from US$2.7 million of provisions for Banco Tequendama’s loans and a US$3.0 million provision for investments. Total 2002 loss contribution of US$21.6 million included US$12.8 million in losses assumed in favor of Banco Tequendama and the US$3.0 million provision for investments.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present quarter, Banco de Crédito BCP contributed US$27.4 million to Credicorp’s net income, above its results according to Peruvian accounting principles reported in Section II, which amounted to US$25.3 million, with the difference mainly due to lower translation losses registered by Credicorp. Credicorp’s Dollar-based accounting showed a US$0.7 million translation loss in this quarter, lower than a US$5.9 million loss in BCP’s records, which takes into account inflation adjustment losses and losses on foreign currency positions caused by the Nuevo Sol appreciation against the Dollar. Additionally, Credicorp considers minority interest eliminations (US$1.1 million) and deferred taxes and expenses (US$1.5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contribution of Atlantic Security Holding Corporation of US$3.1 million in the current quarter is similar to net income shown in its books (see Section III), but full year 2003 net income contribution, of US$7.8 million, is lower than the US$10.9 million profit in its books due to the elimination for consolidation purposes of US$3.1 million of dividends received from Credicorp and registered as income in March of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fourth quarter 2003, Credicorp received a negative contribution from PPS of US$3.6 million, lower than the net loss of US$1.9 million in its local Peruvian GAAP books (See Section IV.), mainly due to higher provisions required by IAS records.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 contributed net income of US$0.5 million, in the fourth quarter of 2003, and US$0.1 million in full-year 2003, does not include provision expense incurred by Credicorp of US$0.3 million and US$5.6 million, respectively, for transferred loans as mentioned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I.1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Peruvian GDP maintained its positive trend which has resulted in 29 consecutive growth months. Cumulative through November 2003, GDP grew 4.0%, after increasing 3.3% in the month of September, 4.1% in October, and only 0.9% in November. The poor performance in November is mostly due to declines in Agriculture, Fishing, and its related manufacturing activity. Nevertheless, economic activity growth shows a continuing positive trend, although at a low rate.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GDP grew 6.0%, 3.6% and 3.5%, in the first, second and third quarters of 2003, respectively. It is expected that growth should continue in the following months and that the total year 2003 increase will reach 4%, lower than the 4.9% obtained in 2002. Official estimates put 2004 GDP growth also at 4%, which was scaled down from 4.5% in prior estimates.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month of October the Fishing sector grew 27.2%, after the fishing ban was lifted, but it declined 0.4% during November, and accumulates a 10.6% decline through this month. Construction grew 7.5% in October but only 0.1% in November, continuing the high volatility experienced in recent months and grows 3.4% through this month. Cumulative through November 2003, it is noteworthy the continuing strength of metals mining, with an 8.2% increase, also of utilities, with 4.6%, commerce, 4.2%, non-primary manufacturing, 3.4%, and of the agricultural sector, which grew 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Public sector deficit was 2.1% in the third quarter of 2003, below 2.7% in the same period of 2002. This positive result is due to increased Central Government current income that reached 15.0% of GDP, higher than 14.8% in the same prior year period, and to lower capital expenditures of 1.7% compared to 2.5%, respectively. The deficit for total year 2003 is still expected at 1.9%.</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Through November 2003, tax collections increased 11.5%, in real terms, compared to the same prior year period, noting a 37% increase of Income Tax revenue from corporations and the 11% in case of the value-added tax (IGV). Non-financial expenses increased 4.9% (real), while capital expenses declined 7.2%.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2003, the consumer price index in Peru increased 0.8%, after a 0.4% increase in the third quarter and a 0.6% decline in the second quarter. Inflation in 2003 reached 2.5%, higher than 1.5% in 2002, but remained within the range (1.5% to 3.5%) targetted by the Central Bank for total 2003. The wholesale price index increased 1.0% in the current quarter, compared to a 0.5% increase in the preceding third quarter, and grew 2.0% in 2003, also higher than 1.7% in 2002.</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average bank market Nuevos Soles exchange rate in Peru was S/.3.463 at December 31, 2003, decreasing 0.6% from S/.3.482 at the end of September 2003, and also declines 1.5% from S/.3.514 as of December 31,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International reserves of the Central Bank increased during the fourth quarter of 2003, reaching US$10,194 million at December 31, 2003 from US$9,755 million at September 30, 2003, and also compared to US$9,598 million of December 31, 2002.</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Trade Balance had a US$535 million cumulative surplus through November 2003, increasing compared to a US$136 million surplus in the same eleven month period of 2002. The improvement is due to the 17% increase in exports versus an 11% increase in imports. Exports, which reached US$8,057 million as of November 2003, grow on increased volume and prices, specially of gold and oil derivatives, and non-traditional textiles exports. Imports through November 2003 amounted to US$7,523 million, increasing mainly due to higher imports of raw materials and intermediate goods.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ectPr>
          <w:pgSz w:w="11900" w:h="16838" w:orient="portrait"/>
          <w:cols w:equalWidth="0" w:num="1">
            <w:col w:w="11420"/>
          </w:cols>
          <w:pgMar w:left="240" w:top="131" w:right="239" w:bottom="161"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8"/>
          <w:szCs w:val="18"/>
          <w:color w:val="auto"/>
        </w:rPr>
        <w:t>During the fourth quarter 2003 loan and deposit volumes remained stable, after declining in the first part of the year, within a continuing excess liquidity situation. Deposits at December 31, 2003 in the fourteen commercial banks in the system reached S/.47.4 billion (US$13.7 billion), according to the Asociación de Bancos del Peru (ASBANC), remaining almost unchanged in nominal terms compared to the balance at September 30, 2003. Deposits declined 3.7% from the balance at December 31, 2002.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2003, total loans in the banking system decreased 2.7%, in nominal terms, to S/.35.0 billion (US$10.1 billion), which, in turn, is 5.8% below December 2002 loan balances. In the current period, local currency loans (22.2% of total loans) declined 0.9% to S/.7.8 billion (US$2.2 billion), while foreign currency loans decreased 2.7% to US$7.9 billion.</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poor growth in bank’s deposit and loan volumes contrast with increases in the private pension fund’s managed assets and in mutual funds. The private pension fund assets reached US$6.4 billion as of December 2003, increasing 11.8% in the fourth quarter, and 42.0% since December 2002, with a return of 21.2% in real terms in the year. Total mutual funds amounted to US$2.0 billion, after growing 2.4% in the current quarter and 33.7% since December 2002, with a 2.9% return (in Dollar terms) in year 2003.</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2003, the Peruvian bank's past due ratio was 5.9%, improving from the 7.7% rate in September 30, 2003. Commercial banks’ past due loans decreased 25.3% during the current quarter to S/.2.1 billion (US$597 million), and are lower by 27.6% compared to bad loans at December 2002. At December 31, 2003, loan loss provisions were S/.2.9 billion (US$842 million), decreasing 15.5% during this quarter. The system-wide past due loan coverage ratio was 141.0% at December 31, 2003, higher than the 124.6% coverage at September 2003, and is also higher compared to the ratio of 133.8% at December 2002.</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2003 commercial banks’ interest rates had varied trends. Local currency average loan rates (TAMN) were 22.2% in fourth quarter 2003, increasing from 21.5% in the third quarter of 2003, while deposits rates (TIPMN) decreased to 2.7% from 3.0%, respectively. In the fourth quarter 2002, TAMN was 21.1% and TIPMN was 3.7%. During the fourth quarter 2003 foreign currency rates remained almost unchanged, loan rates (TAMEX) at 9.1%, while deposit rates (TIPMEX) remained at 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I.2 INTEREST INCOME AND OTHER INCOME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interest income in the fourth quarter of 2003 was US$90.4 million, 3.0% over income earned in the same period of 2002, mostly due to higher loan volumes which offset a slight decrease in interest margins. The net interest margin (net interest income over average interest earning assets), on an annualized basis, was 5.56% during the fourth quarter of 2003, lower than 5.60% in the year-ago quarter, but remains similar to margins in the preceding third quarter of 2003. During the quarter net interest margins managed to remain almost unchanged since lower returns on investments and lower foreign exchange loan rates were offset by lower funding costs, within a continuing overall excess of liquid funds.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between monthly ending balances, reached US$6,507 million in this quarter, increasing 3.7% compared to US$6,274 million in the fourth quarter of 2002 mostly due to volume from the merger of BSCH-Peru.</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income was US$97.9 million in the fourth quarter of 2003, 1.6% below US$99.5 million in the same period of 2002, principally due to lower insurance premiums.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(In US$Mn)</w:t>
            </w:r>
          </w:p>
        </w:tc>
        <w:tc>
          <w:tcPr>
            <w:tcW w:w="2460" w:type="dxa"/>
            <w:vAlign w:val="bottom"/>
          </w:tcPr>
          <w:p>
            <w:pPr>
              <w:jc w:val="right"/>
              <w:ind w:right="672"/>
              <w:spacing w:after="0"/>
              <w:rPr>
                <w:sz w:val="20"/>
                <w:szCs w:val="20"/>
                <w:color w:val="auto"/>
              </w:rPr>
            </w:pPr>
            <w:r>
              <w:rPr>
                <w:rFonts w:ascii="Arial" w:cs="Arial" w:eastAsia="Arial" w:hAnsi="Arial"/>
                <w:sz w:val="18"/>
                <w:szCs w:val="18"/>
                <w:color w:val="auto"/>
              </w:rPr>
              <w:t>4Q02</w:t>
            </w: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3Q03</w:t>
            </w: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4Q03</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w w:val="93"/>
              </w:rPr>
              <w:t>4Q03 vs.3Q03</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w w:val="93"/>
              </w:rPr>
              <w:t>4Q03 vs.4Q02</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44.2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48.9</w:t>
            </w: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premiums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30.9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33.8</w:t>
            </w: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20.6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19.7</w:t>
            </w: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99.5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104.8</w:t>
            </w:r>
          </w:p>
        </w:tc>
        <w:tc>
          <w:tcPr>
            <w:tcW w:w="1200" w:type="dxa"/>
            <w:vAlign w:val="bottom"/>
          </w:tcPr>
          <w:p>
            <w:pPr>
              <w:jc w:val="right"/>
              <w:spacing w:after="0"/>
              <w:rPr>
                <w:sz w:val="20"/>
                <w:szCs w:val="20"/>
                <w:color w:val="auto"/>
              </w:rPr>
            </w:pPr>
            <w:r>
              <w:rPr>
                <w:rFonts w:ascii="Arial" w:cs="Arial" w:eastAsia="Arial" w:hAnsi="Arial"/>
                <w:sz w:val="18"/>
                <w:szCs w:val="18"/>
                <w:color w:val="auto"/>
              </w:rPr>
              <w:t>97.9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I.3 OTHER NON-INTEREST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non-interest expenses amounted to US$115.0 million in fourth quarter 2003, 1.6% less than expenses in the same period of the previous year. The decrease is explained principally by lower personnel and general expenses, partly offset by higher provisions for contingencies, registered in the Other caption.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 change and US$Mn)</w:t>
            </w:r>
          </w:p>
        </w:tc>
        <w:tc>
          <w:tcPr>
            <w:tcW w:w="2460" w:type="dxa"/>
            <w:vAlign w:val="bottom"/>
          </w:tcPr>
          <w:p>
            <w:pPr>
              <w:jc w:val="right"/>
              <w:ind w:right="672"/>
              <w:spacing w:after="0"/>
              <w:rPr>
                <w:sz w:val="20"/>
                <w:szCs w:val="20"/>
                <w:color w:val="auto"/>
              </w:rPr>
            </w:pPr>
            <w:r>
              <w:rPr>
                <w:rFonts w:ascii="Arial" w:cs="Arial" w:eastAsia="Arial" w:hAnsi="Arial"/>
                <w:sz w:val="18"/>
                <w:szCs w:val="18"/>
                <w:color w:val="auto"/>
              </w:rPr>
              <w:t>4Q02</w:t>
            </w: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3Q03</w:t>
            </w: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4Q03</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w w:val="93"/>
              </w:rPr>
              <w:t>4Q03 vs.3Q03</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w w:val="93"/>
              </w:rPr>
              <w:t>4Q03 vs.4Q02</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51.2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44.8</w:t>
            </w: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39.8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34.5</w:t>
            </w: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12.6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11.3</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360" w:type="dxa"/>
            <w:vAlign w:val="bottom"/>
          </w:tcPr>
          <w:p>
            <w:pPr>
              <w:jc w:val="right"/>
              <w:spacing w:after="0"/>
              <w:rPr>
                <w:sz w:val="20"/>
                <w:szCs w:val="20"/>
                <w:color w:val="auto"/>
              </w:rPr>
            </w:pPr>
            <w:r>
              <w:rPr>
                <w:rFonts w:ascii="Arial" w:cs="Arial" w:eastAsia="Arial" w:hAnsi="Arial"/>
                <w:sz w:val="18"/>
                <w:szCs w:val="18"/>
                <w:color w:val="auto"/>
              </w:rPr>
              <w:t>35.5%</w:t>
            </w: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Merger costs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Total Other Expenses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116.9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102.7</w:t>
            </w:r>
          </w:p>
        </w:tc>
        <w:tc>
          <w:tcPr>
            <w:tcW w:w="1200" w:type="dxa"/>
            <w:vAlign w:val="bottom"/>
          </w:tcPr>
          <w:p>
            <w:pPr>
              <w:jc w:val="right"/>
              <w:spacing w:after="0"/>
              <w:rPr>
                <w:sz w:val="20"/>
                <w:szCs w:val="20"/>
                <w:color w:val="auto"/>
              </w:rPr>
            </w:pPr>
            <w:r>
              <w:rPr>
                <w:rFonts w:ascii="Arial" w:cs="Arial" w:eastAsia="Arial" w:hAnsi="Arial"/>
                <w:sz w:val="18"/>
                <w:szCs w:val="18"/>
                <w:color w:val="auto"/>
              </w:rPr>
              <w:t>115.0</w:t>
            </w: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efficiency ratio, “adjusted” operating expenses (determined by netting provisions for assets received in lieu of loan repayment, employee profit sharing expenses and non-recurrent expenses) as a percentage of total income, without extraordinary concepts, was 51.8% in the fourth quarter of 2003 having been 56.0% in the same period last year. “Adjusted” operating expenses as a percentage of average total assets decreased to 4.7% from 5.2%, in the same quarters.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I.4 ASSETS AND LIABILITIES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Credicorp’s totals assets were US$8.3 billion at December 31, 2003, 0.9% over the balance at the end of September 2003, but decreases 3.7% compared to the balance of December 2002. The loan portfolio as of December 31, 2003 reached US$4.5 billion, remaining almost unchanged during the current quarter, but decrease 7.0% compared to the year-ago balance. Deposits and other obligations reached US$6.3 billion at December 31, 2003, increasing 0.8% since last</w:t>
      </w:r>
    </w:p>
    <w:p>
      <w:pPr>
        <w:sectPr>
          <w:pgSz w:w="11900" w:h="16838" w:orient="portrait"/>
          <w:cols w:equalWidth="0" w:num="1">
            <w:col w:w="11420"/>
          </w:cols>
          <w:pgMar w:left="240" w:top="131" w:right="239" w:bottom="0" w:gutter="0" w:footer="0" w:header="0"/>
        </w:sectPr>
      </w:pPr>
    </w:p>
    <w:bookmarkStart w:id="4" w:name="page5"/>
    <w:bookmarkEnd w:id="4"/>
    <w:p>
      <w:pPr>
        <w:spacing w:after="0" w:line="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September, but are 7.1% lower than the December 2002 balance. Due to banks and correspondents, which closed at US$273.2 million, continued its declining trend, decreasing 2.3% during the quarter and by 11.8% in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(In US$Mn)</w:t>
            </w:r>
          </w:p>
        </w:tc>
        <w:tc>
          <w:tcPr>
            <w:tcW w:w="4280" w:type="dxa"/>
            <w:vAlign w:val="bottom"/>
          </w:tcPr>
          <w:p>
            <w:pPr>
              <w:jc w:val="right"/>
              <w:ind w:right="652"/>
              <w:spacing w:after="0"/>
              <w:rPr>
                <w:sz w:val="20"/>
                <w:szCs w:val="20"/>
                <w:color w:val="auto"/>
              </w:rPr>
            </w:pPr>
            <w:r>
              <w:rPr>
                <w:rFonts w:ascii="Arial" w:cs="Arial" w:eastAsia="Arial" w:hAnsi="Arial"/>
                <w:sz w:val="18"/>
                <w:szCs w:val="18"/>
                <w:color w:val="auto"/>
              </w:rPr>
              <w:t>4Q02</w:t>
            </w: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3Q03</w:t>
            </w: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4Q03</w:t>
            </w:r>
          </w:p>
        </w:tc>
      </w:tr>
      <w:tr>
        <w:trPr>
          <w:trHeight w:val="110"/>
        </w:trPr>
        <w:tc>
          <w:tcPr>
            <w:tcW w:w="46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309"/>
        </w:trPr>
        <w:tc>
          <w:tcPr>
            <w:tcW w:w="4640" w:type="dxa"/>
            <w:vAlign w:val="bottom"/>
          </w:tcPr>
          <w:p>
            <w:pPr>
              <w:spacing w:after="0"/>
              <w:rPr>
                <w:sz w:val="20"/>
                <w:szCs w:val="20"/>
                <w:color w:val="auto"/>
              </w:rPr>
            </w:pPr>
            <w:r>
              <w:rPr>
                <w:rFonts w:ascii="Arial" w:cs="Arial" w:eastAsia="Arial" w:hAnsi="Arial"/>
                <w:sz w:val="18"/>
                <w:szCs w:val="18"/>
                <w:color w:val="auto"/>
              </w:rPr>
              <w:t>Total loans</w:t>
            </w:r>
          </w:p>
        </w:tc>
        <w:tc>
          <w:tcPr>
            <w:tcW w:w="4280" w:type="dxa"/>
            <w:vAlign w:val="bottom"/>
          </w:tcPr>
          <w:p>
            <w:pPr>
              <w:jc w:val="right"/>
              <w:ind w:right="132"/>
              <w:spacing w:after="0"/>
              <w:rPr>
                <w:sz w:val="20"/>
                <w:szCs w:val="20"/>
                <w:color w:val="auto"/>
              </w:rPr>
            </w:pPr>
            <w:r>
              <w:rPr>
                <w:rFonts w:ascii="Arial" w:cs="Arial" w:eastAsia="Arial" w:hAnsi="Arial"/>
                <w:sz w:val="18"/>
                <w:szCs w:val="18"/>
                <w:color w:val="auto"/>
              </w:rPr>
              <w:t>4,817.7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4,472.0</w:t>
            </w:r>
          </w:p>
        </w:tc>
        <w:tc>
          <w:tcPr>
            <w:tcW w:w="1140" w:type="dxa"/>
            <w:vAlign w:val="bottom"/>
          </w:tcPr>
          <w:p>
            <w:pPr>
              <w:jc w:val="right"/>
              <w:spacing w:after="0"/>
              <w:rPr>
                <w:sz w:val="20"/>
                <w:szCs w:val="20"/>
                <w:color w:val="auto"/>
              </w:rPr>
            </w:pPr>
            <w:r>
              <w:rPr>
                <w:rFonts w:ascii="Arial" w:cs="Arial" w:eastAsia="Arial" w:hAnsi="Arial"/>
                <w:sz w:val="18"/>
                <w:szCs w:val="18"/>
                <w:color w:val="auto"/>
              </w:rPr>
              <w:t>4,481.5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Past due loans</w:t>
            </w:r>
          </w:p>
        </w:tc>
        <w:tc>
          <w:tcPr>
            <w:tcW w:w="4280" w:type="dxa"/>
            <w:vAlign w:val="bottom"/>
          </w:tcPr>
          <w:p>
            <w:pPr>
              <w:jc w:val="right"/>
              <w:ind w:right="132"/>
              <w:spacing w:after="0"/>
              <w:rPr>
                <w:sz w:val="20"/>
                <w:szCs w:val="20"/>
                <w:color w:val="auto"/>
              </w:rPr>
            </w:pPr>
            <w:r>
              <w:rPr>
                <w:rFonts w:ascii="Arial" w:cs="Arial" w:eastAsia="Arial" w:hAnsi="Arial"/>
                <w:sz w:val="18"/>
                <w:szCs w:val="18"/>
                <w:color w:val="auto"/>
              </w:rPr>
              <w:t>405.3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341.0</w:t>
            </w:r>
          </w:p>
        </w:tc>
        <w:tc>
          <w:tcPr>
            <w:tcW w:w="114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Loan loss reserves</w:t>
            </w:r>
          </w:p>
        </w:tc>
        <w:tc>
          <w:tcPr>
            <w:tcW w:w="4280" w:type="dxa"/>
            <w:vAlign w:val="bottom"/>
          </w:tcPr>
          <w:p>
            <w:pPr>
              <w:jc w:val="right"/>
              <w:ind w:right="132"/>
              <w:spacing w:after="0"/>
              <w:rPr>
                <w:sz w:val="20"/>
                <w:szCs w:val="20"/>
                <w:color w:val="auto"/>
              </w:rPr>
            </w:pPr>
            <w:r>
              <w:rPr>
                <w:rFonts w:ascii="Arial" w:cs="Arial" w:eastAsia="Arial" w:hAnsi="Arial"/>
                <w:sz w:val="18"/>
                <w:szCs w:val="18"/>
                <w:color w:val="auto"/>
              </w:rPr>
              <w:t>420.8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387.8</w:t>
            </w: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Past due / Total loans</w:t>
            </w:r>
          </w:p>
        </w:tc>
        <w:tc>
          <w:tcPr>
            <w:tcW w:w="428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Reserves / Past due</w:t>
            </w:r>
          </w:p>
        </w:tc>
        <w:tc>
          <w:tcPr>
            <w:tcW w:w="4280" w:type="dxa"/>
            <w:vAlign w:val="bottom"/>
          </w:tcPr>
          <w:p>
            <w:pPr>
              <w:jc w:val="right"/>
              <w:ind w:right="132"/>
              <w:spacing w:after="0"/>
              <w:rPr>
                <w:sz w:val="20"/>
                <w:szCs w:val="20"/>
                <w:color w:val="auto"/>
              </w:rPr>
            </w:pPr>
            <w:r>
              <w:rPr>
                <w:rFonts w:ascii="Arial" w:cs="Arial" w:eastAsia="Arial" w:hAnsi="Arial"/>
                <w:sz w:val="18"/>
                <w:szCs w:val="18"/>
                <w:color w:val="auto"/>
              </w:rPr>
              <w:t>103.8%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113.7%</w:t>
            </w:r>
          </w:p>
        </w:tc>
        <w:tc>
          <w:tcPr>
            <w:tcW w:w="114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110"/>
        </w:trPr>
        <w:tc>
          <w:tcPr>
            <w:tcW w:w="46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past due loans decreased by US$84.5 million during the current quarter partly due to charge-offs amounting to US$70.6 million.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under management continued to grow reaching US$1.7 billion at year-end 2003, increasing 6.5% in the quarter and by 25.9% since the beginning of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I.5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GDP grew 2.3% in the nine month period through September 2003 and is expected to grow 2.6% in full-year 2003, declining from 2.8% in 2002. Natural gas production grew almost 10%, and the agricultural sector by 4%, while, on the other hand, construction declined 9%. Economic activity in 2003 is being driven by exports, that grow 15%, where oil and gas increase 28%. It is expected that GDP will grow slightly over 3% in 2004, meaning that economic activity will continue weak, with domestic demand and consumption remaining stagnant. The government continues having fiscal difficulties. After the budget deficits of 8.5% of GDP in 2002 and 8% in 2003, a 6.5% is expected in 2004. New tax measures are being drafted as well as facilities to restructure companies. Additionally, the final treatment of the natural gas of Tarija will be defined in a referendum next March.</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Inflation reached 1.7% in the fourth quarter of 2003, and was 3.9% in full-year 2003, compared to 2.5% in 2002. Devaluation continued at a slower pace with a 0.9% exchange rate increase in the current quarter and 4.1% in total 2003, reaching 7.81 Bolivianos per Dollar at December 31, 2003.</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volume in the banking system declined 2% in the current quarter and by 5.2% in the year, to end at US$2,552 million at December 2003. Loan quality continued improving, from a past due ratio of 18.2% in September 2003, to 16.7% at December 2003, while coverage of past-due loans with provisions increased from 67.4% to 74.0%, respectively. Total deposits in the system amounted to US$2,713 million at December 2003, lower by 4.0% compared to the balance at September 2003, but are similar to deposits at December 2002.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December 2003 was 12.5%, decreasing sligthly from 12.8% at the end of September 2003, and from 12.7% at December 2002. In terms of loans, BCB had a 12.2% market share, similar to 12.3% it had last September, and remains over the 11.7% share at December 2002. In this way, BCB remained in the fourth position of twelve banks in the system.</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2003, BCB had total loans of US$309.9 million which compares to the US$319.9 million at September 2003, and US$313.3 million at the end of December 2002. At the end of the fourth quarter 2003, BCB’s past due loans reached US$64.2 million, or 20.7% of total loans, lower than 21.7% at September 2003. Coverage of past due loans with loan loss provisions was 76.7% as of December 2003, remaining almost unchanged during the quarter, but increased from to 62.5% in December 2002. Net equity at the Bolivian subsidiary amounted to US$56.3 million as of December 2003.</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December 2003, US$20.6 million of loan loss provisions were charged against results, compared to US$30.2 million charged during 2002, jointly incurred by BCB and at the BCP level to cover BCB’s impaired assets. In BCB’s own records, net income was US$1.5 million in 2003, compared to US$22 thousand in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eleven month period through November 2003, Colombian manufacturing production grew 3.9%, confirming a mild economic recovery. The recovery is being led by exports (oil, coal and non-traditional exports) and by investments, while consumption remains depressed. GDP is expected to grow over 3% in total 2003 and also in 2004. In full-year 2002 GDP grew 1.7%.</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Since the referendum seeking spending cuts, held in October 25, did not win approval, Congress had to pass certain alternative tax measures. A special wealth tax has been imposed, and the rate of the banking debit tax has been raised, but the increase of the value added tax was not accepted. The deficit remains under control, with a target of 2.8% for full-year 2003, under the 3.6% of 2002, and is expected to decrease to 2.5% in 2004.</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regional trends the exchange rate appreciated during the fourth quarter 2003, where a 3.8% revaluation led to an exchange rate of Col$2,781 per US$1 at the end of December 2003. During total 2003, the exchange rate revalued 2.9%, compared to a devaluation of 25% in 2002. The Central Bank has announced various measures to stop the appreciation of the Peso, but it decreased to Col$2,715 during January 2004 and remains under Col$2,800, so it is expected that it will not have a major change during 2004.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fourth quarter 2003 prices increased 1.0%, and 6.5% in total 2003. Annual inflation exceeded the official inflation target of between 5 to 6%, although it continues the downward trend of recent years. Inflation is expected to continue decreasing aided by the appreciating exchange rate, fiscal controls and by higher economic activity.</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Banking system statistics show that loans increased from US$14.4 billion at December 2002, to US$15.6 billion at the close of November 2003, with the past-due ratio improving from 12.7% to 10.9%, respectively. The coverage ratio of loan provisions over bad loans also improved, from 61.9% at December 2002 to 66.0%</w:t>
      </w:r>
    </w:p>
    <w:p>
      <w:pPr>
        <w:sectPr>
          <w:pgSz w:w="11900" w:h="16871" w:orient="portrait"/>
          <w:cols w:equalWidth="0" w:num="1">
            <w:col w:w="11420"/>
          </w:cols>
          <w:pgMar w:left="240" w:top="131" w:right="239" w:bottom="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in November 2003. Total deposits in the banking entities were US$19.8 billion at the end of November 2003, increasing from US$19.2 billion at December 2002, following a recovery noted in recent months.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Banco Tequendama’s loan market share, as of November 2003, was 1.48%, slightly over 1.43% obtained in December 2002. At the same dates, deposit market share increased to 0.83% from 0.74%.</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2003, Banco Tequendama’s loans were US$232.1 million, increasing 1.0% from US$229.9 million in September 2003, and 9.6% compared to US$211.7 millon as of December 2002. At the end of December 2003, deposits totaled US$187.5 million, higher than US$160.5 million in September 2003, and is 21.7% over US$154.1 million at the year-ago period. At December 31, 2003, the bank’s net equity amounted to US$29.1 million according to Credicorp’s accounting records.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past due loan ratio was 1.1% in December 2003, improving from 1.2% at the end of third quarter 2003 and from 4.3% at December 2002, while coverage with provisions was 238.2%, compared to 191.0% and 69.5%, respectively.</w:t>
      </w:r>
    </w:p>
    <w:p>
      <w:pPr>
        <w:sectPr>
          <w:pgSz w:w="11900" w:h="16838" w:orient="portrait"/>
          <w:cols w:equalWidth="0" w:num="1">
            <w:col w:w="11420"/>
          </w:cols>
          <w:pgMar w:left="240" w:top="1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in the year ended December 31, 2003 was S/.308.8 million (US$89.2 million), 32.7% over net income of S/.232.7 million (US$67.2 million) in 2002, resulting in S/.0.26 and S/.0.19 per share, respectively. Net income increased in 2003 compared to the prior year principally due to higher non-financial income and lower loan loss provisions, which offset the loss from inflation exposure and non-recurring expenses of the merger of BSCH-Peru and Solucion Financiera de Credito, that reached S/.65.2 million (US$18.8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income for the fourth quarter of 2003 was S/.87.7 million (US$25.3 million), doubling net income of S/.43.4 million (US$12.5 million) in the last quarter of 2002, even though it declines with respect to net income of S/.107.1 million (US$30.9 million) in the preceding third quarter of 2003. Net income in the current quarter increased compared to the year-ago period principally due to lower loan loss provisions, decreased operating expenses and a lower inflation adjustment loss. In the current quarter, merger costs of S/.3.8 million (US$1.1 million) were incurred for the merger with Solución Financiera (this process will end in the first quarter 2004).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80" w:type="dxa"/>
            <w:vAlign w:val="bottom"/>
            <w:gridSpan w:val="4"/>
          </w:tcPr>
          <w:p>
            <w:pPr>
              <w:ind w:left="400"/>
              <w:spacing w:after="0"/>
              <w:rPr>
                <w:sz w:val="20"/>
                <w:szCs w:val="20"/>
                <w:color w:val="auto"/>
              </w:rPr>
            </w:pPr>
            <w:r>
              <w:rPr>
                <w:rFonts w:ascii="Arial" w:cs="Arial" w:eastAsia="Arial" w:hAnsi="Arial"/>
                <w:sz w:val="18"/>
                <w:szCs w:val="18"/>
                <w:color w:val="auto"/>
              </w:rPr>
              <w:t>Three months ended</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gridSpan w:val="5"/>
          </w:tcPr>
          <w:p>
            <w:pPr>
              <w:ind w:left="900"/>
              <w:spacing w:after="0"/>
              <w:rPr>
                <w:sz w:val="20"/>
                <w:szCs w:val="20"/>
                <w:color w:val="auto"/>
              </w:rPr>
            </w:pPr>
            <w:r>
              <w:rPr>
                <w:rFonts w:ascii="Arial" w:cs="Arial" w:eastAsia="Arial" w:hAnsi="Arial"/>
                <w:sz w:val="18"/>
                <w:szCs w:val="18"/>
                <w:color w:val="auto"/>
                <w:w w:val="88"/>
              </w:rPr>
              <w:t>Twelve months ended</w:t>
            </w:r>
          </w:p>
        </w:tc>
        <w:tc>
          <w:tcPr>
            <w:tcW w:w="880" w:type="dxa"/>
            <w:vAlign w:val="bottom"/>
          </w:tcPr>
          <w:p>
            <w:pPr>
              <w:spacing w:after="0"/>
              <w:rPr>
                <w:sz w:val="19"/>
                <w:szCs w:val="19"/>
                <w:color w:val="auto"/>
              </w:rPr>
            </w:pPr>
          </w:p>
        </w:tc>
      </w:tr>
      <w:tr>
        <w:trPr>
          <w:trHeight w:val="164"/>
        </w:trPr>
        <w:tc>
          <w:tcPr>
            <w:tcW w:w="342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r>
      <w:tr>
        <w:trPr>
          <w:trHeight w:val="383"/>
        </w:trPr>
        <w:tc>
          <w:tcPr>
            <w:tcW w:w="342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30.09.03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31.12.03</w:t>
            </w:r>
          </w:p>
        </w:tc>
        <w:tc>
          <w:tcPr>
            <w:tcW w:w="4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31.12.03</w:t>
            </w: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31.12.02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88"/>
              </w:rPr>
              <w:t>31.12.03</w:t>
            </w:r>
          </w:p>
        </w:tc>
      </w:tr>
      <w:tr>
        <w:trPr>
          <w:trHeight w:val="164"/>
        </w:trPr>
        <w:tc>
          <w:tcPr>
            <w:tcW w:w="342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r>
      <w:tr>
        <w:trPr>
          <w:trHeight w:val="383"/>
        </w:trPr>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US$</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Net interest income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287.4</w:t>
            </w:r>
          </w:p>
        </w:tc>
        <w:tc>
          <w:tcPr>
            <w:tcW w:w="1080" w:type="dxa"/>
            <w:vAlign w:val="bottom"/>
          </w:tcPr>
          <w:p>
            <w:pPr>
              <w:jc w:val="right"/>
              <w:spacing w:after="0"/>
              <w:rPr>
                <w:sz w:val="20"/>
                <w:szCs w:val="20"/>
                <w:color w:val="auto"/>
              </w:rPr>
            </w:pPr>
            <w:r>
              <w:rPr>
                <w:rFonts w:ascii="Arial" w:cs="Arial" w:eastAsia="Arial" w:hAnsi="Arial"/>
                <w:sz w:val="18"/>
                <w:szCs w:val="18"/>
                <w:color w:val="auto"/>
              </w:rPr>
              <w:t>295.2</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286.5</w:t>
            </w: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1,120.1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1,156.9</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$334.1</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1080" w:type="dxa"/>
            <w:vAlign w:val="bottom"/>
          </w:tcPr>
          <w:p>
            <w:pPr>
              <w:jc w:val="right"/>
              <w:spacing w:after="0"/>
              <w:rPr>
                <w:sz w:val="20"/>
                <w:szCs w:val="20"/>
                <w:color w:val="auto"/>
              </w:rPr>
            </w:pPr>
            <w:r>
              <w:rPr>
                <w:rFonts w:ascii="Arial" w:cs="Arial" w:eastAsia="Arial" w:hAnsi="Arial"/>
                <w:sz w:val="18"/>
                <w:szCs w:val="18"/>
                <w:color w:val="auto"/>
              </w:rPr>
              <w:t>79.4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310.2</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Other income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222.6</w:t>
            </w:r>
          </w:p>
        </w:tc>
        <w:tc>
          <w:tcPr>
            <w:tcW w:w="1080" w:type="dxa"/>
            <w:vAlign w:val="bottom"/>
          </w:tcPr>
          <w:p>
            <w:pPr>
              <w:jc w:val="right"/>
              <w:spacing w:after="0"/>
              <w:rPr>
                <w:sz w:val="20"/>
                <w:szCs w:val="20"/>
                <w:color w:val="auto"/>
              </w:rPr>
            </w:pPr>
            <w:r>
              <w:rPr>
                <w:rFonts w:ascii="Arial" w:cs="Arial" w:eastAsia="Arial" w:hAnsi="Arial"/>
                <w:sz w:val="18"/>
                <w:szCs w:val="18"/>
                <w:color w:val="auto"/>
              </w:rPr>
              <w:t>226.5</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225.7</w:t>
            </w:r>
          </w:p>
        </w:tc>
        <w:tc>
          <w:tcPr>
            <w:tcW w:w="1080" w:type="dxa"/>
            <w:vAlign w:val="bottom"/>
          </w:tcPr>
          <w:p>
            <w:pPr>
              <w:jc w:val="right"/>
              <w:spacing w:after="0"/>
              <w:rPr>
                <w:sz w:val="20"/>
                <w:szCs w:val="20"/>
                <w:color w:val="auto"/>
              </w:rPr>
            </w:pPr>
            <w:r>
              <w:rPr>
                <w:rFonts w:ascii="Arial" w:cs="Arial" w:eastAsia="Arial" w:hAnsi="Arial"/>
                <w:sz w:val="18"/>
                <w:szCs w:val="18"/>
                <w:color w:val="auto"/>
              </w:rPr>
              <w:t>$65.2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799.9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917.9</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$265.1</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Other expenses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333.2</w:t>
            </w:r>
          </w:p>
        </w:tc>
        <w:tc>
          <w:tcPr>
            <w:tcW w:w="1080" w:type="dxa"/>
            <w:vAlign w:val="bottom"/>
          </w:tcPr>
          <w:p>
            <w:pPr>
              <w:jc w:val="right"/>
              <w:spacing w:after="0"/>
              <w:rPr>
                <w:sz w:val="20"/>
                <w:szCs w:val="20"/>
                <w:color w:val="auto"/>
              </w:rPr>
            </w:pPr>
            <w:r>
              <w:rPr>
                <w:rFonts w:ascii="Arial" w:cs="Arial" w:eastAsia="Arial" w:hAnsi="Arial"/>
                <w:sz w:val="18"/>
                <w:szCs w:val="18"/>
                <w:color w:val="auto"/>
              </w:rPr>
              <w:t>295.0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320.6</w:t>
            </w: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1,225.5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1,232.0</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Merger costs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1080" w:type="dxa"/>
            <w:vAlign w:val="bottom"/>
          </w:tcPr>
          <w:p>
            <w:pPr>
              <w:jc w:val="right"/>
              <w:spacing w:after="0"/>
              <w:rPr>
                <w:sz w:val="20"/>
                <w:szCs w:val="20"/>
                <w:color w:val="auto"/>
              </w:rPr>
            </w:pPr>
            <w:r>
              <w:rPr>
                <w:rFonts w:ascii="Arial" w:cs="Arial" w:eastAsia="Arial" w:hAnsi="Arial"/>
                <w:sz w:val="18"/>
                <w:szCs w:val="18"/>
                <w:color w:val="auto"/>
              </w:rPr>
              <w:t>147.9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121.2</w:t>
            </w: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426.2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Income Tax</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33.5</w:t>
            </w: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87.7</w:t>
            </w: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308.8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0.07</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-2686685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-2686685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-2326005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-2326005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-2326005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-2326005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-2326005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-2326005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-2326005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ind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prepared according to Peruvian GAAP. The financial information is in constant soles as of December 31, 2003. Figures in US$ have been translated at the exchange rate of S/.3.463 to the dollar.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1,202 million outstanding shares in all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income, net of interest payments, in the fourth quarter of 2003 reached S/.286.5 million (US$82.7 million), remaining similar to net interest income in the same period of last year, but decreases 3.0% from net interest income in the preceding third quarter of 2003. Comparing with net interest income in the fourth quarter 2002, a slight 0.8% increase in average interest earning assets is noted, to S/.20,419 million (US$5,896 million), while interest margins decreased. In the current quarter BCP continued its persistent excess liquidity environment in both local and foreign currencies.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2003, the net interest margin was 5.61%, slightly decreasing from 5.68% in the fourth quarter of 2002, and also compared with 5.69% during the preceding third quarter of 2003. During the current quarter the margin declined mostly due to lower foreign currency loan rates, which was partly offset by higher returns on local currency loans and lower funding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including fee revenue and other non-interest items, in the fourth quarter of 2003 amounted to S/.225.7 million (US$65.2 million), 1.4% higher than income earned during the same period of 2002, mostly due to higher fees on banking services and recoveries of charged-off accounts, that offset lower gains on sale of securities and on foreign exchange transactions.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2003, fees from banking services amounted to S/.163.5 million (US$47.2 million), 8.0% higher than in the same period of 2002, mostly due to increases in account maintenance and brokerage fees, that offset decreased corporate finance fees.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(In constant S/. Mn.)</w:t>
            </w:r>
          </w:p>
        </w:tc>
        <w:tc>
          <w:tcPr>
            <w:tcW w:w="4260" w:type="dxa"/>
            <w:vAlign w:val="bottom"/>
          </w:tcPr>
          <w:p>
            <w:pPr>
              <w:jc w:val="right"/>
              <w:ind w:right="432"/>
              <w:spacing w:after="0"/>
              <w:rPr>
                <w:sz w:val="20"/>
                <w:szCs w:val="20"/>
                <w:color w:val="auto"/>
              </w:rPr>
            </w:pPr>
            <w:r>
              <w:rPr>
                <w:rFonts w:ascii="Arial" w:cs="Arial" w:eastAsia="Arial" w:hAnsi="Arial"/>
                <w:sz w:val="18"/>
                <w:szCs w:val="18"/>
                <w:color w:val="auto"/>
              </w:rPr>
              <w:t>4Q02</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4Q03</w:t>
            </w:r>
          </w:p>
        </w:tc>
        <w:tc>
          <w:tcPr>
            <w:tcW w:w="960" w:type="dxa"/>
            <w:vAlign w:val="bottom"/>
          </w:tcPr>
          <w:p>
            <w:pPr>
              <w:jc w:val="right"/>
              <w:spacing w:after="0"/>
              <w:rPr>
                <w:sz w:val="20"/>
                <w:szCs w:val="20"/>
                <w:color w:val="auto"/>
              </w:rPr>
            </w:pPr>
            <w:r>
              <w:rPr>
                <w:rFonts w:ascii="Arial" w:cs="Arial" w:eastAsia="Arial" w:hAnsi="Arial"/>
                <w:sz w:val="18"/>
                <w:szCs w:val="18"/>
                <w:color w:val="auto"/>
              </w:rPr>
              <w:t>Growth</w:t>
            </w:r>
          </w:p>
        </w:tc>
      </w:tr>
      <w:tr>
        <w:trPr>
          <w:trHeight w:val="110"/>
        </w:trPr>
        <w:tc>
          <w:tcPr>
            <w:tcW w:w="490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09"/>
        </w:trPr>
        <w:tc>
          <w:tcPr>
            <w:tcW w:w="4900" w:type="dxa"/>
            <w:vAlign w:val="bottom"/>
          </w:tcPr>
          <w:p>
            <w:pPr>
              <w:spacing w:after="0"/>
              <w:rPr>
                <w:sz w:val="20"/>
                <w:szCs w:val="20"/>
                <w:color w:val="auto"/>
              </w:rPr>
            </w:pPr>
            <w:r>
              <w:rPr>
                <w:rFonts w:ascii="Arial" w:cs="Arial" w:eastAsia="Arial" w:hAnsi="Arial"/>
                <w:sz w:val="18"/>
                <w:szCs w:val="18"/>
                <w:color w:val="auto"/>
              </w:rPr>
              <w:t>Contingent credits</w:t>
            </w:r>
          </w:p>
        </w:tc>
        <w:tc>
          <w:tcPr>
            <w:tcW w:w="4260" w:type="dxa"/>
            <w:vAlign w:val="bottom"/>
          </w:tcPr>
          <w:p>
            <w:pPr>
              <w:jc w:val="right"/>
              <w:ind w:right="372"/>
              <w:spacing w:after="0"/>
              <w:rPr>
                <w:sz w:val="20"/>
                <w:szCs w:val="20"/>
                <w:color w:val="auto"/>
              </w:rPr>
            </w:pPr>
            <w:r>
              <w:rPr>
                <w:rFonts w:ascii="Arial" w:cs="Arial" w:eastAsia="Arial" w:hAnsi="Arial"/>
                <w:sz w:val="18"/>
                <w:szCs w:val="18"/>
                <w:color w:val="auto"/>
              </w:rPr>
              <w:t>8.3</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7.9</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Foreign Trade</w:t>
            </w:r>
          </w:p>
        </w:tc>
        <w:tc>
          <w:tcPr>
            <w:tcW w:w="4260" w:type="dxa"/>
            <w:vAlign w:val="bottom"/>
          </w:tcPr>
          <w:p>
            <w:pPr>
              <w:jc w:val="right"/>
              <w:ind w:right="372"/>
              <w:spacing w:after="0"/>
              <w:rPr>
                <w:sz w:val="20"/>
                <w:szCs w:val="20"/>
                <w:color w:val="auto"/>
              </w:rPr>
            </w:pPr>
            <w:r>
              <w:rPr>
                <w:rFonts w:ascii="Arial" w:cs="Arial" w:eastAsia="Arial" w:hAnsi="Arial"/>
                <w:sz w:val="18"/>
                <w:szCs w:val="18"/>
                <w:color w:val="auto"/>
              </w:rPr>
              <w:t>8.1</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8.1</w:t>
            </w: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Account Maintenance</w:t>
            </w:r>
          </w:p>
        </w:tc>
        <w:tc>
          <w:tcPr>
            <w:tcW w:w="4260" w:type="dxa"/>
            <w:vAlign w:val="bottom"/>
          </w:tcPr>
          <w:p>
            <w:pPr>
              <w:jc w:val="right"/>
              <w:ind w:right="372"/>
              <w:spacing w:after="0"/>
              <w:rPr>
                <w:sz w:val="20"/>
                <w:szCs w:val="20"/>
                <w:color w:val="auto"/>
              </w:rPr>
            </w:pPr>
            <w:r>
              <w:rPr>
                <w:rFonts w:ascii="Arial" w:cs="Arial" w:eastAsia="Arial" w:hAnsi="Arial"/>
                <w:sz w:val="18"/>
                <w:szCs w:val="18"/>
                <w:color w:val="auto"/>
              </w:rPr>
              <w:t>38.7</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44.1</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Insurance</w:t>
            </w:r>
          </w:p>
        </w:tc>
        <w:tc>
          <w:tcPr>
            <w:tcW w:w="4260" w:type="dxa"/>
            <w:vAlign w:val="bottom"/>
          </w:tcPr>
          <w:p>
            <w:pPr>
              <w:jc w:val="right"/>
              <w:ind w:right="372"/>
              <w:spacing w:after="0"/>
              <w:rPr>
                <w:sz w:val="20"/>
                <w:szCs w:val="20"/>
                <w:color w:val="auto"/>
              </w:rPr>
            </w:pPr>
            <w:r>
              <w:rPr>
                <w:rFonts w:ascii="Arial" w:cs="Arial" w:eastAsia="Arial" w:hAnsi="Arial"/>
                <w:sz w:val="18"/>
                <w:szCs w:val="18"/>
                <w:color w:val="auto"/>
              </w:rPr>
              <w:t>6.3</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8.6</w:t>
            </w: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Collections fees</w:t>
            </w:r>
          </w:p>
        </w:tc>
        <w:tc>
          <w:tcPr>
            <w:tcW w:w="4260" w:type="dxa"/>
            <w:vAlign w:val="bottom"/>
          </w:tcPr>
          <w:p>
            <w:pPr>
              <w:jc w:val="right"/>
              <w:ind w:right="372"/>
              <w:spacing w:after="0"/>
              <w:rPr>
                <w:sz w:val="20"/>
                <w:szCs w:val="20"/>
                <w:color w:val="auto"/>
              </w:rPr>
            </w:pPr>
            <w:r>
              <w:rPr>
                <w:rFonts w:ascii="Arial" w:cs="Arial" w:eastAsia="Arial" w:hAnsi="Arial"/>
                <w:sz w:val="18"/>
                <w:szCs w:val="18"/>
                <w:color w:val="auto"/>
              </w:rPr>
              <w:t>16.6</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15.5</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-774065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Fund transfer services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26.6</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28.4</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Credit card fees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18.8</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20.0</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Brokerage</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8.8</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11.8</w:t>
            </w: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Corporate Finance</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4.4</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1.5</w:t>
            </w: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Loan administration</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0.8</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1.3</w:t>
            </w:r>
          </w:p>
        </w:tc>
        <w:tc>
          <w:tcPr>
            <w:tcW w:w="9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Shipping and handling</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7.0</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7.1</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7.0</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9.2</w:t>
            </w: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151.4</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163.5</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10"/>
        </w:trPr>
        <w:tc>
          <w:tcPr>
            <w:tcW w:w="494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fourth quarter of 2003, securities transactions resulted in a loss of S/.246 thousand (US$71 thousand), compared to gains in the year-ago quarter of S/.4.8 million (US$1.4 million). The loss in this quarter is mostly due to provisions for fixed income securities. The general index of the Lima Stock Exchange increased 22.9% in the fourth quarter of 2003 and 74.9% in total 2003, compared to 21.0% and 18.3% in the same year-ago periods.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S/.18.6 million (US$5.4 million) in the fourth quarter of 2003, 22.3% lower than revenue in the last quarter of 2002, mainly due to decreased traded volumes and margins due to the low volatility in the foreign exchange market.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increased from S/.42.3 million (US$12.2 million) in the fourth quarter of 2002 to S/.43.8 million (US$12.7 million) in the current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expenses during the fourth quarter of 2003 were S/.324.4 million (US$93.7 million), 4.4% under those of the same period in 2002, noting lower personnel and general expenses, which were partly offset by increased depreciation and amortization expenses, related to assets brought with the BSCH-Peru merger, and due to higher contingencies provisions.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expenses reached S/.260.0 million (US$71.1 million) in the fourth quarter of 2003, decreasing 11.2% compared to the year-ago period. Fourth quarter 2003 “adjusted” operating expenses are determined by excluding: (i) provisions for assets received in lieu of loan repayment (S/.25.3 million); (ii) non-recurring expenses related to the systems’ restructuring costs (S/.6.7 million); (iii) employee profit sharing expenses (S/.28.3 million); and, (iv) merger costs related to Solución Financiera (S/.3.7 millones).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quarter, approximately 41% of non-interest expenses were attributable to employee salaries and other expenses related to personnel. This concept decreased 10.6% to S/.134.4 million (US$38.8 million) when compared to the fourth quarter of 2002. Personnel expenses declined mainly because in the fourth quarter 2002 higher severance payments were registered. At the end of 2003 the number of employees stood at 7,530, decreasing from 7,644 employees as of September 2003 and from 7,671 at December 2002 (without including 685 employees at BSCH-Perú), mainly due to sales personnel transferred to a subsidiary of Credicorp.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32% of non-interest expenses, reached S/.105.1 million (US$30.3 million) in the fourth quarter of 2003, decreasing 7.3% when compared to expenses in the year-ago period. Lower expenses are mainly due to decreased third party fees.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(In constant S/. Mn.)</w:t>
            </w:r>
          </w:p>
        </w:tc>
        <w:tc>
          <w:tcPr>
            <w:tcW w:w="3760" w:type="dxa"/>
            <w:vAlign w:val="bottom"/>
          </w:tcPr>
          <w:p>
            <w:pPr>
              <w:jc w:val="right"/>
              <w:ind w:right="432"/>
              <w:spacing w:after="0"/>
              <w:rPr>
                <w:sz w:val="20"/>
                <w:szCs w:val="20"/>
                <w:color w:val="auto"/>
              </w:rPr>
            </w:pPr>
            <w:r>
              <w:rPr>
                <w:rFonts w:ascii="Arial" w:cs="Arial" w:eastAsia="Arial" w:hAnsi="Arial"/>
                <w:sz w:val="18"/>
                <w:szCs w:val="18"/>
                <w:color w:val="auto"/>
              </w:rPr>
              <w:t>4Q02</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4Q03</w:t>
            </w:r>
          </w:p>
        </w:tc>
        <w:tc>
          <w:tcPr>
            <w:tcW w:w="960" w:type="dxa"/>
            <w:vAlign w:val="bottom"/>
          </w:tcPr>
          <w:p>
            <w:pPr>
              <w:jc w:val="right"/>
              <w:spacing w:after="0"/>
              <w:rPr>
                <w:sz w:val="20"/>
                <w:szCs w:val="20"/>
                <w:color w:val="auto"/>
              </w:rPr>
            </w:pPr>
            <w:r>
              <w:rPr>
                <w:rFonts w:ascii="Arial" w:cs="Arial" w:eastAsia="Arial" w:hAnsi="Arial"/>
                <w:sz w:val="18"/>
                <w:szCs w:val="18"/>
                <w:color w:val="auto"/>
              </w:rPr>
              <w:t>Chnge.</w:t>
            </w:r>
          </w:p>
        </w:tc>
      </w:tr>
      <w:tr>
        <w:trPr>
          <w:trHeight w:val="110"/>
        </w:trPr>
        <w:tc>
          <w:tcPr>
            <w:tcW w:w="54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14.4</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13.4</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Communications</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10.2</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9.2</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Third party fees</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24.0</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20.6</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7.8</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7.5</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12.2</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12.1</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19.6</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19.9</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18.6</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17.4</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G&amp;A</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6.5</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 G&amp;A</w:t>
            </w:r>
          </w:p>
        </w:tc>
        <w:tc>
          <w:tcPr>
            <w:tcW w:w="3760" w:type="dxa"/>
            <w:vAlign w:val="bottom"/>
          </w:tcPr>
          <w:p>
            <w:pPr>
              <w:jc w:val="right"/>
              <w:ind w:right="372"/>
              <w:spacing w:after="0"/>
              <w:rPr>
                <w:sz w:val="20"/>
                <w:szCs w:val="20"/>
                <w:color w:val="auto"/>
              </w:rPr>
            </w:pPr>
            <w:r>
              <w:rPr>
                <w:rFonts w:ascii="Arial" w:cs="Arial" w:eastAsia="Arial" w:hAnsi="Arial"/>
                <w:sz w:val="18"/>
                <w:szCs w:val="18"/>
                <w:color w:val="auto"/>
              </w:rPr>
              <w:t>113.3</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105.1</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10"/>
        </w:trPr>
        <w:tc>
          <w:tcPr>
            <w:tcW w:w="54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Other caption within Other Non-Interest Expenses, increased from S/.30.4 million (US$8.8 million) in the fourth quarter of 2002 to S/.38.3 million (US$11.0 million) in the current quarter, mainly due to higher provisions for contingencies, that are only partly offset by sales of foreclosed assets.</w:t>
      </w:r>
    </w:p>
    <w:p>
      <w:pPr>
        <w:spacing w:after="0" w:line="13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decreased from 4.9% in the fourth quarter of 2002 to 4.5% in the current period.</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operating expenses, as a percentage of total income (excluding non-recurring income), also improved from 57.4% to 51.8% when comparing the fourth quarters of 2002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S/.23.2 billion (US$6.7 billion) at the end of December 2003, decreasing 11.0% with respect to the year-ago balance, and by 2.0% compared to assets at September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S/.14,204 million (US$4,102 million) at the end of December 2003, decreasing 11.0% compared to December 2002, and are lower by 1.5% with respect to loans at the preceding third quarter. At December 31, 2003, the loan portfolio, net of provisions, represented 56.4% of total assets, higher than 54.8% at September 2003. At the end of the fourth quarter of 2003, the Nuevos Soles portion of the loan portfolio was 17.7%, over 17.5% in September 2003, and also over 15.2% as of December 2002.</w:t>
      </w:r>
    </w:p>
    <w:p>
      <w:pPr>
        <w:sectPr>
          <w:pgSz w:w="11900" w:h="16838" w:orient="portrait"/>
          <w:cols w:equalWidth="0" w:num="1">
            <w:col w:w="11420"/>
          </w:cols>
          <w:pgMar w:left="240" w:top="131" w:right="239" w:bottom="79"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color w:val="auto"/>
        </w:rPr>
        <w:t>As of December 31, 2003 total deposits were S/.19,559 million (US$5,648 million), decreasing 12.0% compared to fourth quarter 2002 deposits, and declined 2.3% during the current quarter. During the fourth quarter 2003, time deposits decreased by 4.8%, savings deposits 0.8%, while demand deposits grew by 1.1%. Deposits denominated in Nuevos Soles were 23.8% of total deposits, remaining unchanged during the current quarter, but increases over 21.8% at the end of December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color w:val="auto"/>
                <w:w w:val="95"/>
              </w:rPr>
              <w:t>Loans, net</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jc w:val="right"/>
              <w:ind w:right="212"/>
              <w:spacing w:after="0"/>
              <w:rPr>
                <w:sz w:val="20"/>
                <w:szCs w:val="20"/>
                <w:color w:val="auto"/>
              </w:rPr>
            </w:pPr>
            <w:r>
              <w:rPr>
                <w:rFonts w:ascii="Arial" w:cs="Arial" w:eastAsia="Arial" w:hAnsi="Arial"/>
                <w:sz w:val="18"/>
                <w:szCs w:val="18"/>
                <w:color w:val="auto"/>
                <w:w w:val="88"/>
              </w:rPr>
              <w:t>Total Deposits</w:t>
            </w:r>
          </w:p>
        </w:tc>
        <w:tc>
          <w:tcPr>
            <w:tcW w:w="900" w:type="dxa"/>
            <w:vAlign w:val="bottom"/>
          </w:tcPr>
          <w:p>
            <w:pPr>
              <w:spacing w:after="0"/>
              <w:rPr>
                <w:sz w:val="19"/>
                <w:szCs w:val="19"/>
                <w:color w:val="auto"/>
              </w:rPr>
            </w:pPr>
          </w:p>
        </w:tc>
      </w:tr>
      <w:tr>
        <w:trPr>
          <w:trHeight w:val="110"/>
        </w:trPr>
        <w:tc>
          <w:tcPr>
            <w:tcW w:w="36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316"/>
        </w:trPr>
        <w:tc>
          <w:tcPr>
            <w:tcW w:w="3620" w:type="dxa"/>
            <w:vAlign w:val="bottom"/>
          </w:tcPr>
          <w:p>
            <w:pPr>
              <w:spacing w:after="0"/>
              <w:rPr>
                <w:sz w:val="20"/>
                <w:szCs w:val="20"/>
                <w:color w:val="auto"/>
              </w:rPr>
            </w:pPr>
            <w:r>
              <w:rPr>
                <w:rFonts w:ascii="Arial" w:cs="Arial" w:eastAsia="Arial" w:hAnsi="Arial"/>
                <w:sz w:val="18"/>
                <w:szCs w:val="18"/>
                <w:color w:val="auto"/>
              </w:rPr>
              <w:t>(In % and constant S/.Mn.)</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31.12.02</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30.09.03</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31.12.03</w:t>
            </w:r>
          </w:p>
        </w:tc>
        <w:tc>
          <w:tcPr>
            <w:tcW w:w="940" w:type="dxa"/>
            <w:vAlign w:val="bottom"/>
          </w:tcPr>
          <w:p>
            <w:pPr>
              <w:jc w:val="right"/>
              <w:spacing w:after="0"/>
              <w:rPr>
                <w:sz w:val="20"/>
                <w:szCs w:val="20"/>
                <w:color w:val="auto"/>
              </w:rPr>
            </w:pPr>
            <w:r>
              <w:rPr>
                <w:rFonts w:ascii="Arial" w:cs="Arial" w:eastAsia="Arial" w:hAnsi="Arial"/>
                <w:sz w:val="18"/>
                <w:szCs w:val="18"/>
                <w:color w:val="auto"/>
              </w:rPr>
              <w:t>31.12.02</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30.09.03</w:t>
            </w:r>
          </w:p>
        </w:tc>
        <w:tc>
          <w:tcPr>
            <w:tcW w:w="90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36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71.3%</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85.9%</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85.3%</w:t>
            </w: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89.8%</w:t>
            </w:r>
          </w:p>
        </w:tc>
        <w:tc>
          <w:tcPr>
            <w:tcW w:w="90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BSCH – Perú</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Banco de Crédito Overseas</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Crédito Leasing</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Solución Financiera de Crédito</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100.0%</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Total BCP</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S/.14,480</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S/.13,043</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S/.13,060</w:t>
            </w:r>
          </w:p>
        </w:tc>
        <w:tc>
          <w:tcPr>
            <w:tcW w:w="940" w:type="dxa"/>
            <w:vAlign w:val="bottom"/>
          </w:tcPr>
          <w:p>
            <w:pPr>
              <w:jc w:val="right"/>
              <w:spacing w:after="0"/>
              <w:rPr>
                <w:sz w:val="20"/>
                <w:szCs w:val="20"/>
                <w:color w:val="auto"/>
              </w:rPr>
            </w:pPr>
            <w:r>
              <w:rPr>
                <w:rFonts w:ascii="Arial" w:cs="Arial" w:eastAsia="Arial" w:hAnsi="Arial"/>
                <w:sz w:val="18"/>
                <w:szCs w:val="18"/>
                <w:color w:val="auto"/>
              </w:rPr>
              <w:t>S/.22,238</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S/.20,024</w:t>
            </w:r>
          </w:p>
        </w:tc>
        <w:tc>
          <w:tcPr>
            <w:tcW w:w="900" w:type="dxa"/>
            <w:vAlign w:val="bottom"/>
          </w:tcPr>
          <w:p>
            <w:pPr>
              <w:jc w:val="right"/>
              <w:spacing w:after="0"/>
              <w:rPr>
                <w:sz w:val="20"/>
                <w:szCs w:val="20"/>
                <w:color w:val="auto"/>
              </w:rPr>
            </w:pPr>
            <w:r>
              <w:rPr>
                <w:rFonts w:ascii="Arial" w:cs="Arial" w:eastAsia="Arial" w:hAnsi="Arial"/>
                <w:sz w:val="18"/>
                <w:szCs w:val="18"/>
                <w:color w:val="auto"/>
              </w:rPr>
              <w:t>S/.19,559</w:t>
            </w:r>
          </w:p>
        </w:tc>
      </w:tr>
      <w:tr>
        <w:trPr>
          <w:trHeight w:val="110"/>
        </w:trPr>
        <w:tc>
          <w:tcPr>
            <w:tcW w:w="36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-1546860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-1264285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December 31, 2003, Banco de Crédito del Perú had a total loan market share of 34.4% (33.8% at September 30, 2003 and 29.7% at December 31, 2002), and 35.8% of deposits (36.4% at September 30, 2003 and 34.0% at December 31, 2002). BCP’s market share in Peruvian mutual funds, through its subsidiary Credifondo, was 50.3% as of December 31, 2003 (49.3% at September 30, 2003 and 51.8% at December 31,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(In % of total and constant S/. Mn)</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31.12.02</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30.09.03</w:t>
            </w:r>
          </w:p>
        </w:tc>
        <w:tc>
          <w:tcPr>
            <w:tcW w:w="102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524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r>
        <w:trPr>
          <w:trHeight w:val="309"/>
        </w:trPr>
        <w:tc>
          <w:tcPr>
            <w:tcW w:w="5240" w:type="dxa"/>
            <w:vAlign w:val="bottom"/>
          </w:tcPr>
          <w:p>
            <w:pPr>
              <w:spacing w:after="0"/>
              <w:rPr>
                <w:sz w:val="20"/>
                <w:szCs w:val="20"/>
                <w:color w:val="auto"/>
              </w:rPr>
            </w:pPr>
            <w:r>
              <w:rPr>
                <w:rFonts w:ascii="Arial" w:cs="Arial" w:eastAsia="Arial" w:hAnsi="Arial"/>
                <w:sz w:val="18"/>
                <w:szCs w:val="18"/>
                <w:color w:val="auto"/>
              </w:rPr>
              <w:t>Corporate</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42.6%</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44.0%</w:t>
            </w: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Middle market</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27.1%</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25.1%</w:t>
            </w: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Retail:</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30.3%</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30.9%</w:t>
            </w: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 small business</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11.1%</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9.2%</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 home mortgage</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11.7%</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13.6%</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 consumer</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4.6%</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 credit cards</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3.4%</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3.5%</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100.0%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Total Loans</w:t>
            </w:r>
          </w:p>
        </w:tc>
        <w:tc>
          <w:tcPr>
            <w:tcW w:w="3800" w:type="dxa"/>
            <w:vAlign w:val="bottom"/>
          </w:tcPr>
          <w:p>
            <w:pPr>
              <w:jc w:val="right"/>
              <w:ind w:right="252"/>
              <w:spacing w:after="0"/>
              <w:rPr>
                <w:sz w:val="20"/>
                <w:szCs w:val="20"/>
                <w:color w:val="auto"/>
              </w:rPr>
            </w:pPr>
            <w:r>
              <w:rPr>
                <w:rFonts w:ascii="Arial" w:cs="Arial" w:eastAsia="Arial" w:hAnsi="Arial"/>
                <w:sz w:val="18"/>
                <w:szCs w:val="18"/>
                <w:color w:val="auto"/>
              </w:rPr>
              <w:t>S/.15,966</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S/.14,424</w:t>
            </w:r>
          </w:p>
        </w:tc>
        <w:tc>
          <w:tcPr>
            <w:tcW w:w="1020" w:type="dxa"/>
            <w:vAlign w:val="bottom"/>
          </w:tcPr>
          <w:p>
            <w:pPr>
              <w:jc w:val="right"/>
              <w:spacing w:after="0"/>
              <w:rPr>
                <w:sz w:val="20"/>
                <w:szCs w:val="20"/>
                <w:color w:val="auto"/>
              </w:rPr>
            </w:pPr>
            <w:r>
              <w:rPr>
                <w:rFonts w:ascii="Arial" w:cs="Arial" w:eastAsia="Arial" w:hAnsi="Arial"/>
                <w:sz w:val="18"/>
                <w:szCs w:val="18"/>
                <w:color w:val="auto"/>
              </w:rPr>
              <w:t>S/.14,204</w:t>
            </w:r>
          </w:p>
        </w:tc>
      </w:tr>
      <w:tr>
        <w:trPr>
          <w:trHeight w:val="110"/>
        </w:trPr>
        <w:tc>
          <w:tcPr>
            <w:tcW w:w="524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quarter, loan balances decreased 1.5%, with corporate loans lower by 4.5% to S/.6,062 million (US$1,751 million), and middle market loans decreasing by 0.3% to S/.3,603 million (US$1,041 million), while retail loans grew 1.7% to S/.4,538 million (US$1,310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vMerge w:val="restart"/>
          </w:tcPr>
          <w:p>
            <w:pPr>
              <w:spacing w:after="0"/>
              <w:rPr>
                <w:sz w:val="20"/>
                <w:szCs w:val="20"/>
                <w:color w:val="auto"/>
              </w:rPr>
            </w:pPr>
            <w:r>
              <w:rPr>
                <w:rFonts w:ascii="Arial" w:cs="Arial" w:eastAsia="Arial" w:hAnsi="Arial"/>
                <w:sz w:val="18"/>
                <w:szCs w:val="18"/>
                <w:color w:val="auto"/>
              </w:rPr>
              <w:t>(% change and constant S/. Mn)</w:t>
            </w:r>
          </w:p>
        </w:tc>
        <w:tc>
          <w:tcPr>
            <w:tcW w:w="2540" w:type="dxa"/>
            <w:vAlign w:val="bottom"/>
            <w:vMerge w:val="restart"/>
          </w:tcPr>
          <w:p>
            <w:pPr>
              <w:jc w:val="right"/>
              <w:ind w:right="292"/>
              <w:spacing w:after="0"/>
              <w:rPr>
                <w:sz w:val="20"/>
                <w:szCs w:val="20"/>
                <w:color w:val="auto"/>
              </w:rPr>
            </w:pPr>
            <w:r>
              <w:rPr>
                <w:rFonts w:ascii="Arial" w:cs="Arial" w:eastAsia="Arial" w:hAnsi="Arial"/>
                <w:sz w:val="18"/>
                <w:szCs w:val="18"/>
                <w:color w:val="auto"/>
              </w:rPr>
              <w:t>31.12.02</w:t>
            </w:r>
          </w:p>
        </w:tc>
        <w:tc>
          <w:tcPr>
            <w:tcW w:w="1360" w:type="dxa"/>
            <w:vAlign w:val="bottom"/>
            <w:vMerge w:val="restart"/>
          </w:tcPr>
          <w:p>
            <w:pPr>
              <w:jc w:val="right"/>
              <w:ind w:right="292"/>
              <w:spacing w:after="0"/>
              <w:rPr>
                <w:sz w:val="20"/>
                <w:szCs w:val="20"/>
                <w:color w:val="auto"/>
              </w:rPr>
            </w:pPr>
            <w:r>
              <w:rPr>
                <w:rFonts w:ascii="Arial" w:cs="Arial" w:eastAsia="Arial" w:hAnsi="Arial"/>
                <w:sz w:val="18"/>
                <w:szCs w:val="18"/>
                <w:color w:val="auto"/>
              </w:rPr>
              <w:t>30.09.03</w:t>
            </w:r>
          </w:p>
        </w:tc>
        <w:tc>
          <w:tcPr>
            <w:tcW w:w="1240" w:type="dxa"/>
            <w:vAlign w:val="bottom"/>
            <w:vMerge w:val="restart"/>
          </w:tcPr>
          <w:p>
            <w:pPr>
              <w:jc w:val="right"/>
              <w:ind w:right="152"/>
              <w:spacing w:after="0"/>
              <w:rPr>
                <w:sz w:val="20"/>
                <w:szCs w:val="20"/>
                <w:color w:val="auto"/>
              </w:rPr>
            </w:pPr>
            <w:r>
              <w:rPr>
                <w:rFonts w:ascii="Arial" w:cs="Arial" w:eastAsia="Arial" w:hAnsi="Arial"/>
                <w:sz w:val="18"/>
                <w:szCs w:val="18"/>
                <w:color w:val="auto"/>
              </w:rPr>
              <w:t>31.12.03</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31.12.03 vs</w:t>
            </w:r>
          </w:p>
        </w:tc>
        <w:tc>
          <w:tcPr>
            <w:tcW w:w="1120" w:type="dxa"/>
            <w:vAlign w:val="bottom"/>
          </w:tcPr>
          <w:p>
            <w:pPr>
              <w:jc w:val="right"/>
              <w:spacing w:after="0"/>
              <w:rPr>
                <w:sz w:val="20"/>
                <w:szCs w:val="20"/>
                <w:color w:val="auto"/>
              </w:rPr>
            </w:pPr>
            <w:r>
              <w:rPr>
                <w:rFonts w:ascii="Arial" w:cs="Arial" w:eastAsia="Arial" w:hAnsi="Arial"/>
                <w:sz w:val="18"/>
                <w:szCs w:val="18"/>
                <w:color w:val="auto"/>
              </w:rPr>
              <w:t>31.12.03 vs</w:t>
            </w:r>
          </w:p>
        </w:tc>
        <w:tc>
          <w:tcPr>
            <w:tcW w:w="0" w:type="dxa"/>
            <w:vAlign w:val="bottom"/>
          </w:tcPr>
          <w:p>
            <w:pPr>
              <w:spacing w:after="0"/>
              <w:rPr>
                <w:sz w:val="1"/>
                <w:szCs w:val="1"/>
                <w:color w:val="auto"/>
              </w:rPr>
            </w:pPr>
          </w:p>
        </w:tc>
      </w:tr>
      <w:tr>
        <w:trPr>
          <w:trHeight w:val="114"/>
        </w:trPr>
        <w:tc>
          <w:tcPr>
            <w:tcW w:w="380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8"/>
                <w:szCs w:val="18"/>
                <w:color w:val="auto"/>
              </w:rPr>
              <w:t>30.09.03</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31.12.02</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00" w:type="dxa"/>
            <w:vAlign w:val="bottom"/>
          </w:tcPr>
          <w:p>
            <w:pPr>
              <w:spacing w:after="0"/>
              <w:rPr>
                <w:sz w:val="20"/>
                <w:szCs w:val="20"/>
                <w:color w:val="auto"/>
              </w:rPr>
            </w:pPr>
            <w:r>
              <w:rPr>
                <w:rFonts w:ascii="Arial" w:cs="Arial" w:eastAsia="Arial" w:hAnsi="Arial"/>
                <w:sz w:val="18"/>
                <w:szCs w:val="18"/>
                <w:color w:val="auto"/>
              </w:rPr>
              <w:t>Small business loans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1,767</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1,322</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1,291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Mortgage loans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1,862</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1,966</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2,046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Consumer loans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670</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667</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695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Credit card loans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539</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509</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505</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-0.8%</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Total Retail</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4,838</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4,464</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4,538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2003 contingent credits were S/.5,821 million (US$1,681 million), 26.3% over the September 2003 figure, mainly due to the inclussion of credit card un-used but approved lines of credit, which were not considered in previous periods, as can be seen in the Other contingent accounts caption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vMerge w:val="restart"/>
          </w:tcPr>
          <w:p>
            <w:pPr>
              <w:spacing w:after="0"/>
              <w:rPr>
                <w:sz w:val="20"/>
                <w:szCs w:val="20"/>
                <w:color w:val="auto"/>
              </w:rPr>
            </w:pPr>
            <w:r>
              <w:rPr>
                <w:rFonts w:ascii="Arial" w:cs="Arial" w:eastAsia="Arial" w:hAnsi="Arial"/>
                <w:sz w:val="18"/>
                <w:szCs w:val="18"/>
                <w:color w:val="auto"/>
              </w:rPr>
              <w:t>(% change and constant S/. Mn)</w:t>
            </w:r>
          </w:p>
        </w:tc>
        <w:tc>
          <w:tcPr>
            <w:tcW w:w="2540" w:type="dxa"/>
            <w:vAlign w:val="bottom"/>
            <w:vMerge w:val="restart"/>
          </w:tcPr>
          <w:p>
            <w:pPr>
              <w:jc w:val="right"/>
              <w:ind w:right="292"/>
              <w:spacing w:after="0"/>
              <w:rPr>
                <w:sz w:val="20"/>
                <w:szCs w:val="20"/>
                <w:color w:val="auto"/>
              </w:rPr>
            </w:pPr>
            <w:r>
              <w:rPr>
                <w:rFonts w:ascii="Arial" w:cs="Arial" w:eastAsia="Arial" w:hAnsi="Arial"/>
                <w:sz w:val="18"/>
                <w:szCs w:val="18"/>
                <w:color w:val="auto"/>
              </w:rPr>
              <w:t>31.12.02</w:t>
            </w:r>
          </w:p>
        </w:tc>
        <w:tc>
          <w:tcPr>
            <w:tcW w:w="1360" w:type="dxa"/>
            <w:vAlign w:val="bottom"/>
            <w:vMerge w:val="restart"/>
          </w:tcPr>
          <w:p>
            <w:pPr>
              <w:jc w:val="right"/>
              <w:ind w:right="292"/>
              <w:spacing w:after="0"/>
              <w:rPr>
                <w:sz w:val="20"/>
                <w:szCs w:val="20"/>
                <w:color w:val="auto"/>
              </w:rPr>
            </w:pPr>
            <w:r>
              <w:rPr>
                <w:rFonts w:ascii="Arial" w:cs="Arial" w:eastAsia="Arial" w:hAnsi="Arial"/>
                <w:sz w:val="18"/>
                <w:szCs w:val="18"/>
                <w:color w:val="auto"/>
              </w:rPr>
              <w:t>30.09.03</w:t>
            </w:r>
          </w:p>
        </w:tc>
        <w:tc>
          <w:tcPr>
            <w:tcW w:w="1240" w:type="dxa"/>
            <w:vAlign w:val="bottom"/>
            <w:vMerge w:val="restart"/>
          </w:tcPr>
          <w:p>
            <w:pPr>
              <w:jc w:val="right"/>
              <w:ind w:right="152"/>
              <w:spacing w:after="0"/>
              <w:rPr>
                <w:sz w:val="20"/>
                <w:szCs w:val="20"/>
                <w:color w:val="auto"/>
              </w:rPr>
            </w:pPr>
            <w:r>
              <w:rPr>
                <w:rFonts w:ascii="Arial" w:cs="Arial" w:eastAsia="Arial" w:hAnsi="Arial"/>
                <w:sz w:val="18"/>
                <w:szCs w:val="18"/>
                <w:color w:val="auto"/>
              </w:rPr>
              <w:t>31.12.03</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31.12.03 vs</w:t>
            </w:r>
          </w:p>
        </w:tc>
        <w:tc>
          <w:tcPr>
            <w:tcW w:w="1120" w:type="dxa"/>
            <w:vAlign w:val="bottom"/>
          </w:tcPr>
          <w:p>
            <w:pPr>
              <w:jc w:val="right"/>
              <w:spacing w:after="0"/>
              <w:rPr>
                <w:sz w:val="20"/>
                <w:szCs w:val="20"/>
                <w:color w:val="auto"/>
              </w:rPr>
            </w:pPr>
            <w:r>
              <w:rPr>
                <w:rFonts w:ascii="Arial" w:cs="Arial" w:eastAsia="Arial" w:hAnsi="Arial"/>
                <w:sz w:val="18"/>
                <w:szCs w:val="18"/>
                <w:color w:val="auto"/>
              </w:rPr>
              <w:t>31.12.03 vs</w:t>
            </w:r>
          </w:p>
        </w:tc>
        <w:tc>
          <w:tcPr>
            <w:tcW w:w="0" w:type="dxa"/>
            <w:vAlign w:val="bottom"/>
          </w:tcPr>
          <w:p>
            <w:pPr>
              <w:spacing w:after="0"/>
              <w:rPr>
                <w:sz w:val="1"/>
                <w:szCs w:val="1"/>
                <w:color w:val="auto"/>
              </w:rPr>
            </w:pPr>
          </w:p>
        </w:tc>
      </w:tr>
      <w:tr>
        <w:trPr>
          <w:trHeight w:val="114"/>
        </w:trPr>
        <w:tc>
          <w:tcPr>
            <w:tcW w:w="380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8"/>
                <w:szCs w:val="18"/>
                <w:color w:val="auto"/>
              </w:rPr>
              <w:t>30.09.03</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31.12.02</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0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2,430</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2,255</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2,243</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-0.5%</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 Letters of Credit</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387</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398</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461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16.0%</w:t>
            </w: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 Acceptances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148</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177</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171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1,604</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1,091</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986</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-9.6%</w:t>
            </w: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1,005</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688</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1,960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184.7%</w:t>
            </w:r>
          </w:p>
        </w:tc>
        <w:tc>
          <w:tcPr>
            <w:tcW w:w="11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Total Contingent Credits</w:t>
            </w: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5,575</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4,609</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5,821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26.3%</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sectPr>
      </w:pPr>
    </w:p>
    <w:bookmarkStart w:id="9" w:name="page10"/>
    <w:bookmarkEnd w:id="9"/>
    <w:p>
      <w:pPr>
        <w:jc w:val="both"/>
        <w:ind w:right="20"/>
        <w:spacing w:after="0" w:line="332" w:lineRule="auto"/>
        <w:rPr>
          <w:sz w:val="20"/>
          <w:szCs w:val="20"/>
          <w:color w:val="auto"/>
        </w:rPr>
      </w:pPr>
      <w:r>
        <w:rPr>
          <w:rFonts w:ascii="Arial" w:cs="Arial" w:eastAsia="Arial" w:hAnsi="Arial"/>
          <w:sz w:val="16"/>
          <w:szCs w:val="16"/>
          <w:color w:val="auto"/>
        </w:rPr>
        <w:t>Third party funds managed by several subsidiaries of BCP amounted to S/.3,582 million (US$1,034 million) as of December 31, 2003, increasing 25.5% from S/.2,855 million (US$824 million) at year-end 2002, mainly because mutual funds had a better returns compared to deposit interest rates paid by banks.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2003 loan quality improved significantly. Consolidated past due loans amounted to S/.862 million (US$248.8 million) at December 31, 2003, decreasing 26.5% from the balance of S/.1,173 million (US$338.7 million) as of the end of September 2003, and are also 36.9% below past due loans at year-end 2002.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6.1% at December 31, 2003, improving during this quarter compared to 8.1% at September 2003. The ratio of past due, refinanced and restructured loans as a percentage of total loans also decrease from 13.6% to 11.5%, from the third to the fourth quarter 2003, respectively.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year 2003, refinanced loans amounted to S/.776.2 million (US$224.2 million), lower than the balance at December 2002 that was S/.914.8 million (US$264.2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fourth quarter 2003, outstanding balances of loan loss provisions totaled S/.1,143.6 million (US$330.2 million), decreasing 17.2% compared to the preceding quarter mainly due to charge-offs. Nevertheless, the coverage ratio of loan provisions to past due loans improve from 117.8% at the end of the preceding third quarter, to 132.7% at December 2003.</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total provisions outstanding at the end of the current quarter, S/.202.8 million (US$58.6 million) correspond to generic provisions assigned to loans in the Normal (A) risk category, decreasing from the balance at September 30, 2003 of S/.221.1 million (US$63.9 million).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Loans believed to be unrecoverable, fully provisioned in prior periods, were written-off during the fourth quarter 2003 amounting to S/.244.4 million (US$70.6 million), of which approximately 8% were related to consumer and mortgage loans and 2% to agricultural loans under the RFA program. This compares to charge-offs in the third quarter of 2003 of S/.159.6 million (US$46.1 million), and S/.123.4 million (US$35.7 million) in the year-ago fourth quarter.</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Loans classified as Substandard (i.e., Deficient, Doubtful and Loss) were 15.3% of the loan portfolio in December 2003, decreasing from 17.7% that resulted in both September 2003 and also in December 2002.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 of Total loans and S/.Mn const.)</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31.12.02</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30.09.03</w:t>
            </w:r>
          </w:p>
        </w:tc>
        <w:tc>
          <w:tcPr>
            <w:tcW w:w="118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492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A: Normal</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72.3%</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72.8%</w:t>
            </w: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 Potential Problem</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9.5%</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 Deficient</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7.3%</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6.0%</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 Doubtful</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5.3%</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6.5%</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 Loss</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5.2%</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Total Loans</w:t>
            </w:r>
          </w:p>
        </w:tc>
        <w:tc>
          <w:tcPr>
            <w:tcW w:w="3600" w:type="dxa"/>
            <w:vAlign w:val="bottom"/>
          </w:tcPr>
          <w:p>
            <w:pPr>
              <w:jc w:val="right"/>
              <w:ind w:right="432"/>
              <w:spacing w:after="0"/>
              <w:rPr>
                <w:sz w:val="20"/>
                <w:szCs w:val="20"/>
                <w:color w:val="auto"/>
              </w:rPr>
            </w:pPr>
            <w:r>
              <w:rPr>
                <w:rFonts w:ascii="Arial" w:cs="Arial" w:eastAsia="Arial" w:hAnsi="Arial"/>
                <w:sz w:val="18"/>
                <w:szCs w:val="18"/>
                <w:color w:val="auto"/>
              </w:rPr>
              <w:t>S/.15,966</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S/.14,424</w:t>
            </w:r>
          </w:p>
        </w:tc>
        <w:tc>
          <w:tcPr>
            <w:tcW w:w="1180" w:type="dxa"/>
            <w:vAlign w:val="bottom"/>
          </w:tcPr>
          <w:p>
            <w:pPr>
              <w:jc w:val="right"/>
              <w:spacing w:after="0"/>
              <w:rPr>
                <w:sz w:val="20"/>
                <w:szCs w:val="20"/>
                <w:color w:val="auto"/>
              </w:rPr>
            </w:pPr>
            <w:r>
              <w:rPr>
                <w:rFonts w:ascii="Arial" w:cs="Arial" w:eastAsia="Arial" w:hAnsi="Arial"/>
                <w:sz w:val="18"/>
                <w:szCs w:val="18"/>
                <w:color w:val="auto"/>
              </w:rPr>
              <w:t>S/.14,204</w:t>
            </w:r>
          </w:p>
        </w:tc>
      </w:tr>
      <w:tr>
        <w:trPr>
          <w:trHeight w:val="110"/>
        </w:trPr>
        <w:tc>
          <w:tcPr>
            <w:tcW w:w="492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-1127125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fourth quarter 2003 amounted to S/.46.3 million (US$13.4 million), lower than S/.70.4 million (US$20.3 million) in the year-ago period, mainly due to improved loan quality. Provision expense in the third quarter of 2003 was S/.79.4 million (US$22.9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the fourth quarter of 2003, BCP’s unconsolidated ratio of risk-weighted assets to regulatory capital was 9.1 to 1.0 (10.9%), while the corresponding consolidated ratio was 7.8 to 1.0 (12.9%). Risk-weighted assets include S/.1,227 million (US$354.3 million) of market-risk exposure whose coverage required S/.111.5 million (US$32.2 million) of regulatory capital at December 31, 2003. Peruvian regulations limit risk-weighted assets to a ratio of 11.0 to 1.0 (9.1%).</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2003, BCP’s consolidated “regulatory capital” was S/.2,182 million (US$630.0 million), increasing compared to S/.2,152 million (US$621.4 million) in the preceding quarter mostly due to higher subordinated debt. Regulatory capital included S/.187.7 million ($54.2 million) in subordinated debt in the current period, which increased from S/.154.5 million (US$44.6 million) in September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19"/>
                <w:szCs w:val="19"/>
                <w:color w:val="auto"/>
              </w:rPr>
            </w:pPr>
          </w:p>
        </w:tc>
        <w:tc>
          <w:tcPr>
            <w:tcW w:w="4800" w:type="dxa"/>
            <w:vAlign w:val="bottom"/>
            <w:gridSpan w:val="2"/>
          </w:tcPr>
          <w:p>
            <w:pPr>
              <w:jc w:val="right"/>
              <w:ind w:right="732"/>
              <w:spacing w:after="0"/>
              <w:rPr>
                <w:sz w:val="20"/>
                <w:szCs w:val="20"/>
                <w:color w:val="auto"/>
              </w:rPr>
            </w:pPr>
            <w:r>
              <w:rPr>
                <w:rFonts w:ascii="Arial" w:cs="Arial" w:eastAsia="Arial" w:hAnsi="Arial"/>
                <w:sz w:val="18"/>
                <w:szCs w:val="18"/>
                <w:color w:val="auto"/>
              </w:rPr>
              <w:t>BCP unconsolidated</w:t>
            </w:r>
          </w:p>
        </w:tc>
        <w:tc>
          <w:tcPr>
            <w:tcW w:w="2560" w:type="dxa"/>
            <w:vAlign w:val="bottom"/>
            <w:gridSpan w:val="2"/>
          </w:tcPr>
          <w:p>
            <w:pPr>
              <w:jc w:val="right"/>
              <w:ind w:right="652"/>
              <w:spacing w:after="0"/>
              <w:rPr>
                <w:sz w:val="20"/>
                <w:szCs w:val="20"/>
                <w:color w:val="auto"/>
              </w:rPr>
            </w:pPr>
            <w:r>
              <w:rPr>
                <w:rFonts w:ascii="Arial" w:cs="Arial" w:eastAsia="Arial" w:hAnsi="Arial"/>
                <w:sz w:val="18"/>
                <w:szCs w:val="18"/>
                <w:color w:val="auto"/>
              </w:rPr>
              <w:t>BCP consolidated</w:t>
            </w:r>
          </w:p>
        </w:tc>
      </w:tr>
      <w:tr>
        <w:trPr>
          <w:trHeight w:val="110"/>
        </w:trPr>
        <w:tc>
          <w:tcPr>
            <w:tcW w:w="40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16"/>
        </w:trPr>
        <w:tc>
          <w:tcPr>
            <w:tcW w:w="4060" w:type="dxa"/>
            <w:vAlign w:val="bottom"/>
          </w:tcPr>
          <w:p>
            <w:pPr>
              <w:spacing w:after="0"/>
              <w:rPr>
                <w:sz w:val="20"/>
                <w:szCs w:val="20"/>
                <w:color w:val="auto"/>
              </w:rPr>
            </w:pPr>
            <w:r>
              <w:rPr>
                <w:rFonts w:ascii="Arial" w:cs="Arial" w:eastAsia="Arial" w:hAnsi="Arial"/>
                <w:sz w:val="18"/>
                <w:szCs w:val="18"/>
                <w:color w:val="auto"/>
              </w:rPr>
              <w:t>(In constant S/. Mn.)</w:t>
            </w:r>
          </w:p>
        </w:tc>
        <w:tc>
          <w:tcPr>
            <w:tcW w:w="3440" w:type="dxa"/>
            <w:vAlign w:val="bottom"/>
          </w:tcPr>
          <w:p>
            <w:pPr>
              <w:jc w:val="right"/>
              <w:ind w:right="492"/>
              <w:spacing w:after="0"/>
              <w:rPr>
                <w:sz w:val="20"/>
                <w:szCs w:val="20"/>
                <w:color w:val="auto"/>
              </w:rPr>
            </w:pPr>
            <w:r>
              <w:rPr>
                <w:rFonts w:ascii="Arial" w:cs="Arial" w:eastAsia="Arial" w:hAnsi="Arial"/>
                <w:sz w:val="18"/>
                <w:szCs w:val="18"/>
                <w:color w:val="auto"/>
              </w:rPr>
              <w:t>31.12.02</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31.12.02</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31.12.03</w:t>
            </w:r>
          </w:p>
        </w:tc>
      </w:tr>
      <w:tr>
        <w:trPr>
          <w:trHeight w:val="110"/>
        </w:trPr>
        <w:tc>
          <w:tcPr>
            <w:tcW w:w="40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4060" w:type="dxa"/>
            <w:vAlign w:val="bottom"/>
          </w:tcPr>
          <w:p>
            <w:pPr>
              <w:spacing w:after="0"/>
              <w:rPr>
                <w:sz w:val="20"/>
                <w:szCs w:val="20"/>
                <w:color w:val="auto"/>
              </w:rPr>
            </w:pPr>
            <w:r>
              <w:rPr>
                <w:rFonts w:ascii="Arial" w:cs="Arial" w:eastAsia="Arial" w:hAnsi="Arial"/>
                <w:sz w:val="18"/>
                <w:szCs w:val="18"/>
                <w:color w:val="auto"/>
              </w:rPr>
              <w:t>Regulatory capital</w:t>
            </w:r>
          </w:p>
        </w:tc>
        <w:tc>
          <w:tcPr>
            <w:tcW w:w="3440" w:type="dxa"/>
            <w:vAlign w:val="bottom"/>
          </w:tcPr>
          <w:p>
            <w:pPr>
              <w:jc w:val="right"/>
              <w:ind w:right="132"/>
              <w:spacing w:after="0"/>
              <w:rPr>
                <w:sz w:val="20"/>
                <w:szCs w:val="20"/>
                <w:color w:val="auto"/>
              </w:rPr>
            </w:pPr>
            <w:r>
              <w:rPr>
                <w:rFonts w:ascii="Arial" w:cs="Arial" w:eastAsia="Arial" w:hAnsi="Arial"/>
                <w:sz w:val="18"/>
                <w:szCs w:val="18"/>
                <w:color w:val="auto"/>
              </w:rPr>
              <w:t>1,437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1,632</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2,301</w:t>
            </w:r>
          </w:p>
        </w:tc>
        <w:tc>
          <w:tcPr>
            <w:tcW w:w="118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Risk weighted assets</w:t>
            </w:r>
          </w:p>
        </w:tc>
        <w:tc>
          <w:tcPr>
            <w:tcW w:w="3440" w:type="dxa"/>
            <w:vAlign w:val="bottom"/>
          </w:tcPr>
          <w:p>
            <w:pPr>
              <w:jc w:val="right"/>
              <w:ind w:right="132"/>
              <w:spacing w:after="0"/>
              <w:rPr>
                <w:sz w:val="20"/>
                <w:szCs w:val="20"/>
                <w:color w:val="auto"/>
              </w:rPr>
            </w:pPr>
            <w:r>
              <w:rPr>
                <w:rFonts w:ascii="Arial" w:cs="Arial" w:eastAsia="Arial" w:hAnsi="Arial"/>
                <w:sz w:val="18"/>
                <w:szCs w:val="18"/>
                <w:color w:val="auto"/>
              </w:rPr>
              <w:t>13,841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14,915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18,341</w:t>
            </w:r>
          </w:p>
        </w:tc>
        <w:tc>
          <w:tcPr>
            <w:tcW w:w="1180" w:type="dxa"/>
            <w:vAlign w:val="bottom"/>
          </w:tcPr>
          <w:p>
            <w:pPr>
              <w:jc w:val="right"/>
              <w:spacing w:after="0"/>
              <w:rPr>
                <w:sz w:val="20"/>
                <w:szCs w:val="20"/>
                <w:color w:val="auto"/>
              </w:rPr>
            </w:pPr>
            <w:r>
              <w:rPr>
                <w:rFonts w:ascii="Arial" w:cs="Arial" w:eastAsia="Arial" w:hAnsi="Arial"/>
                <w:sz w:val="18"/>
                <w:szCs w:val="18"/>
                <w:color w:val="auto"/>
              </w:rPr>
              <w:t>16,984</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440" w:type="dxa"/>
            <w:vAlign w:val="bottom"/>
          </w:tcPr>
          <w:p>
            <w:pPr>
              <w:jc w:val="right"/>
              <w:ind w:right="92"/>
              <w:spacing w:after="0"/>
              <w:rPr>
                <w:sz w:val="20"/>
                <w:szCs w:val="20"/>
                <w:color w:val="auto"/>
              </w:rPr>
            </w:pPr>
            <w:r>
              <w:rPr>
                <w:rFonts w:ascii="Arial" w:cs="Arial" w:eastAsia="Arial" w:hAnsi="Arial"/>
                <w:sz w:val="18"/>
                <w:szCs w:val="18"/>
                <w:color w:val="auto"/>
              </w:rPr>
              <w:t>9.6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44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110"/>
        </w:trPr>
        <w:tc>
          <w:tcPr>
            <w:tcW w:w="40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-1135380</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Consolidated net income for the year ended December 31, 2003 was US$10.9 million, higher than US$5.8 million in 2002. Net income in the fourth quarter 2003 was US$3.1 million, compared to US$0.2 million in the same year-ago period. Net income in the full-year and the fourth quarter of 2003 increase compared to the same periods of 2002, mainly due to higher returns on the investment portfolio and lower operating expense.</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US$3.3 million in the fourth quarter of 2003, lower than US$3.9 million in the same quarter of last year. Net interest margin as a percentage of interest earning assets, without considering dividends, was 2.0% during fourth quarter 2003, decreasing from the 2.3% margin in the preceding third quarter, and also compared to 2.7% in the fourth quarter 2002. The margin decreased during the current quarter mainly due to the inclusion of outstanding bonds issued by BCOL. The margin was 3.0% in full-year 2002, but declined to 2.3% in 2003.</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fourth quarter of 2003 charges against income for market risk provisions amounted to US$0.4 million, lower than US$1.9 million charged in the preceding third quarter, and also compared to US$2.4 million provisioned in the year-ago period. In the current quarter provisions for credit risks amounted to US$1.4 million, while there were no charges in the preceding period, and US$0.6 million was expensed in the prior year fourth quarter.</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improved to US$2.9 million in the fourth quarter of 2003, from US$1.2 million in the year-ago quarter. Compared to the prior year fourth quarter, income increases mainly due to higher realized gains on securities transactions, which improve from a loss of US$0.6 million in fourth quarter 2002, to a US$1.6 million net gain in the fourth quarter of 2003. Fee income remained unchanged at US$0.9 million in the current period, compared to the year-ago quarter.</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loan portfolio, net of provisions, was US$152.4 million as of December 31, 2003, remaining almost unchanged during the quarter, but decreased from loan balances of US$160.5 million at December 2002.</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marketable securities portfolio was US$430.1 million at December 2003, increasing over US$423.2 million last September 2003, and also from US$313.8 million at the end of 2002.</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US$629.4 million at December 31, 2003, increasing from the balance of US$584.5 million at the end of the preceding third quarter, and also compared to US$544.3 million at the end of December 2002.</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were US$664.1 million at December 31, 2003, 11.1% higher than US$598.0 million at the end of September 2003, and grows 21.0% compared to US$549.1 million at year-end 2002. The increase is principally due to the introduction of new structured products and funds under management with higher yields than interest paid on bank deposits.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equity reached US$112.9 million at the end of December 2003, lower than US$129.5 million at September 2003, mainly due to the payment of US$21.7 million in dividends to Credicorp. Nevertheless, current net equity remains similar to the balance of US$110.3 million at December 2002. Compared to the year-ago period, the equity account of reserves for market value of investments increases from a balance of unrealized losses of US$7.4 million at the end of December 2002, to unrealized gains of US$11.0 million at the end of the current quarter, due to improved values in capital markets of the available for sale proprietary portfolio. The loan portfolio had no past dues.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decrease to 1.0%, annualized, in the fourth quarter of 2003 compared to the 1.2% ratio during the same period in 2002. This ratio declines to 0.6% in the fourth quarter of 2003, when funds under management are included within total assets, improving from 0.7% in the prior year quarter.</w:t>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year ended December 31, 2003 a consolidated net income of S/.38.4 million (US$11.1 million), 5.7% over net income of S/.36.3 million (US$10.5 million) in 2002. A net loss of S/.6.8 million (US$1.9 million) resulted in the fourth quarter of 2003, compared to net profits of S/.1.0 million (US$0.3 million) in the last quarter of 2002.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in year 2003 increase over profits in the prior year mainly because of higher premiums and gains on the sale of long-term investments, which offset increased reserves. Compared to net profits in the last quarter of 2002, net losses in the fourth quarter 2003 resulted mainly from increased reserves, higher profit sharing bonuses and minority interest deductions.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Total premiums and EPS health fees in the fourth quarter of 2003 were S/.211.7 million (US$61.1 million), 5.2% over premiums of S/.201.2 million (US$58.1 million) in the year-ago quarter. Total premiums and fees in full-year 2003 were S/.1,001.7 million (US$289.2 million), increasing 14.3% compared to 2002. Net premiums earned and health fees, net of reinsured premiums and reserves, were S/.105.9 million (US$30.6 million) in fourth quarter 2003, 14.0% below premiums in the prior year quarter, while those for total 2003 reached S/.482.7 million (US$139.4 million), decreasing 2.0% compared to full-year 2002. Net premiums earned decreased mainly due to higher reserves, while health fees, net of reserves, also declined.</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Additions to technical reserves for premiums grew by S/.44.6 million (US$12.9 million) in the fourth quarter of 2003, higher than additions of S/.29.1 million (US$8.4 million) in the same quarter of last year. Most of reserves in the fourth quarter of 2003 were established by Pacífico Vida, for its life annuities and life insurance lines, and by PPS following new regulations requiring a non-recurrent adjustment for earthquake risks amounting to S/.19.4 million (US$5.6 million). In the full-year 2003 technical reserves increased 88.3% to S/.226.8 million (US$65.5 million).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Comparing cumulative results for full-years 2003 and 2002, consolidated total premiums and fees consisted of: i) general insurance lines, that amounted to 57.5% of total premiums and increased 5.4%; ii) fees at Pacífico Salud, that were 8.2% of total premiums and decreased 7.0%; and, iii) premiums by Pacífico Vida, which amounted to 34.2% of the total and grew 42.3%.</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through December 31, 2003, growth of Pacífico Salud and the health and medical assistance insurance line (18.4% of total premiums) was 3.5%; fire insurance lines (23.5% of total premiums) increased 18.6%; while the automobile insurance line (5.6% of total premiums) decreased 10.3%. Through December 2003, pension fund benefits insurance (6.8% of total premiums) decreased 4.6%, while group life insurance and individual life insurance policies (11.0% of total premiums) grew 16.8%, and life annuities (11.5% of total premiums) increased 136.6%, compared to the prior year.</w:t>
      </w:r>
    </w:p>
    <w:p>
      <w:pPr>
        <w:spacing w:after="0" w:line="16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Net consolidated underwriting results was S/.6.2 million (US$1.8 million) in the fourth quarter of 2003, decreasing from S/.14.0 million (US$4.1 million) in the prior year quarter, mainly due to the above mentioned increased reserves. The ratio of net underwriting results (net premiums and health fees less reserves and claims as a percentage of total premiums) was 2.9% in the fourth quarter of 2003, compared to the 7.0% ratio in the prior year quarter.</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insurance claims and health services costs incurred in the fourth quarter of 2003 were S/.80.3 million (US$23.2 million), 10.9% lower than claims in the same quarter of 2002. The net loss ratio (net claims to net premiums) decreases to 53.4% in the current quarter from 59.2% in fourth quarter 2002, mainly due to higher premiums, and continued improvements in the fire, auto and health insurance lines. In the full-year 2003, the net loss ratio decreases to 48.7%, from 58.6% in 2002, but continues high in pension fund insurance (114.6%), health (77.8%) and in Pacífico Salud (90.1%).</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combined ratio (the sum of net claims and health services, general expenses and commissions, as a percentage of net earned premiums and health fees, without including Pacifico Vida) worsened from 104.1% in the fourth quarter of 2002 to 126.8% in the current quarter, mainly because of the higher provisions made for earthquake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over net premiums increased from 20.5% to 21.6% comparing the fourth quarters of 2002 and 2003,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S/.1,317 million (US$380.4 million) at the end of the current quarter, increasing 26.1%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2003, total assets were S/.1,769 million (US$510.9 million) increasing 22.4% compared to the year-ago balance. At the end of the current period net equity amounted to S/.375.9 million (US$108.6 million) 10.2% over net equity at December 2002.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November 30, 2003, had total premiums of US$799.8 million, 29.8% over premiums in the same period in 2002, growing mainly due to sales of SOAT and life annuities. For the eleven months of 2003, PPS's market share in total premiums was 30.2% (32.1% in the year-ago period), with the share in general risks and health lines being 33.0% (34.0% in 2002) and in life insurance and pension fund benefits lines of 26.4% (28.6% in the same period of 2002).</w:t>
      </w:r>
    </w:p>
    <w:p>
      <w:pPr>
        <w:sectPr>
          <w:pgSz w:w="11900" w:h="16838" w:orient="portrait"/>
          <w:cols w:equalWidth="0" w:num="1">
            <w:col w:w="11420"/>
          </w:cols>
          <w:pgMar w:left="240" w:top="13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2503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gridSpan w:val="3"/>
          </w:tcPr>
          <w:p>
            <w:pPr>
              <w:ind w:left="1500"/>
              <w:spacing w:after="0"/>
              <w:rPr>
                <w:sz w:val="20"/>
                <w:szCs w:val="20"/>
                <w:color w:val="auto"/>
              </w:rPr>
            </w:pPr>
            <w:r>
              <w:rPr>
                <w:rFonts w:ascii="Arial" w:cs="Arial" w:eastAsia="Arial" w:hAnsi="Arial"/>
                <w:sz w:val="18"/>
                <w:szCs w:val="18"/>
                <w:color w:val="auto"/>
              </w:rPr>
              <w:t>As of</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580" w:type="dxa"/>
            <w:vAlign w:val="bottom"/>
          </w:tcPr>
          <w:p>
            <w:pPr>
              <w:spacing w:after="0"/>
              <w:rPr>
                <w:sz w:val="20"/>
                <w:szCs w:val="20"/>
                <w:color w:val="auto"/>
              </w:rPr>
            </w:pPr>
            <w:r>
              <w:rPr>
                <w:rFonts w:ascii="Arial" w:cs="Arial" w:eastAsia="Arial" w:hAnsi="Arial"/>
                <w:sz w:val="18"/>
                <w:szCs w:val="18"/>
                <w:color w:val="auto"/>
              </w:rPr>
              <w:t>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Sep. 30, 2002</w:t>
            </w:r>
          </w:p>
        </w:tc>
        <w:tc>
          <w:tcPr>
            <w:tcW w:w="40" w:type="dxa"/>
            <w:vAlign w:val="bottom"/>
          </w:tcPr>
          <w:p>
            <w:pPr>
              <w:spacing w:after="0"/>
              <w:rPr>
                <w:sz w:val="24"/>
                <w:szCs w:val="24"/>
                <w:color w:val="auto"/>
              </w:rPr>
            </w:pPr>
          </w:p>
        </w:tc>
        <w:tc>
          <w:tcPr>
            <w:tcW w:w="2140" w:type="dxa"/>
            <w:vAlign w:val="bottom"/>
            <w:gridSpan w:val="3"/>
          </w:tcPr>
          <w:p>
            <w:pPr>
              <w:ind w:left="680"/>
              <w:spacing w:after="0"/>
              <w:rPr>
                <w:sz w:val="20"/>
                <w:szCs w:val="20"/>
                <w:color w:val="auto"/>
              </w:rPr>
            </w:pPr>
            <w:r>
              <w:rPr>
                <w:rFonts w:ascii="Arial" w:cs="Arial" w:eastAsia="Arial" w:hAnsi="Arial"/>
                <w:sz w:val="18"/>
                <w:szCs w:val="18"/>
                <w:color w:val="auto"/>
              </w:rPr>
              <w:t>Dec. 31, 2002</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Sep. 30, 2003</w:t>
            </w:r>
          </w:p>
        </w:tc>
        <w:tc>
          <w:tcPr>
            <w:tcW w:w="1660" w:type="dxa"/>
            <w:vAlign w:val="bottom"/>
          </w:tcPr>
          <w:p>
            <w:pPr>
              <w:jc w:val="right"/>
              <w:spacing w:after="0"/>
              <w:rPr>
                <w:sz w:val="20"/>
                <w:szCs w:val="20"/>
                <w:color w:val="auto"/>
              </w:rPr>
            </w:pPr>
            <w:r>
              <w:rPr>
                <w:rFonts w:ascii="Arial" w:cs="Arial" w:eastAsia="Arial" w:hAnsi="Arial"/>
                <w:sz w:val="18"/>
                <w:szCs w:val="18"/>
                <w:color w:val="auto"/>
              </w:rPr>
              <w:t>Dec. 31, 2003</w:t>
            </w:r>
          </w:p>
        </w:tc>
        <w:tc>
          <w:tcPr>
            <w:tcW w:w="0" w:type="dxa"/>
            <w:vAlign w:val="bottom"/>
          </w:tcPr>
          <w:p>
            <w:pPr>
              <w:spacing w:after="0"/>
              <w:rPr>
                <w:sz w:val="1"/>
                <w:szCs w:val="1"/>
                <w:color w:val="auto"/>
              </w:rPr>
            </w:pPr>
          </w:p>
        </w:tc>
      </w:tr>
      <w:tr>
        <w:trPr>
          <w:trHeight w:val="164"/>
        </w:trPr>
        <w:tc>
          <w:tcPr>
            <w:tcW w:w="4580" w:type="dxa"/>
            <w:vAlign w:val="bottom"/>
            <w:vMerge w:val="restart"/>
          </w:tcPr>
          <w:p>
            <w:pPr>
              <w:spacing w:after="0"/>
              <w:rPr>
                <w:sz w:val="20"/>
                <w:szCs w:val="20"/>
                <w:color w:val="auto"/>
              </w:rPr>
            </w:pPr>
            <w:r>
              <w:rPr>
                <w:rFonts w:ascii="Arial" w:cs="Arial" w:eastAsia="Arial" w:hAnsi="Arial"/>
                <w:sz w:val="18"/>
                <w:szCs w:val="18"/>
                <w:color w:val="auto"/>
              </w:rPr>
              <w:t>CASH AND DUE FROM BANKS</w:t>
            </w: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5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Cash and non interest bearing deposits in banks</w:t>
            </w:r>
          </w:p>
        </w:tc>
        <w:tc>
          <w:tcPr>
            <w:tcW w:w="1660" w:type="dxa"/>
            <w:vAlign w:val="bottom"/>
          </w:tcPr>
          <w:p>
            <w:pPr>
              <w:jc w:val="right"/>
              <w:spacing w:after="0"/>
              <w:rPr>
                <w:sz w:val="20"/>
                <w:szCs w:val="20"/>
                <w:color w:val="auto"/>
              </w:rPr>
            </w:pPr>
            <w:r>
              <w:rPr>
                <w:rFonts w:ascii="Arial" w:cs="Arial" w:eastAsia="Arial" w:hAnsi="Arial"/>
                <w:sz w:val="18"/>
                <w:szCs w:val="18"/>
                <w:color w:val="auto"/>
              </w:rPr>
              <w:t>251,670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314,404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251,491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240,294</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Interest bearing deposits in banks</w:t>
            </w:r>
          </w:p>
        </w:tc>
        <w:tc>
          <w:tcPr>
            <w:tcW w:w="1660" w:type="dxa"/>
            <w:vAlign w:val="bottom"/>
          </w:tcPr>
          <w:p>
            <w:pPr>
              <w:jc w:val="right"/>
              <w:spacing w:after="0"/>
              <w:rPr>
                <w:sz w:val="20"/>
                <w:szCs w:val="20"/>
                <w:color w:val="auto"/>
              </w:rPr>
            </w:pPr>
            <w:r>
              <w:rPr>
                <w:rFonts w:ascii="Arial" w:cs="Arial" w:eastAsia="Arial" w:hAnsi="Arial"/>
                <w:sz w:val="18"/>
                <w:szCs w:val="18"/>
                <w:color w:val="auto"/>
              </w:rPr>
              <w:t>1,768,854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1,867,987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1,488,942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1,372,436</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2,020,524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2,182,391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1,740,433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1,612,730</w:t>
            </w:r>
          </w:p>
        </w:tc>
        <w:tc>
          <w:tcPr>
            <w:tcW w:w="0" w:type="dxa"/>
            <w:vAlign w:val="bottom"/>
          </w:tcPr>
          <w:p>
            <w:pPr>
              <w:spacing w:after="0"/>
              <w:rPr>
                <w:sz w:val="1"/>
                <w:szCs w:val="1"/>
                <w:color w:val="auto"/>
              </w:rPr>
            </w:pPr>
          </w:p>
        </w:tc>
      </w:tr>
      <w:tr>
        <w:trPr>
          <w:trHeight w:val="473"/>
        </w:trPr>
        <w:tc>
          <w:tcPr>
            <w:tcW w:w="4580" w:type="dxa"/>
            <w:vAlign w:val="bottom"/>
          </w:tcPr>
          <w:p>
            <w:pPr>
              <w:spacing w:after="0"/>
              <w:rPr>
                <w:sz w:val="20"/>
                <w:szCs w:val="20"/>
                <w:color w:val="auto"/>
              </w:rPr>
            </w:pPr>
            <w:r>
              <w:rPr>
                <w:rFonts w:ascii="Arial" w:cs="Arial" w:eastAsia="Arial" w:hAnsi="Arial"/>
                <w:sz w:val="18"/>
                <w:szCs w:val="18"/>
                <w:color w:val="auto"/>
              </w:rPr>
              <w:t>MARKETABLE SECURITIES, net</w:t>
            </w:r>
          </w:p>
        </w:tc>
        <w:tc>
          <w:tcPr>
            <w:tcW w:w="1660" w:type="dxa"/>
            <w:vAlign w:val="bottom"/>
          </w:tcPr>
          <w:p>
            <w:pPr>
              <w:jc w:val="right"/>
              <w:spacing w:after="0"/>
              <w:rPr>
                <w:sz w:val="20"/>
                <w:szCs w:val="20"/>
                <w:color w:val="auto"/>
              </w:rPr>
            </w:pPr>
            <w:r>
              <w:rPr>
                <w:rFonts w:ascii="Arial" w:cs="Arial" w:eastAsia="Arial" w:hAnsi="Arial"/>
                <w:sz w:val="18"/>
                <w:szCs w:val="18"/>
                <w:color w:val="auto"/>
              </w:rPr>
              <w:t>94,753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79,925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115,721</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473"/>
        </w:trPr>
        <w:tc>
          <w:tcPr>
            <w:tcW w:w="4580" w:type="dxa"/>
            <w:vAlign w:val="bottom"/>
          </w:tcPr>
          <w:p>
            <w:pPr>
              <w:spacing w:after="0"/>
              <w:rPr>
                <w:sz w:val="20"/>
                <w:szCs w:val="20"/>
                <w:color w:val="auto"/>
              </w:rPr>
            </w:pPr>
            <w:r>
              <w:rPr>
                <w:rFonts w:ascii="Arial" w:cs="Arial" w:eastAsia="Arial" w:hAnsi="Arial"/>
                <w:sz w:val="18"/>
                <w:szCs w:val="18"/>
                <w:color w:val="auto"/>
              </w:rPr>
              <w:t>LOANS</w:t>
            </w:r>
          </w:p>
        </w:tc>
        <w:tc>
          <w:tcPr>
            <w:tcW w:w="1660" w:type="dxa"/>
            <w:vAlign w:val="bottom"/>
          </w:tcPr>
          <w:p>
            <w:pPr>
              <w:jc w:val="right"/>
              <w:spacing w:after="0"/>
              <w:rPr>
                <w:sz w:val="20"/>
                <w:szCs w:val="20"/>
                <w:color w:val="auto"/>
              </w:rPr>
            </w:pPr>
            <w:r>
              <w:rPr>
                <w:rFonts w:ascii="Arial" w:cs="Arial" w:eastAsia="Arial" w:hAnsi="Arial"/>
                <w:sz w:val="18"/>
                <w:szCs w:val="18"/>
                <w:color w:val="auto"/>
              </w:rPr>
              <w:t>3,869,572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4,817,662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4,471,996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4,481,496</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Current</w:t>
            </w:r>
          </w:p>
        </w:tc>
        <w:tc>
          <w:tcPr>
            <w:tcW w:w="1660" w:type="dxa"/>
            <w:vAlign w:val="bottom"/>
          </w:tcPr>
          <w:p>
            <w:pPr>
              <w:jc w:val="right"/>
              <w:spacing w:after="0"/>
              <w:rPr>
                <w:sz w:val="20"/>
                <w:szCs w:val="20"/>
                <w:color w:val="auto"/>
              </w:rPr>
            </w:pPr>
            <w:r>
              <w:rPr>
                <w:rFonts w:ascii="Arial" w:cs="Arial" w:eastAsia="Arial" w:hAnsi="Arial"/>
                <w:sz w:val="18"/>
                <w:szCs w:val="18"/>
                <w:color w:val="auto"/>
              </w:rPr>
              <w:t>3,559,161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4,412,345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4,130,984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4,225,001</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Past Due</w:t>
            </w:r>
          </w:p>
        </w:tc>
        <w:tc>
          <w:tcPr>
            <w:tcW w:w="1660" w:type="dxa"/>
            <w:vAlign w:val="bottom"/>
          </w:tcPr>
          <w:p>
            <w:pPr>
              <w:jc w:val="right"/>
              <w:spacing w:after="0"/>
              <w:rPr>
                <w:sz w:val="20"/>
                <w:szCs w:val="20"/>
                <w:color w:val="auto"/>
              </w:rPr>
            </w:pPr>
            <w:r>
              <w:rPr>
                <w:rFonts w:ascii="Arial" w:cs="Arial" w:eastAsia="Arial" w:hAnsi="Arial"/>
                <w:sz w:val="18"/>
                <w:szCs w:val="18"/>
                <w:color w:val="auto"/>
              </w:rPr>
              <w:t>310,411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405,317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341,012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256,495</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Less - Reserve for possible loan losses</w:t>
            </w:r>
          </w:p>
        </w:tc>
        <w:tc>
          <w:tcPr>
            <w:tcW w:w="1660" w:type="dxa"/>
            <w:vAlign w:val="bottom"/>
          </w:tcPr>
          <w:p>
            <w:pPr>
              <w:jc w:val="right"/>
              <w:spacing w:after="0"/>
              <w:rPr>
                <w:sz w:val="20"/>
                <w:szCs w:val="20"/>
                <w:color w:val="auto"/>
              </w:rPr>
            </w:pPr>
            <w:r>
              <w:rPr>
                <w:rFonts w:ascii="Arial" w:cs="Arial" w:eastAsia="Arial" w:hAnsi="Arial"/>
                <w:sz w:val="18"/>
                <w:szCs w:val="18"/>
                <w:color w:val="auto"/>
              </w:rPr>
              <w:t>(310,787)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(420,809)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(387,820)</w:t>
            </w:r>
          </w:p>
        </w:tc>
        <w:tc>
          <w:tcPr>
            <w:tcW w:w="1660" w:type="dxa"/>
            <w:vAlign w:val="bottom"/>
          </w:tcPr>
          <w:p>
            <w:pPr>
              <w:jc w:val="right"/>
              <w:spacing w:after="0"/>
              <w:rPr>
                <w:sz w:val="20"/>
                <w:szCs w:val="20"/>
                <w:color w:val="auto"/>
              </w:rPr>
            </w:pPr>
            <w:r>
              <w:rPr>
                <w:rFonts w:ascii="Arial" w:cs="Arial" w:eastAsia="Arial" w:hAnsi="Arial"/>
                <w:sz w:val="18"/>
                <w:szCs w:val="18"/>
                <w:color w:val="auto"/>
              </w:rPr>
              <w:t>(326,677)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LOANS NET</w:t>
            </w:r>
          </w:p>
        </w:tc>
        <w:tc>
          <w:tcPr>
            <w:tcW w:w="1660" w:type="dxa"/>
            <w:vAlign w:val="bottom"/>
          </w:tcPr>
          <w:p>
            <w:pPr>
              <w:jc w:val="right"/>
              <w:spacing w:after="0"/>
              <w:rPr>
                <w:sz w:val="20"/>
                <w:szCs w:val="20"/>
                <w:color w:val="auto"/>
              </w:rPr>
            </w:pPr>
            <w:r>
              <w:rPr>
                <w:rFonts w:ascii="Arial" w:cs="Arial" w:eastAsia="Arial" w:hAnsi="Arial"/>
                <w:sz w:val="18"/>
                <w:szCs w:val="18"/>
                <w:color w:val="auto"/>
              </w:rPr>
              <w:t>3,558,785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4,396,853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4,084,176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4,154,819</w:t>
            </w:r>
          </w:p>
        </w:tc>
        <w:tc>
          <w:tcPr>
            <w:tcW w:w="0" w:type="dxa"/>
            <w:vAlign w:val="bottom"/>
          </w:tcPr>
          <w:p>
            <w:pPr>
              <w:spacing w:after="0"/>
              <w:rPr>
                <w:sz w:val="1"/>
                <w:szCs w:val="1"/>
                <w:color w:val="auto"/>
              </w:rPr>
            </w:pPr>
          </w:p>
        </w:tc>
      </w:tr>
      <w:tr>
        <w:trPr>
          <w:trHeight w:val="473"/>
        </w:trPr>
        <w:tc>
          <w:tcPr>
            <w:tcW w:w="45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jc w:val="right"/>
              <w:spacing w:after="0"/>
              <w:rPr>
                <w:sz w:val="20"/>
                <w:szCs w:val="20"/>
                <w:color w:val="auto"/>
              </w:rPr>
            </w:pPr>
            <w:r>
              <w:rPr>
                <w:rFonts w:ascii="Arial" w:cs="Arial" w:eastAsia="Arial" w:hAnsi="Arial"/>
                <w:sz w:val="18"/>
                <w:szCs w:val="18"/>
                <w:color w:val="auto"/>
              </w:rPr>
              <w:t>1,041,641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1,166,381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1,493,526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1,612,887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REINSURANCE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39,279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29,677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47,142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45,904</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18"/>
                <w:szCs w:val="18"/>
                <w:color w:val="auto"/>
              </w:rPr>
              <w:t>PREMIUMS AND OTHER POLICYHOLDER</w:t>
            </w:r>
          </w:p>
        </w:tc>
        <w:tc>
          <w:tcPr>
            <w:tcW w:w="1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RECEIVABLES</w:t>
            </w:r>
          </w:p>
        </w:tc>
        <w:tc>
          <w:tcPr>
            <w:tcW w:w="1660" w:type="dxa"/>
            <w:vAlign w:val="bottom"/>
          </w:tcPr>
          <w:p>
            <w:pPr>
              <w:jc w:val="right"/>
              <w:spacing w:after="0"/>
              <w:rPr>
                <w:sz w:val="20"/>
                <w:szCs w:val="20"/>
                <w:color w:val="auto"/>
              </w:rPr>
            </w:pPr>
            <w:r>
              <w:rPr>
                <w:rFonts w:ascii="Arial" w:cs="Arial" w:eastAsia="Arial" w:hAnsi="Arial"/>
                <w:sz w:val="18"/>
                <w:szCs w:val="18"/>
                <w:color w:val="auto"/>
              </w:rPr>
              <w:t>63,020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61,856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61,212</w:t>
            </w:r>
          </w:p>
        </w:tc>
        <w:tc>
          <w:tcPr>
            <w:tcW w:w="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60,057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tcPr>
          <w:p>
            <w:pPr>
              <w:jc w:val="right"/>
              <w:spacing w:after="0"/>
              <w:rPr>
                <w:sz w:val="20"/>
                <w:szCs w:val="20"/>
                <w:color w:val="auto"/>
              </w:rPr>
            </w:pPr>
            <w:r>
              <w:rPr>
                <w:rFonts w:ascii="Arial" w:cs="Arial" w:eastAsia="Arial" w:hAnsi="Arial"/>
                <w:sz w:val="18"/>
                <w:szCs w:val="18"/>
                <w:color w:val="auto"/>
              </w:rPr>
              <w:t>244,050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288,889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268,498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264,533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660" w:type="dxa"/>
            <w:vAlign w:val="bottom"/>
          </w:tcPr>
          <w:p>
            <w:pPr>
              <w:jc w:val="right"/>
              <w:spacing w:after="0"/>
              <w:rPr>
                <w:sz w:val="20"/>
                <w:szCs w:val="20"/>
                <w:color w:val="auto"/>
              </w:rPr>
            </w:pPr>
            <w:r>
              <w:rPr>
                <w:rFonts w:ascii="Arial" w:cs="Arial" w:eastAsia="Arial" w:hAnsi="Arial"/>
                <w:sz w:val="18"/>
                <w:szCs w:val="18"/>
                <w:color w:val="auto"/>
              </w:rPr>
              <w:t>30,453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36,068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51,821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50,178</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306,543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376,660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361,416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370,672</w:t>
            </w:r>
          </w:p>
        </w:tc>
        <w:tc>
          <w:tcPr>
            <w:tcW w:w="0" w:type="dxa"/>
            <w:vAlign w:val="bottom"/>
          </w:tcPr>
          <w:p>
            <w:pPr>
              <w:spacing w:after="0"/>
              <w:rPr>
                <w:sz w:val="1"/>
                <w:szCs w:val="1"/>
                <w:color w:val="auto"/>
              </w:rPr>
            </w:pPr>
          </w:p>
        </w:tc>
      </w:tr>
      <w:tr>
        <w:trPr>
          <w:trHeight w:val="270"/>
        </w:trPr>
        <w:tc>
          <w:tcPr>
            <w:tcW w:w="4580" w:type="dxa"/>
            <w:vAlign w:val="bottom"/>
          </w:tcPr>
          <w:p>
            <w:pPr>
              <w:jc w:val="center"/>
              <w:spacing w:after="0"/>
              <w:rPr>
                <w:sz w:val="20"/>
                <w:szCs w:val="20"/>
                <w:color w:val="auto"/>
              </w:rPr>
            </w:pPr>
            <w:r>
              <w:rPr>
                <w:rFonts w:ascii="Arial" w:cs="Arial" w:eastAsia="Arial" w:hAnsi="Arial"/>
                <w:sz w:val="18"/>
                <w:szCs w:val="18"/>
                <w:color w:val="auto"/>
                <w:w w:val="92"/>
              </w:rPr>
              <w:t>TOTAL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7,399,048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8,618,700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8,223,945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8,299,146</w:t>
            </w:r>
          </w:p>
        </w:tc>
        <w:tc>
          <w:tcPr>
            <w:tcW w:w="0" w:type="dxa"/>
            <w:vAlign w:val="bottom"/>
          </w:tcPr>
          <w:p>
            <w:pPr>
              <w:spacing w:after="0"/>
              <w:rPr>
                <w:sz w:val="1"/>
                <w:szCs w:val="1"/>
                <w:color w:val="auto"/>
              </w:rPr>
            </w:pPr>
          </w:p>
        </w:tc>
      </w:tr>
      <w:tr>
        <w:trPr>
          <w:trHeight w:val="164"/>
        </w:trPr>
        <w:tc>
          <w:tcPr>
            <w:tcW w:w="45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580" w:type="dxa"/>
            <w:vAlign w:val="bottom"/>
          </w:tcPr>
          <w:p>
            <w:pPr>
              <w:jc w:val="center"/>
              <w:spacing w:after="0"/>
              <w:rPr>
                <w:sz w:val="20"/>
                <w:szCs w:val="20"/>
                <w:color w:val="auto"/>
              </w:rPr>
            </w:pPr>
            <w:r>
              <w:rPr>
                <w:rFonts w:ascii="Arial" w:cs="Arial" w:eastAsia="Arial" w:hAnsi="Arial"/>
                <w:sz w:val="18"/>
                <w:szCs w:val="18"/>
                <w:color w:val="auto"/>
                <w:w w:val="96"/>
              </w:rPr>
              <w:t>LIABILITIES AND SHAREHOLDERS' EQUITY</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Non-interest bearing</w:t>
            </w:r>
          </w:p>
        </w:tc>
        <w:tc>
          <w:tcPr>
            <w:tcW w:w="1660" w:type="dxa"/>
            <w:vAlign w:val="bottom"/>
          </w:tcPr>
          <w:p>
            <w:pPr>
              <w:jc w:val="right"/>
              <w:spacing w:after="0"/>
              <w:rPr>
                <w:sz w:val="20"/>
                <w:szCs w:val="20"/>
                <w:color w:val="auto"/>
              </w:rPr>
            </w:pPr>
            <w:r>
              <w:rPr>
                <w:rFonts w:ascii="Arial" w:cs="Arial" w:eastAsia="Arial" w:hAnsi="Arial"/>
                <w:sz w:val="18"/>
                <w:szCs w:val="18"/>
                <w:color w:val="auto"/>
              </w:rPr>
              <w:t>685,739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853,138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813,726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860,585</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Interest bearing</w:t>
            </w:r>
          </w:p>
        </w:tc>
        <w:tc>
          <w:tcPr>
            <w:tcW w:w="1660" w:type="dxa"/>
            <w:vAlign w:val="bottom"/>
          </w:tcPr>
          <w:p>
            <w:pPr>
              <w:jc w:val="right"/>
              <w:spacing w:after="0"/>
              <w:rPr>
                <w:sz w:val="20"/>
                <w:szCs w:val="20"/>
                <w:color w:val="auto"/>
              </w:rPr>
            </w:pPr>
            <w:r>
              <w:rPr>
                <w:rFonts w:ascii="Arial" w:cs="Arial" w:eastAsia="Arial" w:hAnsi="Arial"/>
                <w:sz w:val="18"/>
                <w:szCs w:val="18"/>
                <w:color w:val="auto"/>
              </w:rPr>
              <w:t>4,948,560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5,932,799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5,444,272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5,444,254</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5,634,299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6,785,937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6,257,998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6,304,839</w:t>
            </w:r>
          </w:p>
        </w:tc>
        <w:tc>
          <w:tcPr>
            <w:tcW w:w="0" w:type="dxa"/>
            <w:vAlign w:val="bottom"/>
          </w:tcPr>
          <w:p>
            <w:pPr>
              <w:spacing w:after="0"/>
              <w:rPr>
                <w:sz w:val="1"/>
                <w:szCs w:val="1"/>
                <w:color w:val="auto"/>
              </w:rPr>
            </w:pPr>
          </w:p>
        </w:tc>
      </w:tr>
      <w:tr>
        <w:trPr>
          <w:trHeight w:val="473"/>
        </w:trPr>
        <w:tc>
          <w:tcPr>
            <w:tcW w:w="45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660" w:type="dxa"/>
            <w:vAlign w:val="bottom"/>
          </w:tcPr>
          <w:p>
            <w:pPr>
              <w:jc w:val="right"/>
              <w:spacing w:after="0"/>
              <w:rPr>
                <w:sz w:val="20"/>
                <w:szCs w:val="20"/>
                <w:color w:val="auto"/>
              </w:rPr>
            </w:pPr>
            <w:r>
              <w:rPr>
                <w:rFonts w:ascii="Arial" w:cs="Arial" w:eastAsia="Arial" w:hAnsi="Arial"/>
                <w:sz w:val="18"/>
                <w:szCs w:val="18"/>
                <w:color w:val="auto"/>
              </w:rPr>
              <w:t>305,384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279,660</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273,234</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ACCEPTANCES OUTSTANDING</w:t>
            </w:r>
          </w:p>
        </w:tc>
        <w:tc>
          <w:tcPr>
            <w:tcW w:w="1660" w:type="dxa"/>
            <w:vAlign w:val="bottom"/>
          </w:tcPr>
          <w:p>
            <w:pPr>
              <w:jc w:val="right"/>
              <w:spacing w:after="0"/>
              <w:rPr>
                <w:sz w:val="20"/>
                <w:szCs w:val="20"/>
                <w:color w:val="auto"/>
              </w:rPr>
            </w:pPr>
            <w:r>
              <w:rPr>
                <w:rFonts w:ascii="Arial" w:cs="Arial" w:eastAsia="Arial" w:hAnsi="Arial"/>
                <w:sz w:val="18"/>
                <w:szCs w:val="18"/>
                <w:color w:val="auto"/>
              </w:rPr>
              <w:t>30,453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36,068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51,821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50,178</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RESERVE FOR PROPERTY AND CASUALTY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212,514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224,754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289,245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303,587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1660" w:type="dxa"/>
            <w:vAlign w:val="bottom"/>
          </w:tcPr>
          <w:p>
            <w:pPr>
              <w:jc w:val="right"/>
              <w:spacing w:after="0"/>
              <w:rPr>
                <w:sz w:val="20"/>
                <w:szCs w:val="20"/>
                <w:color w:val="auto"/>
              </w:rPr>
            </w:pPr>
            <w:r>
              <w:rPr>
                <w:rFonts w:ascii="Arial" w:cs="Arial" w:eastAsia="Arial" w:hAnsi="Arial"/>
                <w:sz w:val="18"/>
                <w:szCs w:val="18"/>
                <w:color w:val="auto"/>
              </w:rPr>
              <w:t>51,189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48,703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63,905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66,084</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REINSURANCE PAYABLE</w:t>
            </w:r>
          </w:p>
        </w:tc>
        <w:tc>
          <w:tcPr>
            <w:tcW w:w="1660" w:type="dxa"/>
            <w:vAlign w:val="bottom"/>
          </w:tcPr>
          <w:p>
            <w:pPr>
              <w:jc w:val="right"/>
              <w:spacing w:after="0"/>
              <w:rPr>
                <w:sz w:val="20"/>
                <w:szCs w:val="20"/>
                <w:color w:val="auto"/>
              </w:rPr>
            </w:pPr>
            <w:r>
              <w:rPr>
                <w:rFonts w:ascii="Arial" w:cs="Arial" w:eastAsia="Arial" w:hAnsi="Arial"/>
                <w:sz w:val="18"/>
                <w:szCs w:val="18"/>
                <w:color w:val="auto"/>
              </w:rPr>
              <w:t>30,564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23,253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43,737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33,043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OTHER LIABILITIES</w:t>
            </w:r>
          </w:p>
        </w:tc>
        <w:tc>
          <w:tcPr>
            <w:tcW w:w="1660" w:type="dxa"/>
            <w:vAlign w:val="bottom"/>
          </w:tcPr>
          <w:p>
            <w:pPr>
              <w:jc w:val="right"/>
              <w:spacing w:after="0"/>
              <w:rPr>
                <w:sz w:val="20"/>
                <w:szCs w:val="20"/>
                <w:color w:val="auto"/>
              </w:rPr>
            </w:pPr>
            <w:r>
              <w:rPr>
                <w:rFonts w:ascii="Arial" w:cs="Arial" w:eastAsia="Arial" w:hAnsi="Arial"/>
                <w:sz w:val="18"/>
                <w:szCs w:val="18"/>
                <w:color w:val="auto"/>
              </w:rPr>
              <w:t>271,845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301,746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273,633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284,607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1660" w:type="dxa"/>
            <w:vAlign w:val="bottom"/>
          </w:tcPr>
          <w:p>
            <w:pPr>
              <w:jc w:val="right"/>
              <w:spacing w:after="0"/>
              <w:rPr>
                <w:sz w:val="20"/>
                <w:szCs w:val="20"/>
                <w:color w:val="auto"/>
              </w:rPr>
            </w:pPr>
            <w:r>
              <w:rPr>
                <w:rFonts w:ascii="Arial" w:cs="Arial" w:eastAsia="Arial" w:hAnsi="Arial"/>
                <w:sz w:val="18"/>
                <w:szCs w:val="18"/>
                <w:color w:val="auto"/>
              </w:rPr>
              <w:t>64,311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64,742</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71,723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72,841</w:t>
            </w:r>
          </w:p>
        </w:tc>
        <w:tc>
          <w:tcPr>
            <w:tcW w:w="0" w:type="dxa"/>
            <w:vAlign w:val="bottom"/>
          </w:tcPr>
          <w:p>
            <w:pPr>
              <w:spacing w:after="0"/>
              <w:rPr>
                <w:sz w:val="1"/>
                <w:szCs w:val="1"/>
                <w:color w:val="auto"/>
              </w:rPr>
            </w:pPr>
          </w:p>
        </w:tc>
      </w:tr>
      <w:tr>
        <w:trPr>
          <w:trHeight w:val="473"/>
        </w:trPr>
        <w:tc>
          <w:tcPr>
            <w:tcW w:w="4580" w:type="dxa"/>
            <w:vAlign w:val="bottom"/>
          </w:tcPr>
          <w:p>
            <w:pPr>
              <w:jc w:val="center"/>
              <w:spacing w:after="0"/>
              <w:rPr>
                <w:sz w:val="20"/>
                <w:szCs w:val="20"/>
                <w:color w:val="auto"/>
              </w:rPr>
            </w:pPr>
            <w:r>
              <w:rPr>
                <w:rFonts w:ascii="Arial" w:cs="Arial" w:eastAsia="Arial" w:hAnsi="Arial"/>
                <w:sz w:val="18"/>
                <w:szCs w:val="18"/>
                <w:color w:val="auto"/>
                <w:w w:val="98"/>
              </w:rPr>
              <w:t>TOTAL LIABILITIES</w:t>
            </w:r>
          </w:p>
        </w:tc>
        <w:tc>
          <w:tcPr>
            <w:tcW w:w="1660" w:type="dxa"/>
            <w:vAlign w:val="bottom"/>
          </w:tcPr>
          <w:p>
            <w:pPr>
              <w:jc w:val="right"/>
              <w:spacing w:after="0"/>
              <w:rPr>
                <w:sz w:val="20"/>
                <w:szCs w:val="20"/>
                <w:color w:val="auto"/>
              </w:rPr>
            </w:pPr>
            <w:r>
              <w:rPr>
                <w:rFonts w:ascii="Arial" w:cs="Arial" w:eastAsia="Arial" w:hAnsi="Arial"/>
                <w:sz w:val="18"/>
                <w:szCs w:val="18"/>
                <w:color w:val="auto"/>
              </w:rPr>
              <w:t>6,600,559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7,794,901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7,331,722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7,388,413</w:t>
            </w:r>
          </w:p>
        </w:tc>
        <w:tc>
          <w:tcPr>
            <w:tcW w:w="0" w:type="dxa"/>
            <w:vAlign w:val="bottom"/>
          </w:tcPr>
          <w:p>
            <w:pPr>
              <w:spacing w:after="0"/>
              <w:rPr>
                <w:sz w:val="1"/>
                <w:szCs w:val="1"/>
                <w:color w:val="auto"/>
              </w:rPr>
            </w:pPr>
          </w:p>
        </w:tc>
      </w:tr>
      <w:tr>
        <w:trPr>
          <w:trHeight w:val="473"/>
        </w:trPr>
        <w:tc>
          <w:tcPr>
            <w:tcW w:w="4580" w:type="dxa"/>
            <w:vAlign w:val="bottom"/>
          </w:tcPr>
          <w:p>
            <w:pPr>
              <w:jc w:val="center"/>
              <w:spacing w:after="0"/>
              <w:rPr>
                <w:sz w:val="20"/>
                <w:szCs w:val="20"/>
                <w:color w:val="auto"/>
              </w:rPr>
            </w:pPr>
            <w:r>
              <w:rPr>
                <w:rFonts w:ascii="Arial" w:cs="Arial" w:eastAsia="Arial" w:hAnsi="Arial"/>
                <w:sz w:val="18"/>
                <w:szCs w:val="18"/>
                <w:color w:val="auto"/>
                <w:w w:val="94"/>
              </w:rPr>
              <w:t>NET SHAREHOLDERS' EQUITY</w:t>
            </w:r>
          </w:p>
        </w:tc>
        <w:tc>
          <w:tcPr>
            <w:tcW w:w="1660" w:type="dxa"/>
            <w:vAlign w:val="bottom"/>
          </w:tcPr>
          <w:p>
            <w:pPr>
              <w:jc w:val="right"/>
              <w:spacing w:after="0"/>
              <w:rPr>
                <w:sz w:val="20"/>
                <w:szCs w:val="20"/>
                <w:color w:val="auto"/>
              </w:rPr>
            </w:pPr>
            <w:r>
              <w:rPr>
                <w:rFonts w:ascii="Arial" w:cs="Arial" w:eastAsia="Arial" w:hAnsi="Arial"/>
                <w:sz w:val="18"/>
                <w:szCs w:val="18"/>
                <w:color w:val="auto"/>
              </w:rPr>
              <w:t>798,489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823,799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892,223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910,733</w:t>
            </w:r>
          </w:p>
        </w:tc>
        <w:tc>
          <w:tcPr>
            <w:tcW w:w="0" w:type="dxa"/>
            <w:vAlign w:val="bottom"/>
          </w:tcPr>
          <w:p>
            <w:pPr>
              <w:spacing w:after="0"/>
              <w:rPr>
                <w:sz w:val="1"/>
                <w:szCs w:val="1"/>
                <w:color w:val="auto"/>
              </w:rPr>
            </w:pPr>
          </w:p>
        </w:tc>
      </w:tr>
      <w:tr>
        <w:trPr>
          <w:trHeight w:val="473"/>
        </w:trPr>
        <w:tc>
          <w:tcPr>
            <w:tcW w:w="4580" w:type="dxa"/>
            <w:vAlign w:val="bottom"/>
          </w:tcPr>
          <w:p>
            <w:pPr>
              <w:jc w:val="center"/>
              <w:spacing w:after="0"/>
              <w:rPr>
                <w:sz w:val="20"/>
                <w:szCs w:val="20"/>
                <w:color w:val="auto"/>
              </w:rPr>
            </w:pPr>
            <w:r>
              <w:rPr>
                <w:rFonts w:ascii="Arial" w:cs="Arial" w:eastAsia="Arial" w:hAnsi="Arial"/>
                <w:sz w:val="18"/>
                <w:szCs w:val="18"/>
                <w:color w:val="auto"/>
                <w:w w:val="94"/>
              </w:rPr>
              <w:t>TOTAL LIABILITIES and NET SHAREHOLDERS' EQUITY</w:t>
            </w:r>
          </w:p>
        </w:tc>
        <w:tc>
          <w:tcPr>
            <w:tcW w:w="1660" w:type="dxa"/>
            <w:vAlign w:val="bottom"/>
          </w:tcPr>
          <w:p>
            <w:pPr>
              <w:jc w:val="right"/>
              <w:spacing w:after="0"/>
              <w:rPr>
                <w:sz w:val="20"/>
                <w:szCs w:val="20"/>
                <w:color w:val="auto"/>
              </w:rPr>
            </w:pPr>
            <w:r>
              <w:rPr>
                <w:rFonts w:ascii="Arial" w:cs="Arial" w:eastAsia="Arial" w:hAnsi="Arial"/>
                <w:sz w:val="18"/>
                <w:szCs w:val="18"/>
                <w:color w:val="auto"/>
              </w:rPr>
              <w:t>7,399,048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8,618,700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8,223,945</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8,299,146</w:t>
            </w:r>
          </w:p>
        </w:tc>
        <w:tc>
          <w:tcPr>
            <w:tcW w:w="0" w:type="dxa"/>
            <w:vAlign w:val="bottom"/>
          </w:tcPr>
          <w:p>
            <w:pPr>
              <w:spacing w:after="0"/>
              <w:rPr>
                <w:sz w:val="1"/>
                <w:szCs w:val="1"/>
                <w:color w:val="auto"/>
              </w:rPr>
            </w:pPr>
          </w:p>
        </w:tc>
      </w:tr>
      <w:tr>
        <w:trPr>
          <w:trHeight w:val="473"/>
        </w:trPr>
        <w:tc>
          <w:tcPr>
            <w:tcW w:w="4580" w:type="dxa"/>
            <w:vAlign w:val="bottom"/>
          </w:tcPr>
          <w:p>
            <w:pPr>
              <w:spacing w:after="0"/>
              <w:rPr>
                <w:sz w:val="20"/>
                <w:szCs w:val="20"/>
                <w:color w:val="auto"/>
              </w:rPr>
            </w:pPr>
            <w:r>
              <w:rPr>
                <w:rFonts w:ascii="Arial" w:cs="Arial" w:eastAsia="Arial" w:hAnsi="Arial"/>
                <w:sz w:val="18"/>
                <w:szCs w:val="18"/>
                <w:color w:val="auto"/>
              </w:rPr>
              <w:t>CONTINGENT CREDITS</w:t>
            </w:r>
          </w:p>
        </w:tc>
        <w:tc>
          <w:tcPr>
            <w:tcW w:w="1660" w:type="dxa"/>
            <w:vAlign w:val="bottom"/>
          </w:tcPr>
          <w:p>
            <w:pPr>
              <w:jc w:val="right"/>
              <w:spacing w:after="0"/>
              <w:rPr>
                <w:sz w:val="20"/>
                <w:szCs w:val="20"/>
                <w:color w:val="auto"/>
              </w:rPr>
            </w:pPr>
            <w:r>
              <w:rPr>
                <w:rFonts w:ascii="Arial" w:cs="Arial" w:eastAsia="Arial" w:hAnsi="Arial"/>
                <w:sz w:val="18"/>
                <w:szCs w:val="18"/>
                <w:color w:val="auto"/>
              </w:rPr>
              <w:t>1,310,519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1,637,050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1,373,995</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1,768,605</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FUNDS UNDER MANAGEMENT</w:t>
            </w:r>
          </w:p>
        </w:tc>
        <w:tc>
          <w:tcPr>
            <w:tcW w:w="1660" w:type="dxa"/>
            <w:vAlign w:val="bottom"/>
          </w:tcPr>
          <w:p>
            <w:pPr>
              <w:jc w:val="right"/>
              <w:spacing w:after="0"/>
              <w:rPr>
                <w:sz w:val="20"/>
                <w:szCs w:val="20"/>
                <w:color w:val="auto"/>
              </w:rPr>
            </w:pPr>
            <w:r>
              <w:rPr>
                <w:rFonts w:ascii="Arial" w:cs="Arial" w:eastAsia="Arial" w:hAnsi="Arial"/>
                <w:sz w:val="18"/>
                <w:szCs w:val="18"/>
                <w:color w:val="auto"/>
              </w:rPr>
              <w:t>1,061,321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1,369,712</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1,618,763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1,724,130</w:t>
            </w:r>
          </w:p>
        </w:tc>
        <w:tc>
          <w:tcPr>
            <w:tcW w:w="0" w:type="dxa"/>
            <w:vAlign w:val="bottom"/>
          </w:tcPr>
          <w:p>
            <w:pPr>
              <w:spacing w:after="0"/>
              <w:rPr>
                <w:sz w:val="1"/>
                <w:szCs w:val="1"/>
                <w:color w:val="auto"/>
              </w:rPr>
            </w:pPr>
          </w:p>
        </w:tc>
      </w:tr>
      <w:tr>
        <w:trPr>
          <w:trHeight w:val="164"/>
        </w:trPr>
        <w:tc>
          <w:tcPr>
            <w:tcW w:w="45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7187565</wp:posOffset>
            </wp:positionH>
            <wp:positionV relativeFrom="paragraph">
              <wp:posOffset>-7730490</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-7378700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-7378700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-7378700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-7378700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-3759835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-20955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2503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19"/>
                <w:szCs w:val="19"/>
                <w:color w:val="auto"/>
              </w:rPr>
            </w:pPr>
          </w:p>
        </w:tc>
        <w:tc>
          <w:tcPr>
            <w:tcW w:w="2560" w:type="dxa"/>
            <w:vAlign w:val="bottom"/>
            <w:gridSpan w:val="5"/>
          </w:tcPr>
          <w:p>
            <w:pPr>
              <w:ind w:left="980"/>
              <w:spacing w:after="0"/>
              <w:rPr>
                <w:sz w:val="20"/>
                <w:szCs w:val="20"/>
                <w:color w:val="auto"/>
              </w:rPr>
            </w:pPr>
            <w:r>
              <w:rPr>
                <w:rFonts w:ascii="Arial" w:cs="Arial" w:eastAsia="Arial" w:hAnsi="Arial"/>
                <w:sz w:val="18"/>
                <w:szCs w:val="18"/>
                <w:color w:val="auto"/>
                <w:w w:val="93"/>
              </w:rPr>
              <w:t>Three months ended</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3"/>
          </w:tcPr>
          <w:p>
            <w:pPr>
              <w:jc w:val="right"/>
              <w:ind w:right="252"/>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5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31.12.03</w:t>
            </w: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40"/>
        </w:trPr>
        <w:tc>
          <w:tcPr>
            <w:tcW w:w="5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on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101,314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111,241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420,341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444,325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and dividends on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2,293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on deposits with banks</w:t>
            </w:r>
          </w:p>
        </w:tc>
        <w:tc>
          <w:tcPr>
            <w:tcW w:w="1100" w:type="dxa"/>
            <w:vAlign w:val="bottom"/>
          </w:tcPr>
          <w:p>
            <w:pPr>
              <w:jc w:val="right"/>
              <w:spacing w:after="0"/>
              <w:rPr>
                <w:sz w:val="20"/>
                <w:szCs w:val="20"/>
                <w:color w:val="auto"/>
              </w:rPr>
            </w:pPr>
            <w:r>
              <w:rPr>
                <w:rFonts w:ascii="Arial" w:cs="Arial" w:eastAsia="Arial" w:hAnsi="Arial"/>
                <w:sz w:val="18"/>
                <w:szCs w:val="18"/>
                <w:color w:val="auto"/>
              </w:rPr>
              <w:t>10,230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36,516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19,345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54,197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56,114</w:t>
            </w:r>
          </w:p>
        </w:tc>
        <w:tc>
          <w:tcPr>
            <w:tcW w:w="0" w:type="dxa"/>
            <w:vAlign w:val="bottom"/>
          </w:tcPr>
          <w:p>
            <w:pPr>
              <w:spacing w:after="0"/>
              <w:rPr>
                <w:sz w:val="1"/>
                <w:szCs w:val="1"/>
                <w:color w:val="auto"/>
              </w:rPr>
            </w:pPr>
          </w:p>
        </w:tc>
      </w:tr>
      <w:tr>
        <w:trPr>
          <w:trHeight w:val="270"/>
        </w:trPr>
        <w:tc>
          <w:tcPr>
            <w:tcW w:w="5700" w:type="dxa"/>
            <w:vAlign w:val="bottom"/>
          </w:tcPr>
          <w:p>
            <w:pPr>
              <w:jc w:val="center"/>
              <w:spacing w:after="0"/>
              <w:rPr>
                <w:sz w:val="20"/>
                <w:szCs w:val="20"/>
                <w:color w:val="auto"/>
              </w:rPr>
            </w:pPr>
            <w:r>
              <w:rPr>
                <w:rFonts w:ascii="Arial" w:cs="Arial" w:eastAsia="Arial" w:hAnsi="Arial"/>
                <w:sz w:val="18"/>
                <w:szCs w:val="18"/>
                <w:color w:val="auto"/>
                <w:w w:val="88"/>
              </w:rPr>
              <w:t>Total Interest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131,379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129,336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129,623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513,347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521,242</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on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33,813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29,518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137,801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126,757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1100" w:type="dxa"/>
            <w:vAlign w:val="bottom"/>
          </w:tcPr>
          <w:p>
            <w:pPr>
              <w:jc w:val="right"/>
              <w:spacing w:after="0"/>
              <w:rPr>
                <w:sz w:val="20"/>
                <w:szCs w:val="20"/>
                <w:color w:val="auto"/>
              </w:rPr>
            </w:pPr>
            <w:r>
              <w:rPr>
                <w:rFonts w:ascii="Arial" w:cs="Arial" w:eastAsia="Arial" w:hAnsi="Arial"/>
                <w:sz w:val="18"/>
                <w:szCs w:val="18"/>
                <w:color w:val="auto"/>
              </w:rPr>
              <w:t>5,136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25,285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4,638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14,984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18,322</w:t>
            </w:r>
          </w:p>
        </w:tc>
        <w:tc>
          <w:tcPr>
            <w:tcW w:w="0" w:type="dxa"/>
            <w:vAlign w:val="bottom"/>
          </w:tcPr>
          <w:p>
            <w:pPr>
              <w:spacing w:after="0"/>
              <w:rPr>
                <w:sz w:val="1"/>
                <w:szCs w:val="1"/>
                <w:color w:val="auto"/>
              </w:rPr>
            </w:pPr>
          </w:p>
        </w:tc>
      </w:tr>
      <w:tr>
        <w:trPr>
          <w:trHeight w:val="270"/>
        </w:trPr>
        <w:tc>
          <w:tcPr>
            <w:tcW w:w="5700" w:type="dxa"/>
            <w:vAlign w:val="bottom"/>
          </w:tcPr>
          <w:p>
            <w:pPr>
              <w:jc w:val="center"/>
              <w:spacing w:after="0"/>
              <w:rPr>
                <w:sz w:val="20"/>
                <w:szCs w:val="20"/>
                <w:color w:val="auto"/>
              </w:rPr>
            </w:pPr>
            <w:r>
              <w:rPr>
                <w:rFonts w:ascii="Arial" w:cs="Arial" w:eastAsia="Arial" w:hAnsi="Arial"/>
                <w:sz w:val="18"/>
                <w:szCs w:val="18"/>
                <w:color w:val="auto"/>
                <w:w w:val="86"/>
              </w:rPr>
              <w:t>Total 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43,587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38,757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178,070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162,314</w:t>
            </w:r>
          </w:p>
        </w:tc>
        <w:tc>
          <w:tcPr>
            <w:tcW w:w="0" w:type="dxa"/>
            <w:vAlign w:val="bottom"/>
          </w:tcPr>
          <w:p>
            <w:pPr>
              <w:spacing w:after="0"/>
              <w:rPr>
                <w:sz w:val="1"/>
                <w:szCs w:val="1"/>
                <w:color w:val="auto"/>
              </w:rPr>
            </w:pPr>
          </w:p>
        </w:tc>
      </w:tr>
      <w:tr>
        <w:trPr>
          <w:trHeight w:val="540"/>
        </w:trPr>
        <w:tc>
          <w:tcPr>
            <w:tcW w:w="5700" w:type="dxa"/>
            <w:vAlign w:val="bottom"/>
          </w:tcPr>
          <w:p>
            <w:pPr>
              <w:jc w:val="center"/>
              <w:spacing w:after="0"/>
              <w:rPr>
                <w:sz w:val="20"/>
                <w:szCs w:val="20"/>
                <w:color w:val="auto"/>
              </w:rPr>
            </w:pPr>
            <w:r>
              <w:rPr>
                <w:rFonts w:ascii="Arial" w:cs="Arial" w:eastAsia="Arial" w:hAnsi="Arial"/>
                <w:sz w:val="18"/>
                <w:szCs w:val="18"/>
                <w:color w:val="auto"/>
                <w:w w:val="89"/>
              </w:rPr>
              <w:t>Net Interest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87,792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90,579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335,277</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358,928</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Provision for possible loan losses, net</w:t>
            </w:r>
          </w:p>
        </w:tc>
        <w:tc>
          <w:tcPr>
            <w:tcW w:w="1100" w:type="dxa"/>
            <w:vAlign w:val="bottom"/>
          </w:tcPr>
          <w:p>
            <w:pPr>
              <w:jc w:val="right"/>
              <w:spacing w:after="0"/>
              <w:rPr>
                <w:sz w:val="20"/>
                <w:szCs w:val="20"/>
                <w:color w:val="auto"/>
              </w:rPr>
            </w:pPr>
            <w:r>
              <w:rPr>
                <w:rFonts w:ascii="Arial" w:cs="Arial" w:eastAsia="Arial" w:hAnsi="Arial"/>
                <w:sz w:val="18"/>
                <w:szCs w:val="18"/>
                <w:color w:val="auto"/>
              </w:rPr>
              <w:t>23,735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23,844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111,646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93,949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interest income after provision for</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possible loan losses</w:t>
            </w:r>
          </w:p>
        </w:tc>
        <w:tc>
          <w:tcPr>
            <w:tcW w:w="1100" w:type="dxa"/>
            <w:vAlign w:val="bottom"/>
          </w:tcPr>
          <w:p>
            <w:pPr>
              <w:jc w:val="right"/>
              <w:spacing w:after="0"/>
              <w:rPr>
                <w:sz w:val="20"/>
                <w:szCs w:val="20"/>
                <w:color w:val="auto"/>
              </w:rPr>
            </w:pPr>
            <w:r>
              <w:rPr>
                <w:rFonts w:ascii="Arial" w:cs="Arial" w:eastAsia="Arial" w:hAnsi="Arial"/>
                <w:sz w:val="18"/>
                <w:szCs w:val="18"/>
                <w:color w:val="auto"/>
              </w:rPr>
              <w:t>64,057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66,735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74,260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223,631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264,979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100" w:type="dxa"/>
            <w:vAlign w:val="bottom"/>
          </w:tcPr>
          <w:p>
            <w:pPr>
              <w:jc w:val="right"/>
              <w:spacing w:after="0"/>
              <w:rPr>
                <w:sz w:val="20"/>
                <w:szCs w:val="20"/>
                <w:color w:val="auto"/>
              </w:rPr>
            </w:pPr>
            <w:r>
              <w:rPr>
                <w:rFonts w:ascii="Arial" w:cs="Arial" w:eastAsia="Arial" w:hAnsi="Arial"/>
                <w:sz w:val="18"/>
                <w:szCs w:val="18"/>
                <w:color w:val="auto"/>
              </w:rPr>
              <w:t>44,239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48,909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169,097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189,472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(3,145)</w:t>
            </w:r>
          </w:p>
        </w:tc>
        <w:tc>
          <w:tcPr>
            <w:tcW w:w="108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(1,097)</w:t>
            </w:r>
          </w:p>
        </w:tc>
        <w:tc>
          <w:tcPr>
            <w:tcW w:w="1080" w:type="dxa"/>
            <w:vAlign w:val="bottom"/>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6,965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22,582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premiums earned</w:t>
            </w:r>
          </w:p>
        </w:tc>
        <w:tc>
          <w:tcPr>
            <w:tcW w:w="1100" w:type="dxa"/>
            <w:vAlign w:val="bottom"/>
          </w:tcPr>
          <w:p>
            <w:pPr>
              <w:jc w:val="right"/>
              <w:spacing w:after="0"/>
              <w:rPr>
                <w:sz w:val="20"/>
                <w:szCs w:val="20"/>
                <w:color w:val="auto"/>
              </w:rPr>
            </w:pPr>
            <w:r>
              <w:rPr>
                <w:rFonts w:ascii="Arial" w:cs="Arial" w:eastAsia="Arial" w:hAnsi="Arial"/>
                <w:sz w:val="18"/>
                <w:szCs w:val="18"/>
                <w:color w:val="auto"/>
              </w:rPr>
              <w:t>30,854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33,843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125,218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125,115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20,635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19,242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58,996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84,496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99,548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104,766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374,796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424,733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claims incurred</w:t>
            </w:r>
          </w:p>
        </w:tc>
        <w:tc>
          <w:tcPr>
            <w:tcW w:w="1100" w:type="dxa"/>
            <w:vAlign w:val="bottom"/>
          </w:tcPr>
          <w:p>
            <w:pPr>
              <w:jc w:val="right"/>
              <w:spacing w:after="0"/>
              <w:rPr>
                <w:sz w:val="20"/>
                <w:szCs w:val="20"/>
                <w:color w:val="auto"/>
              </w:rPr>
            </w:pPr>
            <w:r>
              <w:rPr>
                <w:rFonts w:ascii="Arial" w:cs="Arial" w:eastAsia="Arial" w:hAnsi="Arial"/>
                <w:sz w:val="18"/>
                <w:szCs w:val="18"/>
                <w:color w:val="auto"/>
              </w:rPr>
              <w:t>5,030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23,701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Increase in future policy benefits for life and health</w:t>
            </w:r>
          </w:p>
        </w:tc>
        <w:tc>
          <w:tcPr>
            <w:tcW w:w="1100" w:type="dxa"/>
            <w:vAlign w:val="bottom"/>
          </w:tcPr>
          <w:p>
            <w:pPr>
              <w:jc w:val="right"/>
              <w:spacing w:after="0"/>
              <w:rPr>
                <w:sz w:val="20"/>
                <w:szCs w:val="20"/>
                <w:color w:val="auto"/>
              </w:rPr>
            </w:pPr>
            <w:r>
              <w:rPr>
                <w:rFonts w:ascii="Arial" w:cs="Arial" w:eastAsia="Arial" w:hAnsi="Arial"/>
                <w:sz w:val="18"/>
                <w:szCs w:val="18"/>
                <w:color w:val="auto"/>
              </w:rPr>
              <w:t>19,476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19,647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74,200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75,930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24,711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97,901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99,774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EXPENSES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100" w:type="dxa"/>
            <w:vAlign w:val="bottom"/>
          </w:tcPr>
          <w:p>
            <w:pPr>
              <w:jc w:val="right"/>
              <w:spacing w:after="0"/>
              <w:rPr>
                <w:sz w:val="20"/>
                <w:szCs w:val="20"/>
                <w:color w:val="auto"/>
              </w:rPr>
            </w:pPr>
            <w:r>
              <w:rPr>
                <w:rFonts w:ascii="Arial" w:cs="Arial" w:eastAsia="Arial" w:hAnsi="Arial"/>
                <w:sz w:val="18"/>
                <w:szCs w:val="18"/>
                <w:color w:val="auto"/>
              </w:rPr>
              <w:t>51,202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185,129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General, administrative, and other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39,817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34,540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138,442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11,544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44,372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12,645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11,281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43,142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57,839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Merger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116,869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102,675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412,746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456,639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Translation result</w:t>
            </w: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(2,482)</w:t>
            </w:r>
          </w:p>
        </w:tc>
        <w:tc>
          <w:tcPr>
            <w:tcW w:w="1080" w:type="dxa"/>
            <w:vAlign w:val="bottom"/>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Income before income tax, and minority interest</w:t>
            </w:r>
          </w:p>
        </w:tc>
        <w:tc>
          <w:tcPr>
            <w:tcW w:w="1100" w:type="dxa"/>
            <w:vAlign w:val="bottom"/>
          </w:tcPr>
          <w:p>
            <w:pPr>
              <w:jc w:val="right"/>
              <w:spacing w:after="0"/>
              <w:rPr>
                <w:sz w:val="20"/>
                <w:szCs w:val="20"/>
                <w:color w:val="auto"/>
              </w:rPr>
            </w:pPr>
            <w:r>
              <w:rPr>
                <w:rFonts w:ascii="Arial" w:cs="Arial" w:eastAsia="Arial" w:hAnsi="Arial"/>
                <w:sz w:val="18"/>
                <w:szCs w:val="18"/>
                <w:color w:val="auto"/>
              </w:rPr>
              <w:t>22,614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44,465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130,606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Income Tax</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(5,987)</w:t>
            </w:r>
          </w:p>
        </w:tc>
        <w:tc>
          <w:tcPr>
            <w:tcW w:w="1080" w:type="dxa"/>
            <w:vAlign w:val="bottom"/>
          </w:tcPr>
          <w:p>
            <w:pPr>
              <w:jc w:val="right"/>
              <w:spacing w:after="0"/>
              <w:rPr>
                <w:sz w:val="20"/>
                <w:szCs w:val="20"/>
                <w:color w:val="auto"/>
              </w:rPr>
            </w:pPr>
            <w:r>
              <w:rPr>
                <w:rFonts w:ascii="Arial" w:cs="Arial" w:eastAsia="Arial" w:hAnsi="Arial"/>
                <w:sz w:val="18"/>
                <w:szCs w:val="18"/>
                <w:color w:val="auto"/>
              </w:rPr>
              <w:t>(13,250)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(32,628)</w:t>
            </w:r>
          </w:p>
        </w:tc>
        <w:tc>
          <w:tcPr>
            <w:tcW w:w="1080" w:type="dxa"/>
            <w:vAlign w:val="bottom"/>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Minority Interest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(3,110)</w:t>
            </w:r>
          </w:p>
        </w:tc>
        <w:tc>
          <w:tcPr>
            <w:tcW w:w="1080" w:type="dxa"/>
            <w:vAlign w:val="bottom"/>
          </w:tcPr>
          <w:p>
            <w:pPr>
              <w:jc w:val="right"/>
              <w:spacing w:after="0"/>
              <w:rPr>
                <w:sz w:val="20"/>
                <w:szCs w:val="20"/>
                <w:color w:val="auto"/>
              </w:rPr>
            </w:pPr>
            <w:r>
              <w:rPr>
                <w:rFonts w:ascii="Arial" w:cs="Arial" w:eastAsia="Arial" w:hAnsi="Arial"/>
                <w:sz w:val="18"/>
                <w:szCs w:val="18"/>
                <w:color w:val="auto"/>
              </w:rPr>
              <w:t>(5,246)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(10,287)</w:t>
            </w:r>
          </w:p>
        </w:tc>
        <w:tc>
          <w:tcPr>
            <w:tcW w:w="1080" w:type="dxa"/>
            <w:vAlign w:val="bottom"/>
          </w:tcPr>
          <w:p>
            <w:pPr>
              <w:jc w:val="right"/>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70"/>
        </w:trPr>
        <w:tc>
          <w:tcPr>
            <w:tcW w:w="5700" w:type="dxa"/>
            <w:vAlign w:val="bottom"/>
          </w:tcPr>
          <w:p>
            <w:pPr>
              <w:jc w:val="center"/>
              <w:spacing w:after="0"/>
              <w:rPr>
                <w:sz w:val="20"/>
                <w:szCs w:val="20"/>
                <w:color w:val="auto"/>
              </w:rPr>
            </w:pPr>
            <w:r>
              <w:rPr>
                <w:rFonts w:ascii="Arial" w:cs="Arial" w:eastAsia="Arial" w:hAnsi="Arial"/>
                <w:sz w:val="18"/>
                <w:szCs w:val="18"/>
                <w:color w:val="auto"/>
                <w:w w:val="95"/>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13,517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25,969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42,383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164"/>
        </w:trPr>
        <w:tc>
          <w:tcPr>
            <w:tcW w:w="57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-7584440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-7584440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-7232650</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-7232650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-7232650</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-7232650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-7232650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-20955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700" w:type="dxa"/>
            <w:vAlign w:val="bottom"/>
          </w:tcPr>
          <w:p>
            <w:pPr>
              <w:spacing w:after="0"/>
              <w:rPr>
                <w:sz w:val="19"/>
                <w:szCs w:val="19"/>
                <w:color w:val="auto"/>
              </w:rPr>
            </w:pPr>
          </w:p>
        </w:tc>
        <w:tc>
          <w:tcPr>
            <w:tcW w:w="2560" w:type="dxa"/>
            <w:vAlign w:val="bottom"/>
            <w:gridSpan w:val="5"/>
          </w:tcPr>
          <w:p>
            <w:pPr>
              <w:ind w:left="980"/>
              <w:spacing w:after="0"/>
              <w:rPr>
                <w:sz w:val="20"/>
                <w:szCs w:val="20"/>
                <w:color w:val="auto"/>
              </w:rPr>
            </w:pPr>
            <w:r>
              <w:rPr>
                <w:rFonts w:ascii="Arial" w:cs="Arial" w:eastAsia="Arial" w:hAnsi="Arial"/>
                <w:sz w:val="18"/>
                <w:szCs w:val="18"/>
                <w:color w:val="auto"/>
                <w:w w:val="93"/>
              </w:rPr>
              <w:t>Three months ended</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3"/>
          </w:tcPr>
          <w:p>
            <w:pPr>
              <w:jc w:val="right"/>
              <w:ind w:right="252"/>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5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31.12.03</w:t>
            </w: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Arial" w:cs="Arial" w:eastAsia="Arial" w:hAnsi="Arial"/>
                <w:sz w:val="18"/>
                <w:szCs w:val="18"/>
                <w:color w:val="auto"/>
              </w:rPr>
              <w:t>Profitability</w:t>
            </w: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40"/>
        </w:trPr>
        <w:tc>
          <w:tcPr>
            <w:tcW w:w="5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income per common share (US$ per share)(1)</w:t>
            </w:r>
          </w:p>
        </w:tc>
        <w:tc>
          <w:tcPr>
            <w:tcW w:w="1100" w:type="dxa"/>
            <w:vAlign w:val="bottom"/>
          </w:tcPr>
          <w:p>
            <w:pPr>
              <w:jc w:val="right"/>
              <w:spacing w:after="0"/>
              <w:rPr>
                <w:sz w:val="20"/>
                <w:szCs w:val="20"/>
                <w:color w:val="auto"/>
              </w:rPr>
            </w:pPr>
            <w:r>
              <w:rPr>
                <w:rFonts w:ascii="Arial" w:cs="Arial" w:eastAsia="Arial" w:hAnsi="Arial"/>
                <w:sz w:val="18"/>
                <w:szCs w:val="18"/>
                <w:color w:val="auto"/>
              </w:rPr>
              <w:t>0.169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0.299</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0.532</w:t>
            </w:r>
          </w:p>
        </w:tc>
        <w:tc>
          <w:tcPr>
            <w:tcW w:w="108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100" w:type="dxa"/>
            <w:vAlign w:val="bottom"/>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108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108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 of outstanding shares (millions)(4)</w:t>
            </w:r>
          </w:p>
        </w:tc>
        <w:tc>
          <w:tcPr>
            <w:tcW w:w="1100" w:type="dxa"/>
            <w:vAlign w:val="bottom"/>
          </w:tcPr>
          <w:p>
            <w:pPr>
              <w:jc w:val="right"/>
              <w:spacing w:after="0"/>
              <w:rPr>
                <w:sz w:val="20"/>
                <w:szCs w:val="20"/>
                <w:color w:val="auto"/>
              </w:rPr>
            </w:pPr>
            <w:r>
              <w:rPr>
                <w:rFonts w:ascii="Arial" w:cs="Arial" w:eastAsia="Arial" w:hAnsi="Arial"/>
                <w:sz w:val="18"/>
                <w:szCs w:val="18"/>
                <w:color w:val="auto"/>
              </w:rPr>
              <w:t>79.75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79.75</w:t>
            </w:r>
          </w:p>
        </w:tc>
        <w:tc>
          <w:tcPr>
            <w:tcW w:w="1080" w:type="dxa"/>
            <w:vAlign w:val="bottom"/>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Quality of loan portfolio</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past due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103.82%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127.36%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103.82%</w:t>
            </w:r>
          </w:p>
        </w:tc>
        <w:tc>
          <w:tcPr>
            <w:tcW w:w="1080" w:type="dxa"/>
            <w:vAlign w:val="bottom"/>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8.73%</w:t>
            </w:r>
          </w:p>
        </w:tc>
        <w:tc>
          <w:tcPr>
            <w:tcW w:w="108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substandard loans (C+D+E)</w:t>
            </w:r>
          </w:p>
        </w:tc>
        <w:tc>
          <w:tcPr>
            <w:tcW w:w="1100" w:type="dxa"/>
            <w:vAlign w:val="bottom"/>
          </w:tcPr>
          <w:p>
            <w:pPr>
              <w:jc w:val="right"/>
              <w:spacing w:after="0"/>
              <w:rPr>
                <w:sz w:val="20"/>
                <w:szCs w:val="20"/>
                <w:color w:val="auto"/>
              </w:rPr>
            </w:pPr>
            <w:r>
              <w:rPr>
                <w:rFonts w:ascii="Arial" w:cs="Arial" w:eastAsia="Arial" w:hAnsi="Arial"/>
                <w:sz w:val="18"/>
                <w:szCs w:val="18"/>
                <w:color w:val="auto"/>
              </w:rPr>
              <w:t>52.60%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52.60%</w:t>
            </w:r>
          </w:p>
        </w:tc>
        <w:tc>
          <w:tcPr>
            <w:tcW w:w="1080" w:type="dxa"/>
            <w:vAlign w:val="bottom"/>
          </w:tcPr>
          <w:p>
            <w:pPr>
              <w:jc w:val="right"/>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percentage of shareholders'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Operating efficiency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Oper. expense as a percent. of total income (5)</w:t>
            </w:r>
          </w:p>
        </w:tc>
        <w:tc>
          <w:tcPr>
            <w:tcW w:w="1100" w:type="dxa"/>
            <w:vAlign w:val="bottom"/>
          </w:tcPr>
          <w:p>
            <w:pPr>
              <w:jc w:val="right"/>
              <w:spacing w:after="0"/>
              <w:rPr>
                <w:sz w:val="20"/>
                <w:szCs w:val="20"/>
                <w:color w:val="auto"/>
              </w:rPr>
            </w:pPr>
            <w:r>
              <w:rPr>
                <w:rFonts w:ascii="Arial" w:cs="Arial" w:eastAsia="Arial" w:hAnsi="Arial"/>
                <w:sz w:val="18"/>
                <w:szCs w:val="18"/>
                <w:color w:val="auto"/>
              </w:rPr>
              <w:t>55.97%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51.79%</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1080" w:type="dxa"/>
            <w:vAlign w:val="bottom"/>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Oper. expense as a percent. of av. tot. assets(2)(3)(5)</w:t>
            </w: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Capital adequacy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Regulatory Capital (US$Mn)</w:t>
            </w:r>
          </w:p>
        </w:tc>
        <w:tc>
          <w:tcPr>
            <w:tcW w:w="1100" w:type="dxa"/>
            <w:vAlign w:val="bottom"/>
          </w:tcPr>
          <w:p>
            <w:pPr>
              <w:jc w:val="right"/>
              <w:spacing w:after="0"/>
              <w:rPr>
                <w:sz w:val="20"/>
                <w:szCs w:val="20"/>
                <w:color w:val="auto"/>
              </w:rPr>
            </w:pPr>
            <w:r>
              <w:rPr>
                <w:rFonts w:ascii="Arial" w:cs="Arial" w:eastAsia="Arial" w:hAnsi="Arial"/>
                <w:sz w:val="18"/>
                <w:szCs w:val="18"/>
                <w:color w:val="auto"/>
              </w:rPr>
              <w:t>788.0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731.4</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788.0</w:t>
            </w:r>
          </w:p>
        </w:tc>
        <w:tc>
          <w:tcPr>
            <w:tcW w:w="1080" w:type="dxa"/>
            <w:vAlign w:val="bottom"/>
          </w:tcPr>
          <w:p>
            <w:pPr>
              <w:jc w:val="right"/>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Tier I Capital (US$Mn)</w:t>
            </w:r>
          </w:p>
        </w:tc>
        <w:tc>
          <w:tcPr>
            <w:tcW w:w="1100" w:type="dxa"/>
            <w:vAlign w:val="bottom"/>
          </w:tcPr>
          <w:p>
            <w:pPr>
              <w:jc w:val="right"/>
              <w:spacing w:after="0"/>
              <w:rPr>
                <w:sz w:val="20"/>
                <w:szCs w:val="20"/>
                <w:color w:val="auto"/>
              </w:rPr>
            </w:pPr>
            <w:r>
              <w:rPr>
                <w:rFonts w:ascii="Arial" w:cs="Arial" w:eastAsia="Arial" w:hAnsi="Arial"/>
                <w:sz w:val="18"/>
                <w:szCs w:val="18"/>
                <w:color w:val="auto"/>
              </w:rPr>
              <w:t>608.8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608.8</w:t>
            </w:r>
          </w:p>
        </w:tc>
        <w:tc>
          <w:tcPr>
            <w:tcW w:w="1080" w:type="dxa"/>
            <w:vAlign w:val="bottom"/>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Regulatory capital / risk-weighted assets (6)</w:t>
            </w:r>
          </w:p>
        </w:tc>
        <w:tc>
          <w:tcPr>
            <w:tcW w:w="1100" w:type="dxa"/>
            <w:vAlign w:val="bottom"/>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12.30%</w:t>
            </w: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Average balances (US$Mn) (3)</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6,273.5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6,526.3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6,506.8</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6,149.5</w:t>
            </w:r>
          </w:p>
        </w:tc>
        <w:tc>
          <w:tcPr>
            <w:tcW w:w="1080" w:type="dxa"/>
            <w:vAlign w:val="bottom"/>
          </w:tcPr>
          <w:p>
            <w:pPr>
              <w:jc w:val="right"/>
              <w:spacing w:after="0"/>
              <w:rPr>
                <w:sz w:val="20"/>
                <w:szCs w:val="20"/>
                <w:color w:val="auto"/>
              </w:rPr>
            </w:pPr>
            <w:r>
              <w:rPr>
                <w:rFonts w:ascii="Arial" w:cs="Arial" w:eastAsia="Arial" w:hAnsi="Arial"/>
                <w:sz w:val="18"/>
                <w:szCs w:val="18"/>
                <w:color w:val="auto"/>
              </w:rPr>
              <w:t>6,682.8</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8,008.9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8,229.0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8,261.5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7,666.3</w:t>
            </w:r>
          </w:p>
        </w:tc>
        <w:tc>
          <w:tcPr>
            <w:tcW w:w="1080" w:type="dxa"/>
            <w:vAlign w:val="bottom"/>
          </w:tcPr>
          <w:p>
            <w:pPr>
              <w:jc w:val="right"/>
              <w:spacing w:after="0"/>
              <w:rPr>
                <w:sz w:val="20"/>
                <w:szCs w:val="20"/>
                <w:color w:val="auto"/>
              </w:rPr>
            </w:pPr>
            <w:r>
              <w:rPr>
                <w:rFonts w:ascii="Arial" w:cs="Arial" w:eastAsia="Arial" w:hAnsi="Arial"/>
                <w:sz w:val="18"/>
                <w:szCs w:val="18"/>
                <w:color w:val="auto"/>
              </w:rPr>
              <w:t>8,390.6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equity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811.1</w:t>
            </w:r>
          </w:p>
        </w:tc>
        <w:tc>
          <w:tcPr>
            <w:tcW w:w="1080" w:type="dxa"/>
            <w:vAlign w:val="bottom"/>
          </w:tcPr>
          <w:p>
            <w:pPr>
              <w:jc w:val="right"/>
              <w:spacing w:after="0"/>
              <w:rPr>
                <w:sz w:val="20"/>
                <w:szCs w:val="20"/>
                <w:color w:val="auto"/>
              </w:rPr>
            </w:pPr>
            <w:r>
              <w:rPr>
                <w:rFonts w:ascii="Arial" w:cs="Arial" w:eastAsia="Arial" w:hAnsi="Arial"/>
                <w:sz w:val="18"/>
                <w:szCs w:val="18"/>
                <w:color w:val="auto"/>
              </w:rPr>
              <w:t>873.9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804.4</w:t>
            </w:r>
          </w:p>
        </w:tc>
        <w:tc>
          <w:tcPr>
            <w:tcW w:w="108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164"/>
        </w:trPr>
        <w:tc>
          <w:tcPr>
            <w:tcW w:w="57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5772785</wp:posOffset>
            </wp:positionH>
            <wp:positionV relativeFrom="paragraph">
              <wp:posOffset>-6040755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-6040755</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-5688965</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-5688965</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-5688965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-5688965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-5688965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outstanding of 79.8 million in all periods.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w:t>
      </w:r>
    </w:p>
    <w:p>
      <w:pPr>
        <w:spacing w:after="0" w:line="9" w:lineRule="exact"/>
        <w:rPr>
          <w:sz w:val="20"/>
          <w:szCs w:val="20"/>
          <w:color w:val="auto"/>
        </w:rPr>
      </w:pPr>
    </w:p>
    <w:p>
      <w:pPr>
        <w:ind w:left="320" w:right="4540"/>
        <w:spacing w:after="0" w:line="281" w:lineRule="auto"/>
        <w:rPr>
          <w:sz w:val="20"/>
          <w:szCs w:val="20"/>
          <w:color w:val="auto"/>
        </w:rPr>
      </w:pPr>
      <w:r>
        <w:rPr>
          <w:rFonts w:ascii="Arial" w:cs="Arial" w:eastAsia="Arial" w:hAnsi="Arial"/>
          <w:sz w:val="16"/>
          <w:szCs w:val="16"/>
          <w:color w:val="auto"/>
        </w:rPr>
        <w:t>Operating expense is net of provisions for other assets received in lieu of loan repayment and mandatory employee profit sharing expense. Non-recurring items are not included.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 Risk-weighted assets include market risk assets.</w:t>
      </w:r>
    </w:p>
    <w:p>
      <w:pPr>
        <w:sectPr>
          <w:pgSz w:w="11900" w:h="16838" w:orient="portrait"/>
          <w:cols w:equalWidth="0" w:num="1">
            <w:col w:w="11400"/>
          </w:cols>
          <w:pgMar w:left="240" w:top="131"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(Constant Nuevos Soles, as of December 31,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30.09.02</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r>
      <w:tr>
        <w:trPr>
          <w:trHeight w:val="370"/>
        </w:trPr>
        <w:tc>
          <w:tcPr>
            <w:tcW w:w="5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US$000(1)</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00" w:type="dxa"/>
            <w:vAlign w:val="bottom"/>
          </w:tcPr>
          <w:p>
            <w:pPr>
              <w:jc w:val="right"/>
              <w:spacing w:after="0"/>
              <w:rPr>
                <w:sz w:val="20"/>
                <w:szCs w:val="20"/>
                <w:color w:val="auto"/>
              </w:rPr>
            </w:pPr>
            <w:r>
              <w:rPr>
                <w:rFonts w:ascii="Arial" w:cs="Arial" w:eastAsia="Arial" w:hAnsi="Arial"/>
                <w:sz w:val="18"/>
                <w:szCs w:val="18"/>
                <w:color w:val="auto"/>
              </w:rPr>
              <w:t>6,872.990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7,442.084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5,786.282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5,181.927</w:t>
            </w:r>
          </w:p>
        </w:tc>
        <w:tc>
          <w:tcPr>
            <w:tcW w:w="1080" w:type="dxa"/>
            <w:vAlign w:val="bottom"/>
          </w:tcPr>
          <w:p>
            <w:pPr>
              <w:jc w:val="right"/>
              <w:spacing w:after="0"/>
              <w:rPr>
                <w:sz w:val="20"/>
                <w:szCs w:val="20"/>
                <w:color w:val="auto"/>
              </w:rPr>
            </w:pPr>
            <w:r>
              <w:rPr>
                <w:rFonts w:ascii="Arial" w:cs="Arial" w:eastAsia="Arial" w:hAnsi="Arial"/>
                <w:sz w:val="18"/>
                <w:szCs w:val="18"/>
                <w:color w:val="auto"/>
              </w:rPr>
              <w:t>$1,496.369</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Cash and Checks</w:t>
            </w:r>
          </w:p>
        </w:tc>
        <w:tc>
          <w:tcPr>
            <w:tcW w:w="1100" w:type="dxa"/>
            <w:vAlign w:val="bottom"/>
          </w:tcPr>
          <w:p>
            <w:pPr>
              <w:jc w:val="right"/>
              <w:spacing w:after="0"/>
              <w:rPr>
                <w:sz w:val="20"/>
                <w:szCs w:val="20"/>
                <w:color w:val="auto"/>
              </w:rPr>
            </w:pPr>
            <w:r>
              <w:rPr>
                <w:rFonts w:ascii="Arial" w:cs="Arial" w:eastAsia="Arial" w:hAnsi="Arial"/>
                <w:sz w:val="18"/>
                <w:szCs w:val="18"/>
                <w:color w:val="auto"/>
              </w:rPr>
              <w:t>889.121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1,103.450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880.744</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791.507</w:t>
            </w:r>
          </w:p>
        </w:tc>
        <w:tc>
          <w:tcPr>
            <w:tcW w:w="1080" w:type="dxa"/>
            <w:vAlign w:val="bottom"/>
          </w:tcPr>
          <w:p>
            <w:pPr>
              <w:jc w:val="right"/>
              <w:spacing w:after="0"/>
              <w:rPr>
                <w:sz w:val="20"/>
                <w:szCs w:val="20"/>
                <w:color w:val="auto"/>
              </w:rPr>
            </w:pPr>
            <w:r>
              <w:rPr>
                <w:rFonts w:ascii="Arial" w:cs="Arial" w:eastAsia="Arial" w:hAnsi="Arial"/>
                <w:sz w:val="18"/>
                <w:szCs w:val="18"/>
                <w:color w:val="auto"/>
              </w:rPr>
              <w:t>$228.561</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Deposits in Central Bank of Peru</w:t>
            </w:r>
          </w:p>
        </w:tc>
        <w:tc>
          <w:tcPr>
            <w:tcW w:w="1100" w:type="dxa"/>
            <w:vAlign w:val="bottom"/>
          </w:tcPr>
          <w:p>
            <w:pPr>
              <w:jc w:val="right"/>
              <w:spacing w:after="0"/>
              <w:rPr>
                <w:sz w:val="20"/>
                <w:szCs w:val="20"/>
                <w:color w:val="auto"/>
              </w:rPr>
            </w:pPr>
            <w:r>
              <w:rPr>
                <w:rFonts w:ascii="Arial" w:cs="Arial" w:eastAsia="Arial" w:hAnsi="Arial"/>
                <w:sz w:val="18"/>
                <w:szCs w:val="18"/>
                <w:color w:val="auto"/>
              </w:rPr>
              <w:t>4,948.674</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4,862.371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4,023.982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3,325.124</w:t>
            </w:r>
          </w:p>
        </w:tc>
        <w:tc>
          <w:tcPr>
            <w:tcW w:w="1080" w:type="dxa"/>
            <w:vAlign w:val="bottom"/>
          </w:tcPr>
          <w:p>
            <w:pPr>
              <w:jc w:val="right"/>
              <w:spacing w:after="0"/>
              <w:rPr>
                <w:sz w:val="20"/>
                <w:szCs w:val="20"/>
                <w:color w:val="auto"/>
              </w:rPr>
            </w:pPr>
            <w:r>
              <w:rPr>
                <w:rFonts w:ascii="Arial" w:cs="Arial" w:eastAsia="Arial" w:hAnsi="Arial"/>
                <w:sz w:val="18"/>
                <w:szCs w:val="18"/>
                <w:color w:val="auto"/>
              </w:rPr>
              <w:t>$960.186</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Deposits with local and foreign banks</w:t>
            </w:r>
          </w:p>
        </w:tc>
        <w:tc>
          <w:tcPr>
            <w:tcW w:w="1100" w:type="dxa"/>
            <w:vAlign w:val="bottom"/>
          </w:tcPr>
          <w:p>
            <w:pPr>
              <w:jc w:val="right"/>
              <w:spacing w:after="0"/>
              <w:rPr>
                <w:sz w:val="20"/>
                <w:szCs w:val="20"/>
                <w:color w:val="auto"/>
              </w:rPr>
            </w:pPr>
            <w:r>
              <w:rPr>
                <w:rFonts w:ascii="Arial" w:cs="Arial" w:eastAsia="Arial" w:hAnsi="Arial"/>
                <w:sz w:val="18"/>
                <w:szCs w:val="18"/>
                <w:color w:val="auto"/>
              </w:rPr>
              <w:t>1,035.195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1,476.263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881.556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1,065.296</w:t>
            </w:r>
          </w:p>
        </w:tc>
        <w:tc>
          <w:tcPr>
            <w:tcW w:w="1080" w:type="dxa"/>
            <w:vAlign w:val="bottom"/>
          </w:tcPr>
          <w:p>
            <w:pPr>
              <w:jc w:val="right"/>
              <w:spacing w:after="0"/>
              <w:rPr>
                <w:sz w:val="20"/>
                <w:szCs w:val="20"/>
                <w:color w:val="auto"/>
              </w:rPr>
            </w:pPr>
            <w:r>
              <w:rPr>
                <w:rFonts w:ascii="Arial" w:cs="Arial" w:eastAsia="Arial" w:hAnsi="Arial"/>
                <w:sz w:val="18"/>
                <w:szCs w:val="18"/>
                <w:color w:val="auto"/>
              </w:rPr>
              <w:t>$307.622</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TRADING and AVAIL. for SALE SECURITIES, net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115.867</w:t>
            </w:r>
          </w:p>
        </w:tc>
        <w:tc>
          <w:tcPr>
            <w:tcW w:w="1080" w:type="dxa"/>
            <w:vAlign w:val="bottom"/>
          </w:tcPr>
          <w:p>
            <w:pPr>
              <w:jc w:val="right"/>
              <w:spacing w:after="0"/>
              <w:rPr>
                <w:sz w:val="20"/>
                <w:szCs w:val="20"/>
                <w:color w:val="auto"/>
              </w:rPr>
            </w:pPr>
            <w:r>
              <w:rPr>
                <w:rFonts w:ascii="Arial" w:cs="Arial" w:eastAsia="Arial" w:hAnsi="Arial"/>
                <w:sz w:val="18"/>
                <w:szCs w:val="18"/>
                <w:color w:val="auto"/>
              </w:rPr>
              <w:t>66.343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171.442</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137.314</w:t>
            </w:r>
          </w:p>
        </w:tc>
        <w:tc>
          <w:tcPr>
            <w:tcW w:w="1080" w:type="dxa"/>
            <w:vAlign w:val="bottom"/>
          </w:tcPr>
          <w:p>
            <w:pPr>
              <w:jc w:val="right"/>
              <w:spacing w:after="0"/>
              <w:rPr>
                <w:sz w:val="20"/>
                <w:szCs w:val="20"/>
                <w:color w:val="auto"/>
              </w:rPr>
            </w:pPr>
            <w:r>
              <w:rPr>
                <w:rFonts w:ascii="Arial" w:cs="Arial" w:eastAsia="Arial" w:hAnsi="Arial"/>
                <w:sz w:val="18"/>
                <w:szCs w:val="18"/>
                <w:color w:val="auto"/>
              </w:rPr>
              <w:t>$39.652</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13,007.596</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15,965.907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14,424.454</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14,203.943</w:t>
            </w:r>
          </w:p>
        </w:tc>
        <w:tc>
          <w:tcPr>
            <w:tcW w:w="1080" w:type="dxa"/>
            <w:vAlign w:val="bottom"/>
          </w:tcPr>
          <w:p>
            <w:pPr>
              <w:jc w:val="right"/>
              <w:spacing w:after="0"/>
              <w:rPr>
                <w:sz w:val="20"/>
                <w:szCs w:val="20"/>
                <w:color w:val="auto"/>
              </w:rPr>
            </w:pPr>
            <w:r>
              <w:rPr>
                <w:rFonts w:ascii="Arial" w:cs="Arial" w:eastAsia="Arial" w:hAnsi="Arial"/>
                <w:sz w:val="18"/>
                <w:szCs w:val="18"/>
                <w:color w:val="auto"/>
              </w:rPr>
              <w:t>$4,101.630</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Current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11,946.401</w:t>
            </w:r>
          </w:p>
        </w:tc>
        <w:tc>
          <w:tcPr>
            <w:tcW w:w="1080" w:type="dxa"/>
            <w:vAlign w:val="bottom"/>
          </w:tcPr>
          <w:p>
            <w:pPr>
              <w:jc w:val="right"/>
              <w:spacing w:after="0"/>
              <w:rPr>
                <w:sz w:val="20"/>
                <w:szCs w:val="20"/>
                <w:color w:val="auto"/>
              </w:rPr>
            </w:pPr>
            <w:r>
              <w:rPr>
                <w:rFonts w:ascii="Arial" w:cs="Arial" w:eastAsia="Arial" w:hAnsi="Arial"/>
                <w:sz w:val="18"/>
                <w:szCs w:val="18"/>
                <w:color w:val="auto"/>
              </w:rPr>
              <w:t>14,599.542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13,251.640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13,342.323</w:t>
            </w:r>
          </w:p>
        </w:tc>
        <w:tc>
          <w:tcPr>
            <w:tcW w:w="1080" w:type="dxa"/>
            <w:vAlign w:val="bottom"/>
          </w:tcPr>
          <w:p>
            <w:pPr>
              <w:jc w:val="right"/>
              <w:spacing w:after="0"/>
              <w:rPr>
                <w:sz w:val="20"/>
                <w:szCs w:val="20"/>
                <w:color w:val="auto"/>
              </w:rPr>
            </w:pPr>
            <w:r>
              <w:rPr>
                <w:rFonts w:ascii="Arial" w:cs="Arial" w:eastAsia="Arial" w:hAnsi="Arial"/>
                <w:sz w:val="18"/>
                <w:szCs w:val="18"/>
                <w:color w:val="auto"/>
              </w:rPr>
              <w:t>$3,852.822</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w:t>
            </w:r>
          </w:p>
        </w:tc>
        <w:tc>
          <w:tcPr>
            <w:tcW w:w="1100" w:type="dxa"/>
            <w:vAlign w:val="bottom"/>
          </w:tcPr>
          <w:p>
            <w:pPr>
              <w:jc w:val="right"/>
              <w:spacing w:after="0"/>
              <w:rPr>
                <w:sz w:val="20"/>
                <w:szCs w:val="20"/>
                <w:color w:val="auto"/>
              </w:rPr>
            </w:pPr>
            <w:r>
              <w:rPr>
                <w:rFonts w:ascii="Arial" w:cs="Arial" w:eastAsia="Arial" w:hAnsi="Arial"/>
                <w:sz w:val="18"/>
                <w:szCs w:val="18"/>
                <w:color w:val="auto"/>
              </w:rPr>
              <w:t>1,061.195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1,366.365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1,172.814</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861.620</w:t>
            </w:r>
          </w:p>
        </w:tc>
        <w:tc>
          <w:tcPr>
            <w:tcW w:w="1080" w:type="dxa"/>
            <w:vAlign w:val="bottom"/>
          </w:tcPr>
          <w:p>
            <w:pPr>
              <w:jc w:val="right"/>
              <w:spacing w:after="0"/>
              <w:rPr>
                <w:sz w:val="20"/>
                <w:szCs w:val="20"/>
                <w:color w:val="auto"/>
              </w:rPr>
            </w:pPr>
            <w:r>
              <w:rPr>
                <w:rFonts w:ascii="Arial" w:cs="Arial" w:eastAsia="Arial" w:hAnsi="Arial"/>
                <w:sz w:val="18"/>
                <w:szCs w:val="18"/>
                <w:color w:val="auto"/>
              </w:rPr>
              <w:t>$248.807</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Less - Reserve for possible loan losses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(1,142.472)</w:t>
            </w:r>
          </w:p>
        </w:tc>
        <w:tc>
          <w:tcPr>
            <w:tcW w:w="1080" w:type="dxa"/>
            <w:vAlign w:val="bottom"/>
          </w:tcPr>
          <w:p>
            <w:pPr>
              <w:jc w:val="right"/>
              <w:spacing w:after="0"/>
              <w:rPr>
                <w:sz w:val="20"/>
                <w:szCs w:val="20"/>
                <w:color w:val="auto"/>
              </w:rPr>
            </w:pPr>
            <w:r>
              <w:rPr>
                <w:rFonts w:ascii="Arial" w:cs="Arial" w:eastAsia="Arial" w:hAnsi="Arial"/>
                <w:sz w:val="18"/>
                <w:szCs w:val="18"/>
                <w:color w:val="auto"/>
              </w:rPr>
              <w:t>(1,485.941)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(1,381.058)</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(1,143.625)</w:t>
            </w:r>
          </w:p>
        </w:tc>
        <w:tc>
          <w:tcPr>
            <w:tcW w:w="1080" w:type="dxa"/>
            <w:vAlign w:val="bottom"/>
          </w:tcPr>
          <w:p>
            <w:pPr>
              <w:jc w:val="right"/>
              <w:spacing w:after="0"/>
              <w:rPr>
                <w:sz w:val="20"/>
                <w:szCs w:val="20"/>
                <w:color w:val="auto"/>
              </w:rPr>
            </w:pPr>
            <w:r>
              <w:rPr>
                <w:rFonts w:ascii="Arial" w:cs="Arial" w:eastAsia="Arial" w:hAnsi="Arial"/>
                <w:sz w:val="18"/>
                <w:szCs w:val="18"/>
                <w:color w:val="auto"/>
              </w:rPr>
              <w:t>($330.241)</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LOANS NET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11,865.124</w:t>
            </w:r>
          </w:p>
        </w:tc>
        <w:tc>
          <w:tcPr>
            <w:tcW w:w="1080" w:type="dxa"/>
            <w:vAlign w:val="bottom"/>
          </w:tcPr>
          <w:p>
            <w:pPr>
              <w:jc w:val="right"/>
              <w:spacing w:after="0"/>
              <w:rPr>
                <w:sz w:val="20"/>
                <w:szCs w:val="20"/>
                <w:color w:val="auto"/>
              </w:rPr>
            </w:pPr>
            <w:r>
              <w:rPr>
                <w:rFonts w:ascii="Arial" w:cs="Arial" w:eastAsia="Arial" w:hAnsi="Arial"/>
                <w:sz w:val="18"/>
                <w:szCs w:val="18"/>
                <w:color w:val="auto"/>
              </w:rPr>
              <w:t>14,479.966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13,043.396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13,060.318</w:t>
            </w:r>
          </w:p>
        </w:tc>
        <w:tc>
          <w:tcPr>
            <w:tcW w:w="1080" w:type="dxa"/>
            <w:vAlign w:val="bottom"/>
          </w:tcPr>
          <w:p>
            <w:pPr>
              <w:jc w:val="right"/>
              <w:spacing w:after="0"/>
              <w:rPr>
                <w:sz w:val="20"/>
                <w:szCs w:val="20"/>
                <w:color w:val="auto"/>
              </w:rPr>
            </w:pPr>
            <w:r>
              <w:rPr>
                <w:rFonts w:ascii="Arial" w:cs="Arial" w:eastAsia="Arial" w:hAnsi="Arial"/>
                <w:sz w:val="18"/>
                <w:szCs w:val="18"/>
                <w:color w:val="auto"/>
              </w:rPr>
              <w:t>$3,771.388</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INVESTMENT SECURITIES, PERMANENT</w:t>
            </w:r>
          </w:p>
        </w:tc>
        <w:tc>
          <w:tcPr>
            <w:tcW w:w="1100" w:type="dxa"/>
            <w:vAlign w:val="bottom"/>
          </w:tcPr>
          <w:p>
            <w:pPr>
              <w:jc w:val="right"/>
              <w:spacing w:after="0"/>
              <w:rPr>
                <w:sz w:val="20"/>
                <w:szCs w:val="20"/>
                <w:color w:val="auto"/>
              </w:rPr>
            </w:pPr>
            <w:r>
              <w:rPr>
                <w:rFonts w:ascii="Arial" w:cs="Arial" w:eastAsia="Arial" w:hAnsi="Arial"/>
                <w:sz w:val="18"/>
                <w:szCs w:val="18"/>
                <w:color w:val="auto"/>
              </w:rPr>
              <w:t>1,996.027</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2,335.435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2,780.041</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3,018.238</w:t>
            </w:r>
          </w:p>
        </w:tc>
        <w:tc>
          <w:tcPr>
            <w:tcW w:w="1080" w:type="dxa"/>
            <w:vAlign w:val="bottom"/>
          </w:tcPr>
          <w:p>
            <w:pPr>
              <w:jc w:val="right"/>
              <w:spacing w:after="0"/>
              <w:rPr>
                <w:sz w:val="20"/>
                <w:szCs w:val="20"/>
                <w:color w:val="auto"/>
              </w:rPr>
            </w:pPr>
            <w:r>
              <w:rPr>
                <w:rFonts w:ascii="Arial" w:cs="Arial" w:eastAsia="Arial" w:hAnsi="Arial"/>
                <w:sz w:val="18"/>
                <w:szCs w:val="18"/>
                <w:color w:val="auto"/>
              </w:rPr>
              <w:t>$871.567</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jc w:val="right"/>
              <w:spacing w:after="0"/>
              <w:rPr>
                <w:sz w:val="20"/>
                <w:szCs w:val="20"/>
                <w:color w:val="auto"/>
              </w:rPr>
            </w:pPr>
            <w:r>
              <w:rPr>
                <w:rFonts w:ascii="Arial" w:cs="Arial" w:eastAsia="Arial" w:hAnsi="Arial"/>
                <w:sz w:val="18"/>
                <w:szCs w:val="18"/>
                <w:color w:val="auto"/>
              </w:rPr>
              <w:t>626.621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794.787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720.516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731.677</w:t>
            </w:r>
          </w:p>
        </w:tc>
        <w:tc>
          <w:tcPr>
            <w:tcW w:w="1080" w:type="dxa"/>
            <w:vAlign w:val="bottom"/>
          </w:tcPr>
          <w:p>
            <w:pPr>
              <w:jc w:val="right"/>
              <w:spacing w:after="0"/>
              <w:rPr>
                <w:sz w:val="20"/>
                <w:szCs w:val="20"/>
                <w:color w:val="auto"/>
              </w:rPr>
            </w:pPr>
            <w:r>
              <w:rPr>
                <w:rFonts w:ascii="Arial" w:cs="Arial" w:eastAsia="Arial" w:hAnsi="Arial"/>
                <w:sz w:val="18"/>
                <w:szCs w:val="18"/>
                <w:color w:val="auto"/>
              </w:rPr>
              <w:t>$211.284</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710.873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1,121.640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1,030.382</w:t>
            </w:r>
          </w:p>
        </w:tc>
        <w:tc>
          <w:tcPr>
            <w:tcW w:w="1080" w:type="dxa"/>
            <w:vAlign w:val="bottom"/>
          </w:tcPr>
          <w:p>
            <w:pPr>
              <w:jc w:val="right"/>
              <w:spacing w:after="0"/>
              <w:rPr>
                <w:sz w:val="20"/>
                <w:szCs w:val="20"/>
                <w:color w:val="auto"/>
              </w:rPr>
            </w:pPr>
            <w:r>
              <w:rPr>
                <w:rFonts w:ascii="Arial" w:cs="Arial" w:eastAsia="Arial" w:hAnsi="Arial"/>
                <w:sz w:val="18"/>
                <w:szCs w:val="18"/>
                <w:color w:val="auto"/>
              </w:rPr>
              <w:t>$297.540</w:t>
            </w:r>
          </w:p>
        </w:tc>
      </w:tr>
      <w:tr>
        <w:trPr>
          <w:trHeight w:val="540"/>
        </w:trPr>
        <w:tc>
          <w:tcPr>
            <w:tcW w:w="5700" w:type="dxa"/>
            <w:vAlign w:val="bottom"/>
          </w:tcPr>
          <w:p>
            <w:pPr>
              <w:jc w:val="center"/>
              <w:spacing w:after="0"/>
              <w:rPr>
                <w:sz w:val="20"/>
                <w:szCs w:val="20"/>
                <w:color w:val="auto"/>
              </w:rPr>
            </w:pPr>
            <w:r>
              <w:rPr>
                <w:rFonts w:ascii="Arial" w:cs="Arial" w:eastAsia="Arial" w:hAnsi="Arial"/>
                <w:sz w:val="18"/>
                <w:szCs w:val="18"/>
                <w:color w:val="auto"/>
                <w:w w:val="92"/>
              </w:rPr>
              <w:t>TOTAL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22,187.502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26,027.041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23,623.317</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23,159.856</w:t>
            </w:r>
          </w:p>
        </w:tc>
        <w:tc>
          <w:tcPr>
            <w:tcW w:w="1080" w:type="dxa"/>
            <w:vAlign w:val="bottom"/>
          </w:tcPr>
          <w:p>
            <w:pPr>
              <w:jc w:val="right"/>
              <w:spacing w:after="0"/>
              <w:rPr>
                <w:sz w:val="20"/>
                <w:szCs w:val="20"/>
                <w:color w:val="auto"/>
              </w:rPr>
            </w:pPr>
            <w:r>
              <w:rPr>
                <w:rFonts w:ascii="Arial" w:cs="Arial" w:eastAsia="Arial" w:hAnsi="Arial"/>
                <w:sz w:val="18"/>
                <w:szCs w:val="18"/>
                <w:color w:val="auto"/>
              </w:rPr>
              <w:t>$6,687.801</w:t>
            </w:r>
          </w:p>
        </w:tc>
      </w:tr>
      <w:tr>
        <w:trPr>
          <w:trHeight w:val="540"/>
        </w:trPr>
        <w:tc>
          <w:tcPr>
            <w:tcW w:w="5700" w:type="dxa"/>
            <w:vAlign w:val="bottom"/>
          </w:tcPr>
          <w:p>
            <w:pPr>
              <w:jc w:val="center"/>
              <w:spacing w:after="0"/>
              <w:rPr>
                <w:sz w:val="20"/>
                <w:szCs w:val="20"/>
                <w:color w:val="auto"/>
              </w:rPr>
            </w:pPr>
            <w:r>
              <w:rPr>
                <w:rFonts w:ascii="Arial" w:cs="Arial" w:eastAsia="Arial" w:hAnsi="Arial"/>
                <w:sz w:val="18"/>
                <w:szCs w:val="18"/>
                <w:color w:val="auto"/>
                <w:w w:val="96"/>
              </w:rPr>
              <w:t>LIABILITIES AND SHAREHOLDERS' EQUITY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18,738.989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22,237.979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20,024.135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19,559.312</w:t>
            </w:r>
          </w:p>
        </w:tc>
        <w:tc>
          <w:tcPr>
            <w:tcW w:w="1080" w:type="dxa"/>
            <w:vAlign w:val="bottom"/>
          </w:tcPr>
          <w:p>
            <w:pPr>
              <w:jc w:val="right"/>
              <w:spacing w:after="0"/>
              <w:rPr>
                <w:sz w:val="20"/>
                <w:szCs w:val="20"/>
                <w:color w:val="auto"/>
              </w:rPr>
            </w:pPr>
            <w:r>
              <w:rPr>
                <w:rFonts w:ascii="Arial" w:cs="Arial" w:eastAsia="Arial" w:hAnsi="Arial"/>
                <w:sz w:val="18"/>
                <w:szCs w:val="18"/>
                <w:color w:val="auto"/>
              </w:rPr>
              <w:t>$5,648.083</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Demand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3,955.281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4,996.622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4,768.111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4,819.834</w:t>
            </w:r>
          </w:p>
        </w:tc>
        <w:tc>
          <w:tcPr>
            <w:tcW w:w="1080" w:type="dxa"/>
            <w:vAlign w:val="bottom"/>
          </w:tcPr>
          <w:p>
            <w:pPr>
              <w:jc w:val="right"/>
              <w:spacing w:after="0"/>
              <w:rPr>
                <w:sz w:val="20"/>
                <w:szCs w:val="20"/>
                <w:color w:val="auto"/>
              </w:rPr>
            </w:pPr>
            <w:r>
              <w:rPr>
                <w:rFonts w:ascii="Arial" w:cs="Arial" w:eastAsia="Arial" w:hAnsi="Arial"/>
                <w:sz w:val="18"/>
                <w:szCs w:val="18"/>
                <w:color w:val="auto"/>
              </w:rPr>
              <w:t>$1,391.809</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Saving accounts</w:t>
            </w:r>
          </w:p>
        </w:tc>
        <w:tc>
          <w:tcPr>
            <w:tcW w:w="1100" w:type="dxa"/>
            <w:vAlign w:val="bottom"/>
          </w:tcPr>
          <w:p>
            <w:pPr>
              <w:jc w:val="right"/>
              <w:spacing w:after="0"/>
              <w:rPr>
                <w:sz w:val="20"/>
                <w:szCs w:val="20"/>
                <w:color w:val="auto"/>
              </w:rPr>
            </w:pPr>
            <w:r>
              <w:rPr>
                <w:rFonts w:ascii="Arial" w:cs="Arial" w:eastAsia="Arial" w:hAnsi="Arial"/>
                <w:sz w:val="18"/>
                <w:szCs w:val="18"/>
                <w:color w:val="auto"/>
              </w:rPr>
              <w:t>5,304.283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5,972.368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5,342.751</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5,298.223</w:t>
            </w:r>
          </w:p>
        </w:tc>
        <w:tc>
          <w:tcPr>
            <w:tcW w:w="1080" w:type="dxa"/>
            <w:vAlign w:val="bottom"/>
          </w:tcPr>
          <w:p>
            <w:pPr>
              <w:jc w:val="right"/>
              <w:spacing w:after="0"/>
              <w:rPr>
                <w:sz w:val="20"/>
                <w:szCs w:val="20"/>
                <w:color w:val="auto"/>
              </w:rPr>
            </w:pPr>
            <w:r>
              <w:rPr>
                <w:rFonts w:ascii="Arial" w:cs="Arial" w:eastAsia="Arial" w:hAnsi="Arial"/>
                <w:sz w:val="18"/>
                <w:szCs w:val="18"/>
                <w:color w:val="auto"/>
              </w:rPr>
              <w:t>$1,529.952</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Time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9,479.425</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11,268.989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9,913.273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9,441.255</w:t>
            </w:r>
          </w:p>
        </w:tc>
        <w:tc>
          <w:tcPr>
            <w:tcW w:w="1080" w:type="dxa"/>
            <w:vAlign w:val="bottom"/>
          </w:tcPr>
          <w:p>
            <w:pPr>
              <w:jc w:val="right"/>
              <w:spacing w:after="0"/>
              <w:rPr>
                <w:sz w:val="20"/>
                <w:szCs w:val="20"/>
                <w:color w:val="auto"/>
              </w:rPr>
            </w:pPr>
            <w:r>
              <w:rPr>
                <w:rFonts w:ascii="Arial" w:cs="Arial" w:eastAsia="Arial" w:hAnsi="Arial"/>
                <w:sz w:val="18"/>
                <w:szCs w:val="18"/>
                <w:color w:val="auto"/>
              </w:rPr>
              <w:t>$2,726.323</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100" w:type="dxa"/>
            <w:vAlign w:val="bottom"/>
          </w:tcPr>
          <w:p>
            <w:pPr>
              <w:jc w:val="right"/>
              <w:spacing w:after="0"/>
              <w:rPr>
                <w:sz w:val="20"/>
                <w:szCs w:val="20"/>
                <w:color w:val="auto"/>
              </w:rPr>
            </w:pPr>
            <w:r>
              <w:rPr>
                <w:rFonts w:ascii="Arial" w:cs="Arial" w:eastAsia="Arial" w:hAnsi="Arial"/>
                <w:sz w:val="18"/>
                <w:szCs w:val="18"/>
                <w:color w:val="auto"/>
              </w:rPr>
              <w:t>472.196</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566.331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357.869</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354.740</w:t>
            </w:r>
          </w:p>
        </w:tc>
        <w:tc>
          <w:tcPr>
            <w:tcW w:w="1080" w:type="dxa"/>
            <w:vAlign w:val="bottom"/>
          </w:tcPr>
          <w:p>
            <w:pPr>
              <w:jc w:val="right"/>
              <w:spacing w:after="0"/>
              <w:rPr>
                <w:sz w:val="20"/>
                <w:szCs w:val="20"/>
                <w:color w:val="auto"/>
              </w:rPr>
            </w:pPr>
            <w:r>
              <w:rPr>
                <w:rFonts w:ascii="Arial" w:cs="Arial" w:eastAsia="Arial" w:hAnsi="Arial"/>
                <w:sz w:val="18"/>
                <w:szCs w:val="18"/>
                <w:color w:val="auto"/>
              </w:rPr>
              <w:t>$102.437</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jc w:val="right"/>
              <w:spacing w:after="0"/>
              <w:rPr>
                <w:sz w:val="20"/>
                <w:szCs w:val="20"/>
                <w:color w:val="auto"/>
              </w:rPr>
            </w:pPr>
            <w:r>
              <w:rPr>
                <w:rFonts w:ascii="Arial" w:cs="Arial" w:eastAsia="Arial" w:hAnsi="Arial"/>
                <w:sz w:val="18"/>
                <w:szCs w:val="18"/>
                <w:color w:val="auto"/>
              </w:rPr>
              <w:t>984.909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1,188.184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1,094.103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1,011.038</w:t>
            </w:r>
          </w:p>
        </w:tc>
        <w:tc>
          <w:tcPr>
            <w:tcW w:w="1080" w:type="dxa"/>
            <w:vAlign w:val="bottom"/>
          </w:tcPr>
          <w:p>
            <w:pPr>
              <w:jc w:val="right"/>
              <w:spacing w:after="0"/>
              <w:rPr>
                <w:sz w:val="20"/>
                <w:szCs w:val="20"/>
                <w:color w:val="auto"/>
              </w:rPr>
            </w:pPr>
            <w:r>
              <w:rPr>
                <w:rFonts w:ascii="Arial" w:cs="Arial" w:eastAsia="Arial" w:hAnsi="Arial"/>
                <w:sz w:val="18"/>
                <w:szCs w:val="18"/>
                <w:color w:val="auto"/>
              </w:rPr>
              <w:t>$291.954</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1,991.408</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2,034.547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2,147.210</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2,234.766</w:t>
            </w:r>
          </w:p>
        </w:tc>
        <w:tc>
          <w:tcPr>
            <w:tcW w:w="1080" w:type="dxa"/>
            <w:vAlign w:val="bottom"/>
          </w:tcPr>
          <w:p>
            <w:pPr>
              <w:jc w:val="right"/>
              <w:spacing w:after="0"/>
              <w:rPr>
                <w:sz w:val="20"/>
                <w:szCs w:val="20"/>
                <w:color w:val="auto"/>
              </w:rPr>
            </w:pPr>
            <w:r>
              <w:rPr>
                <w:rFonts w:ascii="Arial" w:cs="Arial" w:eastAsia="Arial" w:hAnsi="Arial"/>
                <w:sz w:val="18"/>
                <w:szCs w:val="18"/>
                <w:color w:val="auto"/>
              </w:rPr>
              <w:t>$645.327</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Capital stock</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1,116.701</w:t>
            </w:r>
          </w:p>
        </w:tc>
        <w:tc>
          <w:tcPr>
            <w:tcW w:w="1080" w:type="dxa"/>
            <w:vAlign w:val="bottom"/>
          </w:tcPr>
          <w:p>
            <w:pPr>
              <w:jc w:val="right"/>
              <w:spacing w:after="0"/>
              <w:rPr>
                <w:sz w:val="20"/>
                <w:szCs w:val="20"/>
                <w:color w:val="auto"/>
              </w:rPr>
            </w:pPr>
            <w:r>
              <w:rPr>
                <w:rFonts w:ascii="Arial" w:cs="Arial" w:eastAsia="Arial" w:hAnsi="Arial"/>
                <w:sz w:val="18"/>
                <w:szCs w:val="18"/>
                <w:color w:val="auto"/>
              </w:rPr>
              <w:t>1,116.571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1,226.566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1,226.433</w:t>
            </w:r>
          </w:p>
        </w:tc>
        <w:tc>
          <w:tcPr>
            <w:tcW w:w="1080" w:type="dxa"/>
            <w:vAlign w:val="bottom"/>
          </w:tcPr>
          <w:p>
            <w:pPr>
              <w:jc w:val="right"/>
              <w:spacing w:after="0"/>
              <w:rPr>
                <w:sz w:val="20"/>
                <w:szCs w:val="20"/>
                <w:color w:val="auto"/>
              </w:rPr>
            </w:pPr>
            <w:r>
              <w:rPr>
                <w:rFonts w:ascii="Arial" w:cs="Arial" w:eastAsia="Arial" w:hAnsi="Arial"/>
                <w:sz w:val="18"/>
                <w:szCs w:val="18"/>
                <w:color w:val="auto"/>
              </w:rPr>
              <w:t>$354.153</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Legal reserve</w:t>
            </w:r>
          </w:p>
        </w:tc>
        <w:tc>
          <w:tcPr>
            <w:tcW w:w="1100" w:type="dxa"/>
            <w:vAlign w:val="bottom"/>
          </w:tcPr>
          <w:p>
            <w:pPr>
              <w:jc w:val="right"/>
              <w:spacing w:after="0"/>
              <w:rPr>
                <w:sz w:val="20"/>
                <w:szCs w:val="20"/>
                <w:color w:val="auto"/>
              </w:rPr>
            </w:pPr>
            <w:r>
              <w:rPr>
                <w:rFonts w:ascii="Arial" w:cs="Arial" w:eastAsia="Arial" w:hAnsi="Arial"/>
                <w:sz w:val="18"/>
                <w:szCs w:val="18"/>
                <w:color w:val="auto"/>
              </w:rPr>
              <w:t>660.566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660.489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698.439</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698.363</w:t>
            </w:r>
          </w:p>
        </w:tc>
        <w:tc>
          <w:tcPr>
            <w:tcW w:w="1080" w:type="dxa"/>
            <w:vAlign w:val="bottom"/>
          </w:tcPr>
          <w:p>
            <w:pPr>
              <w:jc w:val="right"/>
              <w:spacing w:after="0"/>
              <w:rPr>
                <w:sz w:val="20"/>
                <w:szCs w:val="20"/>
                <w:color w:val="auto"/>
              </w:rPr>
            </w:pPr>
            <w:r>
              <w:rPr>
                <w:rFonts w:ascii="Arial" w:cs="Arial" w:eastAsia="Arial" w:hAnsi="Arial"/>
                <w:sz w:val="18"/>
                <w:szCs w:val="18"/>
                <w:color w:val="auto"/>
              </w:rPr>
              <w:t>$201.664</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jc w:val="right"/>
              <w:spacing w:after="0"/>
              <w:rPr>
                <w:sz w:val="20"/>
                <w:szCs w:val="20"/>
                <w:color w:val="auto"/>
              </w:rPr>
            </w:pPr>
            <w:r>
              <w:rPr>
                <w:rFonts w:ascii="Arial" w:cs="Arial" w:eastAsia="Arial" w:hAnsi="Arial"/>
                <w:sz w:val="18"/>
                <w:szCs w:val="18"/>
                <w:color w:val="auto"/>
              </w:rPr>
              <w:t>214.141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222.205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309.970</w:t>
            </w:r>
          </w:p>
        </w:tc>
        <w:tc>
          <w:tcPr>
            <w:tcW w:w="1080" w:type="dxa"/>
            <w:vAlign w:val="bottom"/>
          </w:tcPr>
          <w:p>
            <w:pPr>
              <w:jc w:val="right"/>
              <w:spacing w:after="0"/>
              <w:rPr>
                <w:sz w:val="20"/>
                <w:szCs w:val="20"/>
                <w:color w:val="auto"/>
              </w:rPr>
            </w:pPr>
            <w:r>
              <w:rPr>
                <w:rFonts w:ascii="Arial" w:cs="Arial" w:eastAsia="Arial" w:hAnsi="Arial"/>
                <w:sz w:val="18"/>
                <w:szCs w:val="18"/>
                <w:color w:val="auto"/>
              </w:rPr>
              <w:t>$89.509</w:t>
            </w:r>
          </w:p>
        </w:tc>
      </w:tr>
      <w:tr>
        <w:trPr>
          <w:trHeight w:val="540"/>
        </w:trPr>
        <w:tc>
          <w:tcPr>
            <w:tcW w:w="5700" w:type="dxa"/>
            <w:vAlign w:val="bottom"/>
          </w:tcPr>
          <w:p>
            <w:pPr>
              <w:jc w:val="center"/>
              <w:spacing w:after="0"/>
              <w:rPr>
                <w:sz w:val="20"/>
                <w:szCs w:val="20"/>
                <w:color w:val="auto"/>
              </w:rPr>
            </w:pPr>
            <w:r>
              <w:rPr>
                <w:rFonts w:ascii="Arial" w:cs="Arial" w:eastAsia="Arial" w:hAnsi="Arial"/>
                <w:sz w:val="18"/>
                <w:szCs w:val="18"/>
                <w:color w:val="auto"/>
                <w:w w:val="98"/>
              </w:rPr>
              <w:t>TOTAL LIABILITIES AND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22,187.502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26,027.041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23,623.317</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23,159.856</w:t>
            </w:r>
          </w:p>
        </w:tc>
        <w:tc>
          <w:tcPr>
            <w:tcW w:w="1080" w:type="dxa"/>
            <w:vAlign w:val="bottom"/>
          </w:tcPr>
          <w:p>
            <w:pPr>
              <w:jc w:val="right"/>
              <w:spacing w:after="0"/>
              <w:rPr>
                <w:sz w:val="20"/>
                <w:szCs w:val="20"/>
                <w:color w:val="auto"/>
              </w:rPr>
            </w:pPr>
            <w:r>
              <w:rPr>
                <w:rFonts w:ascii="Arial" w:cs="Arial" w:eastAsia="Arial" w:hAnsi="Arial"/>
                <w:sz w:val="18"/>
                <w:szCs w:val="18"/>
                <w:color w:val="auto"/>
              </w:rPr>
              <w:t>$6,687.801</w:t>
            </w: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Contingent Credits</w:t>
            </w:r>
          </w:p>
        </w:tc>
        <w:tc>
          <w:tcPr>
            <w:tcW w:w="1100" w:type="dxa"/>
            <w:vAlign w:val="bottom"/>
          </w:tcPr>
          <w:p>
            <w:pPr>
              <w:jc w:val="right"/>
              <w:spacing w:after="0"/>
              <w:rPr>
                <w:sz w:val="20"/>
                <w:szCs w:val="20"/>
                <w:color w:val="auto"/>
              </w:rPr>
            </w:pPr>
            <w:r>
              <w:rPr>
                <w:rFonts w:ascii="Arial" w:cs="Arial" w:eastAsia="Arial" w:hAnsi="Arial"/>
                <w:sz w:val="18"/>
                <w:szCs w:val="18"/>
                <w:color w:val="auto"/>
              </w:rPr>
              <w:t>4,591.796</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5,574.547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4,608.619</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5,653.969</w:t>
            </w:r>
          </w:p>
        </w:tc>
        <w:tc>
          <w:tcPr>
            <w:tcW w:w="1080" w:type="dxa"/>
            <w:vAlign w:val="bottom"/>
          </w:tcPr>
          <w:p>
            <w:pPr>
              <w:jc w:val="right"/>
              <w:spacing w:after="0"/>
              <w:rPr>
                <w:sz w:val="20"/>
                <w:szCs w:val="20"/>
                <w:color w:val="auto"/>
              </w:rPr>
            </w:pPr>
            <w:r>
              <w:rPr>
                <w:rFonts w:ascii="Arial" w:cs="Arial" w:eastAsia="Arial" w:hAnsi="Arial"/>
                <w:sz w:val="18"/>
                <w:szCs w:val="18"/>
                <w:color w:val="auto"/>
              </w:rPr>
              <w:t>$1,632.679</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Funds under management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2,043.706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2,854.916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3,499.803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3,582.310</w:t>
            </w:r>
          </w:p>
        </w:tc>
        <w:tc>
          <w:tcPr>
            <w:tcW w:w="1080" w:type="dxa"/>
            <w:vAlign w:val="bottom"/>
          </w:tcPr>
          <w:p>
            <w:pPr>
              <w:jc w:val="right"/>
              <w:spacing w:after="0"/>
              <w:rPr>
                <w:sz w:val="20"/>
                <w:szCs w:val="20"/>
                <w:color w:val="auto"/>
              </w:rPr>
            </w:pPr>
            <w:r>
              <w:rPr>
                <w:rFonts w:ascii="Arial" w:cs="Arial" w:eastAsia="Arial" w:hAnsi="Arial"/>
                <w:sz w:val="18"/>
                <w:szCs w:val="18"/>
                <w:color w:val="auto"/>
              </w:rPr>
              <w:t>$1,034.453</w:t>
            </w:r>
          </w:p>
        </w:tc>
      </w:tr>
      <w:tr>
        <w:trPr>
          <w:trHeight w:val="164"/>
        </w:trPr>
        <w:tc>
          <w:tcPr>
            <w:tcW w:w="57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-6718300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-6718300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-6718300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-6718300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-6718300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S/.3.463 per US$1.00.</w:t>
      </w:r>
    </w:p>
    <w:p>
      <w:pPr>
        <w:sectPr>
          <w:pgSz w:w="11900" w:h="16838" w:orient="portrait"/>
          <w:cols w:equalWidth="0" w:num="1">
            <w:col w:w="11400"/>
          </w:cols>
          <w:pgMar w:left="240" w:top="13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(Constant Nuevos Soles, as of December 31,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4"/>
          </w:tcPr>
          <w:p>
            <w:pPr>
              <w:jc w:val="right"/>
              <w:ind w:right="340"/>
              <w:spacing w:after="0"/>
              <w:rPr>
                <w:sz w:val="20"/>
                <w:szCs w:val="20"/>
                <w:color w:val="auto"/>
              </w:rPr>
            </w:pPr>
            <w:r>
              <w:rPr>
                <w:rFonts w:ascii="Arial" w:cs="Arial" w:eastAsia="Arial" w:hAnsi="Arial"/>
                <w:sz w:val="18"/>
                <w:szCs w:val="18"/>
                <w:color w:val="auto"/>
              </w:rPr>
              <w:t>Three months ended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color w:val="auto"/>
                <w:w w:val="86"/>
              </w:rPr>
              <w:t>Twelve months ended</w:t>
            </w:r>
          </w:p>
        </w:tc>
      </w:tr>
      <w:tr>
        <w:trPr>
          <w:trHeight w:val="164"/>
        </w:trPr>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r>
      <w:tr>
        <w:trPr>
          <w:trHeight w:val="383"/>
        </w:trPr>
        <w:tc>
          <w:tcPr>
            <w:tcW w:w="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31.12.02</w:t>
            </w:r>
          </w:p>
        </w:tc>
        <w:tc>
          <w:tcPr>
            <w:tcW w:w="4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31.12.03</w:t>
            </w:r>
          </w:p>
        </w:tc>
        <w:tc>
          <w:tcPr>
            <w:tcW w:w="4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31.12.03</w:t>
            </w:r>
          </w:p>
        </w:tc>
      </w:tr>
      <w:tr>
        <w:trPr>
          <w:trHeight w:val="164"/>
        </w:trPr>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r>
      <w:tr>
        <w:trPr>
          <w:trHeight w:val="383"/>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 and expense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US$000(1)</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8"/>
              </w:rPr>
              <w:t>US$000(1)</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416.666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402.453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384.739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1,631.733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1,615.667</w:t>
            </w:r>
          </w:p>
        </w:tc>
        <w:tc>
          <w:tcPr>
            <w:tcW w:w="980" w:type="dxa"/>
            <w:vAlign w:val="bottom"/>
          </w:tcPr>
          <w:p>
            <w:pPr>
              <w:jc w:val="right"/>
              <w:spacing w:after="0"/>
              <w:rPr>
                <w:sz w:val="20"/>
                <w:szCs w:val="20"/>
                <w:color w:val="auto"/>
              </w:rPr>
            </w:pPr>
            <w:r>
              <w:rPr>
                <w:rFonts w:ascii="Arial" w:cs="Arial" w:eastAsia="Arial" w:hAnsi="Arial"/>
                <w:sz w:val="18"/>
                <w:szCs w:val="18"/>
                <w:color w:val="auto"/>
              </w:rPr>
              <w:t>$466.551</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 Interest expense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129.286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107.227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98.280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$28.380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511.613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458.800</w:t>
            </w:r>
          </w:p>
        </w:tc>
        <w:tc>
          <w:tcPr>
            <w:tcW w:w="980" w:type="dxa"/>
            <w:vAlign w:val="bottom"/>
          </w:tcPr>
          <w:p>
            <w:pPr>
              <w:jc w:val="right"/>
              <w:spacing w:after="0"/>
              <w:rPr>
                <w:sz w:val="20"/>
                <w:szCs w:val="20"/>
                <w:color w:val="auto"/>
              </w:rPr>
            </w:pPr>
            <w:r>
              <w:rPr>
                <w:rFonts w:ascii="Arial" w:cs="Arial" w:eastAsia="Arial" w:hAnsi="Arial"/>
                <w:sz w:val="18"/>
                <w:szCs w:val="18"/>
                <w:color w:val="auto"/>
              </w:rPr>
              <w:t>$132.486</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interest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287.380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295.226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286.459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1,120.120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1,156.867</w:t>
            </w:r>
          </w:p>
        </w:tc>
        <w:tc>
          <w:tcPr>
            <w:tcW w:w="980" w:type="dxa"/>
            <w:vAlign w:val="bottom"/>
          </w:tcPr>
          <w:p>
            <w:pPr>
              <w:jc w:val="right"/>
              <w:spacing w:after="0"/>
              <w:rPr>
                <w:sz w:val="20"/>
                <w:szCs w:val="20"/>
                <w:color w:val="auto"/>
              </w:rPr>
            </w:pPr>
            <w:r>
              <w:rPr>
                <w:rFonts w:ascii="Arial" w:cs="Arial" w:eastAsia="Arial" w:hAnsi="Arial"/>
                <w:sz w:val="18"/>
                <w:szCs w:val="18"/>
                <w:color w:val="auto"/>
              </w:rPr>
              <w:t>$334.065</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70.388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79.403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46.291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$13.367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377.114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310.195</w:t>
            </w:r>
          </w:p>
        </w:tc>
        <w:tc>
          <w:tcPr>
            <w:tcW w:w="980" w:type="dxa"/>
            <w:vAlign w:val="bottom"/>
          </w:tcPr>
          <w:p>
            <w:pPr>
              <w:jc w:val="right"/>
              <w:spacing w:after="0"/>
              <w:rPr>
                <w:sz w:val="20"/>
                <w:szCs w:val="20"/>
                <w:color w:val="auto"/>
              </w:rPr>
            </w:pPr>
            <w:r>
              <w:rPr>
                <w:rFonts w:ascii="Arial" w:cs="Arial" w:eastAsia="Arial" w:hAnsi="Arial"/>
                <w:sz w:val="18"/>
                <w:szCs w:val="18"/>
                <w:color w:val="auto"/>
              </w:rPr>
              <w:t>$89.574</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interest income after provisions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216.992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215.823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240.168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$69.353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743.006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846.672</w:t>
            </w:r>
          </w:p>
        </w:tc>
        <w:tc>
          <w:tcPr>
            <w:tcW w:w="980" w:type="dxa"/>
            <w:vAlign w:val="bottom"/>
          </w:tcPr>
          <w:p>
            <w:pPr>
              <w:jc w:val="right"/>
              <w:spacing w:after="0"/>
              <w:rPr>
                <w:sz w:val="20"/>
                <w:szCs w:val="20"/>
                <w:color w:val="auto"/>
              </w:rPr>
            </w:pPr>
            <w:r>
              <w:rPr>
                <w:rFonts w:ascii="Arial" w:cs="Arial" w:eastAsia="Arial" w:hAnsi="Arial"/>
                <w:sz w:val="18"/>
                <w:szCs w:val="18"/>
                <w:color w:val="auto"/>
              </w:rPr>
              <w:t>$244.491</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Fees and commissions from services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151.447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166.261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163.517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$47.218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580.900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648.304</w:t>
            </w:r>
          </w:p>
        </w:tc>
        <w:tc>
          <w:tcPr>
            <w:tcW w:w="980" w:type="dxa"/>
            <w:vAlign w:val="bottom"/>
          </w:tcPr>
          <w:p>
            <w:pPr>
              <w:jc w:val="right"/>
              <w:spacing w:after="0"/>
              <w:rPr>
                <w:sz w:val="20"/>
                <w:szCs w:val="20"/>
                <w:color w:val="auto"/>
              </w:rPr>
            </w:pPr>
            <w:r>
              <w:rPr>
                <w:rFonts w:ascii="Arial" w:cs="Arial" w:eastAsia="Arial" w:hAnsi="Arial"/>
                <w:sz w:val="18"/>
                <w:szCs w:val="18"/>
                <w:color w:val="auto"/>
              </w:rPr>
              <w:t>$187.209</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4.841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(5.411)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(0.246)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($0.071)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31.072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7.204</w:t>
            </w:r>
          </w:p>
        </w:tc>
        <w:tc>
          <w:tcPr>
            <w:tcW w:w="98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gains on foreing exchg. transacts.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23.977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18.362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18.640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78.057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77.769</w:t>
            </w:r>
          </w:p>
        </w:tc>
        <w:tc>
          <w:tcPr>
            <w:tcW w:w="980" w:type="dxa"/>
            <w:vAlign w:val="bottom"/>
          </w:tcPr>
          <w:p>
            <w:pPr>
              <w:jc w:val="right"/>
              <w:spacing w:after="0"/>
              <w:rPr>
                <w:sz w:val="20"/>
                <w:szCs w:val="20"/>
                <w:color w:val="auto"/>
              </w:rPr>
            </w:pPr>
            <w:r>
              <w:rPr>
                <w:rFonts w:ascii="Arial" w:cs="Arial" w:eastAsia="Arial" w:hAnsi="Arial"/>
                <w:sz w:val="18"/>
                <w:szCs w:val="18"/>
                <w:color w:val="auto"/>
              </w:rPr>
              <w:t>$22.457</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42.289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47.247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43.811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$12.651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109.838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184.639</w:t>
            </w:r>
          </w:p>
        </w:tc>
        <w:tc>
          <w:tcPr>
            <w:tcW w:w="980" w:type="dxa"/>
            <w:vAlign w:val="bottom"/>
          </w:tcPr>
          <w:p>
            <w:pPr>
              <w:jc w:val="right"/>
              <w:spacing w:after="0"/>
              <w:rPr>
                <w:sz w:val="20"/>
                <w:szCs w:val="20"/>
                <w:color w:val="auto"/>
              </w:rPr>
            </w:pPr>
            <w:r>
              <w:rPr>
                <w:rFonts w:ascii="Arial" w:cs="Arial" w:eastAsia="Arial" w:hAnsi="Arial"/>
                <w:sz w:val="18"/>
                <w:szCs w:val="18"/>
                <w:color w:val="auto"/>
              </w:rPr>
              <w:t>$53.318</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222.554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226.459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225.722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$65.181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799.867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917.916</w:t>
            </w:r>
          </w:p>
        </w:tc>
        <w:tc>
          <w:tcPr>
            <w:tcW w:w="980" w:type="dxa"/>
            <w:vAlign w:val="bottom"/>
          </w:tcPr>
          <w:p>
            <w:pPr>
              <w:jc w:val="right"/>
              <w:spacing w:after="0"/>
              <w:rPr>
                <w:sz w:val="20"/>
                <w:szCs w:val="20"/>
                <w:color w:val="auto"/>
              </w:rPr>
            </w:pPr>
            <w:r>
              <w:rPr>
                <w:rFonts w:ascii="Arial" w:cs="Arial" w:eastAsia="Arial" w:hAnsi="Arial"/>
                <w:sz w:val="18"/>
                <w:szCs w:val="18"/>
                <w:color w:val="auto"/>
              </w:rPr>
              <w:t>$265.064</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Expenses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150.460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129.093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134.438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$38.821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544.913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525.026</w:t>
            </w:r>
          </w:p>
        </w:tc>
        <w:tc>
          <w:tcPr>
            <w:tcW w:w="980" w:type="dxa"/>
            <w:vAlign w:val="bottom"/>
          </w:tcPr>
          <w:p>
            <w:pPr>
              <w:jc w:val="right"/>
              <w:spacing w:after="0"/>
              <w:rPr>
                <w:sz w:val="20"/>
                <w:szCs w:val="20"/>
                <w:color w:val="auto"/>
              </w:rPr>
            </w:pPr>
            <w:r>
              <w:rPr>
                <w:rFonts w:ascii="Arial" w:cs="Arial" w:eastAsia="Arial" w:hAnsi="Arial"/>
                <w:sz w:val="18"/>
                <w:szCs w:val="18"/>
                <w:color w:val="auto"/>
              </w:rPr>
              <w:t>$151.610</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113.286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97.833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105.055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$30.336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397.399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409.828</w:t>
            </w:r>
          </w:p>
        </w:tc>
        <w:tc>
          <w:tcPr>
            <w:tcW w:w="980" w:type="dxa"/>
            <w:vAlign w:val="bottom"/>
          </w:tcPr>
          <w:p>
            <w:pPr>
              <w:jc w:val="right"/>
              <w:spacing w:after="0"/>
              <w:rPr>
                <w:sz w:val="20"/>
                <w:szCs w:val="20"/>
                <w:color w:val="auto"/>
              </w:rPr>
            </w:pPr>
            <w:r>
              <w:rPr>
                <w:rFonts w:ascii="Arial" w:cs="Arial" w:eastAsia="Arial" w:hAnsi="Arial"/>
                <w:sz w:val="18"/>
                <w:szCs w:val="18"/>
                <w:color w:val="auto"/>
              </w:rPr>
              <w:t>$118.345</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29.575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34.617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33.078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$9.552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119.506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136.609</w:t>
            </w:r>
          </w:p>
        </w:tc>
        <w:tc>
          <w:tcPr>
            <w:tcW w:w="980" w:type="dxa"/>
            <w:vAlign w:val="bottom"/>
          </w:tcPr>
          <w:p>
            <w:pPr>
              <w:jc w:val="right"/>
              <w:spacing w:after="0"/>
              <w:rPr>
                <w:sz w:val="20"/>
                <w:szCs w:val="20"/>
                <w:color w:val="auto"/>
              </w:rPr>
            </w:pPr>
            <w:r>
              <w:rPr>
                <w:rFonts w:ascii="Arial" w:cs="Arial" w:eastAsia="Arial" w:hAnsi="Arial"/>
                <w:sz w:val="18"/>
                <w:szCs w:val="18"/>
                <w:color w:val="auto"/>
              </w:rPr>
              <w:t>$39.448</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Taxes other than income tax</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9.490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9.729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9.784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35.302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41.320</w:t>
            </w:r>
          </w:p>
        </w:tc>
        <w:tc>
          <w:tcPr>
            <w:tcW w:w="980" w:type="dxa"/>
            <w:vAlign w:val="bottom"/>
          </w:tcPr>
          <w:p>
            <w:pPr>
              <w:jc w:val="right"/>
              <w:spacing w:after="0"/>
              <w:rPr>
                <w:sz w:val="20"/>
                <w:szCs w:val="20"/>
                <w:color w:val="auto"/>
              </w:rPr>
            </w:pPr>
            <w:r>
              <w:rPr>
                <w:rFonts w:ascii="Arial" w:cs="Arial" w:eastAsia="Arial" w:hAnsi="Arial"/>
                <w:sz w:val="18"/>
                <w:szCs w:val="18"/>
                <w:color w:val="auto"/>
              </w:rPr>
              <w:t>$11.932</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30.382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23.752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38.252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$11.046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128.419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119.262</w:t>
            </w:r>
          </w:p>
        </w:tc>
        <w:tc>
          <w:tcPr>
            <w:tcW w:w="980" w:type="dxa"/>
            <w:vAlign w:val="bottom"/>
          </w:tcPr>
          <w:p>
            <w:pPr>
              <w:jc w:val="right"/>
              <w:spacing w:after="0"/>
              <w:rPr>
                <w:sz w:val="20"/>
                <w:szCs w:val="20"/>
                <w:color w:val="auto"/>
              </w:rPr>
            </w:pPr>
            <w:r>
              <w:rPr>
                <w:rFonts w:ascii="Arial" w:cs="Arial" w:eastAsia="Arial" w:hAnsi="Arial"/>
                <w:sz w:val="18"/>
                <w:szCs w:val="18"/>
                <w:color w:val="auto"/>
              </w:rPr>
              <w:t>$34.439</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Merger costs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3.780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5.953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65.209</w:t>
            </w:r>
          </w:p>
        </w:tc>
        <w:tc>
          <w:tcPr>
            <w:tcW w:w="980" w:type="dxa"/>
            <w:vAlign w:val="bottom"/>
          </w:tcPr>
          <w:p>
            <w:pPr>
              <w:jc w:val="right"/>
              <w:spacing w:after="0"/>
              <w:rPr>
                <w:sz w:val="20"/>
                <w:szCs w:val="20"/>
                <w:color w:val="auto"/>
              </w:rPr>
            </w:pPr>
            <w:r>
              <w:rPr>
                <w:rFonts w:ascii="Arial" w:cs="Arial" w:eastAsia="Arial" w:hAnsi="Arial"/>
                <w:sz w:val="18"/>
                <w:szCs w:val="18"/>
                <w:color w:val="auto"/>
              </w:rPr>
              <w:t>$18.830</w:t>
            </w:r>
          </w:p>
        </w:tc>
      </w:tr>
      <w:tr>
        <w:trPr>
          <w:trHeight w:val="270"/>
        </w:trPr>
        <w:tc>
          <w:tcPr>
            <w:tcW w:w="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339.146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295.024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324.387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$93.672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1,231.492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1,297.254</w:t>
            </w:r>
          </w:p>
        </w:tc>
        <w:tc>
          <w:tcPr>
            <w:tcW w:w="980" w:type="dxa"/>
            <w:vAlign w:val="bottom"/>
          </w:tcPr>
          <w:p>
            <w:pPr>
              <w:jc w:val="right"/>
              <w:spacing w:after="0"/>
              <w:rPr>
                <w:sz w:val="20"/>
                <w:szCs w:val="20"/>
                <w:color w:val="auto"/>
              </w:rPr>
            </w:pPr>
            <w:r>
              <w:rPr>
                <w:rFonts w:ascii="Arial" w:cs="Arial" w:eastAsia="Arial" w:hAnsi="Arial"/>
                <w:sz w:val="18"/>
                <w:szCs w:val="18"/>
                <w:color w:val="auto"/>
              </w:rPr>
              <w:t>$374.604</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(35.340)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0.691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(20.283)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($5.857)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(41.093)</w:t>
            </w:r>
          </w:p>
        </w:tc>
        <w:tc>
          <w:tcPr>
            <w:tcW w:w="980" w:type="dxa"/>
            <w:vAlign w:val="bottom"/>
          </w:tcPr>
          <w:p>
            <w:pPr>
              <w:jc w:val="right"/>
              <w:spacing w:after="0"/>
              <w:rPr>
                <w:sz w:val="20"/>
                <w:szCs w:val="20"/>
                <w:color w:val="auto"/>
              </w:rPr>
            </w:pPr>
            <w:r>
              <w:rPr>
                <w:rFonts w:ascii="Arial" w:cs="Arial" w:eastAsia="Arial" w:hAnsi="Arial"/>
                <w:sz w:val="18"/>
                <w:szCs w:val="18"/>
                <w:color w:val="auto"/>
              </w:rPr>
              <w:t>($11.866)</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65.060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147.949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121.220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$35.004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328.481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426.240</w:t>
            </w:r>
          </w:p>
        </w:tc>
        <w:tc>
          <w:tcPr>
            <w:tcW w:w="980" w:type="dxa"/>
            <w:vAlign w:val="bottom"/>
          </w:tcPr>
          <w:p>
            <w:pPr>
              <w:jc w:val="right"/>
              <w:spacing w:after="0"/>
              <w:rPr>
                <w:sz w:val="20"/>
                <w:szCs w:val="20"/>
                <w:color w:val="auto"/>
              </w:rPr>
            </w:pPr>
            <w:r>
              <w:rPr>
                <w:rFonts w:ascii="Arial" w:cs="Arial" w:eastAsia="Arial" w:hAnsi="Arial"/>
                <w:sz w:val="18"/>
                <w:szCs w:val="18"/>
                <w:color w:val="auto"/>
              </w:rPr>
              <w:t>$123.084</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21.705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40.829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33.546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$9.687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95.826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117.454</w:t>
            </w:r>
          </w:p>
        </w:tc>
        <w:tc>
          <w:tcPr>
            <w:tcW w:w="980" w:type="dxa"/>
            <w:vAlign w:val="bottom"/>
          </w:tcPr>
          <w:p>
            <w:pPr>
              <w:jc w:val="right"/>
              <w:spacing w:after="0"/>
              <w:rPr>
                <w:sz w:val="20"/>
                <w:szCs w:val="20"/>
                <w:color w:val="auto"/>
              </w:rPr>
            </w:pPr>
            <w:r>
              <w:rPr>
                <w:rFonts w:ascii="Arial" w:cs="Arial" w:eastAsia="Arial" w:hAnsi="Arial"/>
                <w:sz w:val="18"/>
                <w:szCs w:val="18"/>
                <w:color w:val="auto"/>
              </w:rPr>
              <w:t>$33.917</w:t>
            </w:r>
          </w:p>
        </w:tc>
      </w:tr>
      <w:tr>
        <w:trPr>
          <w:trHeight w:val="540"/>
        </w:trPr>
        <w:tc>
          <w:tcPr>
            <w:tcW w:w="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43.355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107.120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87.674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$25.317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232.655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308.786</w:t>
            </w:r>
          </w:p>
        </w:tc>
        <w:tc>
          <w:tcPr>
            <w:tcW w:w="980" w:type="dxa"/>
            <w:vAlign w:val="bottom"/>
          </w:tcPr>
          <w:p>
            <w:pPr>
              <w:jc w:val="right"/>
              <w:spacing w:after="0"/>
              <w:rPr>
                <w:sz w:val="20"/>
                <w:szCs w:val="20"/>
                <w:color w:val="auto"/>
              </w:rPr>
            </w:pPr>
            <w:r>
              <w:rPr>
                <w:rFonts w:ascii="Arial" w:cs="Arial" w:eastAsia="Arial" w:hAnsi="Arial"/>
                <w:sz w:val="18"/>
                <w:szCs w:val="18"/>
                <w:color w:val="auto"/>
              </w:rPr>
              <w:t>$89.167</w:t>
            </w:r>
          </w:p>
        </w:tc>
      </w:tr>
      <w:tr>
        <w:trPr>
          <w:trHeight w:val="164"/>
        </w:trPr>
        <w:tc>
          <w:tcPr>
            <w:tcW w:w="40" w:type="dxa"/>
            <w:vAlign w:val="bottom"/>
          </w:tcPr>
          <w:p>
            <w:pPr>
              <w:spacing w:after="0"/>
              <w:rPr>
                <w:sz w:val="14"/>
                <w:szCs w:val="14"/>
                <w:color w:val="auto"/>
              </w:rPr>
            </w:pPr>
          </w:p>
        </w:tc>
        <w:tc>
          <w:tcPr>
            <w:tcW w:w="4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r>
      <w:tr>
        <w:trPr>
          <w:trHeight w:val="343"/>
        </w:trPr>
        <w:tc>
          <w:tcPr>
            <w:tcW w:w="4260" w:type="dxa"/>
            <w:vAlign w:val="bottom"/>
            <w:gridSpan w:val="2"/>
          </w:tcPr>
          <w:p>
            <w:pPr>
              <w:spacing w:after="0"/>
              <w:rPr>
                <w:sz w:val="20"/>
                <w:szCs w:val="20"/>
                <w:color w:val="auto"/>
              </w:rPr>
            </w:pPr>
            <w:r>
              <w:rPr>
                <w:rFonts w:ascii="Arial" w:cs="Arial" w:eastAsia="Arial" w:hAnsi="Arial"/>
                <w:sz w:val="18"/>
                <w:szCs w:val="18"/>
                <w:color w:val="auto"/>
              </w:rPr>
              <w:t>(1)Translated at S/.3.463 per US$1.00.</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-6279515</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-6279515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-5919470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-5919470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-5919470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-5919470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-5919470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-5919470</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-5919470</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-242570</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700" w:type="dxa"/>
            <w:vAlign w:val="bottom"/>
          </w:tcPr>
          <w:p>
            <w:pPr>
              <w:spacing w:after="0"/>
              <w:rPr>
                <w:sz w:val="19"/>
                <w:szCs w:val="19"/>
                <w:color w:val="auto"/>
              </w:rPr>
            </w:pPr>
          </w:p>
        </w:tc>
        <w:tc>
          <w:tcPr>
            <w:tcW w:w="2560" w:type="dxa"/>
            <w:vAlign w:val="bottom"/>
            <w:gridSpan w:val="5"/>
          </w:tcPr>
          <w:p>
            <w:pPr>
              <w:ind w:left="980"/>
              <w:spacing w:after="0"/>
              <w:rPr>
                <w:sz w:val="20"/>
                <w:szCs w:val="20"/>
                <w:color w:val="auto"/>
              </w:rPr>
            </w:pPr>
            <w:r>
              <w:rPr>
                <w:rFonts w:ascii="Arial" w:cs="Arial" w:eastAsia="Arial" w:hAnsi="Arial"/>
                <w:sz w:val="18"/>
                <w:szCs w:val="18"/>
                <w:color w:val="auto"/>
                <w:w w:val="93"/>
              </w:rPr>
              <w:t>Three months ended</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3"/>
          </w:tcPr>
          <w:p>
            <w:pPr>
              <w:jc w:val="right"/>
              <w:ind w:right="252"/>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31.12.02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31.12.03</w:t>
            </w: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Arial" w:cs="Arial" w:eastAsia="Arial" w:hAnsi="Arial"/>
                <w:sz w:val="18"/>
                <w:szCs w:val="18"/>
                <w:color w:val="auto"/>
              </w:rPr>
              <w:t>Profitability</w:t>
            </w: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income per common share (S/. per share)(1)</w:t>
            </w:r>
          </w:p>
        </w:tc>
        <w:tc>
          <w:tcPr>
            <w:tcW w:w="1100" w:type="dxa"/>
            <w:vAlign w:val="bottom"/>
          </w:tcPr>
          <w:p>
            <w:pPr>
              <w:jc w:val="right"/>
              <w:spacing w:after="0"/>
              <w:rPr>
                <w:sz w:val="20"/>
                <w:szCs w:val="20"/>
                <w:color w:val="auto"/>
              </w:rPr>
            </w:pPr>
            <w:r>
              <w:rPr>
                <w:rFonts w:ascii="Arial" w:cs="Arial" w:eastAsia="Arial" w:hAnsi="Arial"/>
                <w:sz w:val="18"/>
                <w:szCs w:val="18"/>
                <w:color w:val="auto"/>
              </w:rPr>
              <w:t>0.036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0.089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0.073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0.193</w:t>
            </w:r>
          </w:p>
        </w:tc>
        <w:tc>
          <w:tcPr>
            <w:tcW w:w="1080" w:type="dxa"/>
            <w:vAlign w:val="bottom"/>
          </w:tcPr>
          <w:p>
            <w:pPr>
              <w:jc w:val="right"/>
              <w:spacing w:after="0"/>
              <w:rPr>
                <w:sz w:val="20"/>
                <w:szCs w:val="20"/>
                <w:color w:val="auto"/>
              </w:rPr>
            </w:pPr>
            <w:r>
              <w:rPr>
                <w:rFonts w:ascii="Arial" w:cs="Arial" w:eastAsia="Arial" w:hAnsi="Arial"/>
                <w:sz w:val="18"/>
                <w:szCs w:val="18"/>
                <w:color w:val="auto"/>
              </w:rPr>
              <w:t>0.257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100" w:type="dxa"/>
            <w:vAlign w:val="bottom"/>
          </w:tcPr>
          <w:p>
            <w:pPr>
              <w:jc w:val="right"/>
              <w:spacing w:after="0"/>
              <w:rPr>
                <w:sz w:val="20"/>
                <w:szCs w:val="20"/>
                <w:color w:val="auto"/>
              </w:rPr>
            </w:pPr>
            <w:r>
              <w:rPr>
                <w:rFonts w:ascii="Arial" w:cs="Arial" w:eastAsia="Arial" w:hAnsi="Arial"/>
                <w:sz w:val="18"/>
                <w:szCs w:val="18"/>
                <w:color w:val="auto"/>
              </w:rPr>
              <w:t>0.72%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0.98%</w:t>
            </w: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100" w:type="dxa"/>
            <w:vAlign w:val="bottom"/>
          </w:tcPr>
          <w:p>
            <w:pPr>
              <w:jc w:val="right"/>
              <w:spacing w:after="0"/>
              <w:rPr>
                <w:sz w:val="20"/>
                <w:szCs w:val="20"/>
                <w:color w:val="auto"/>
              </w:rPr>
            </w:pPr>
            <w:r>
              <w:rPr>
                <w:rFonts w:ascii="Arial" w:cs="Arial" w:eastAsia="Arial" w:hAnsi="Arial"/>
                <w:sz w:val="18"/>
                <w:szCs w:val="18"/>
                <w:color w:val="auto"/>
              </w:rPr>
              <w:t>8.62%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108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Quality of loan portfolio</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c>
          <w:tcPr>
            <w:tcW w:w="10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 loans + refinanced loans as a</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percentage of total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14.29%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14.29%</w:t>
            </w:r>
          </w:p>
        </w:tc>
        <w:tc>
          <w:tcPr>
            <w:tcW w:w="108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 loans</w:t>
            </w:r>
          </w:p>
        </w:tc>
        <w:tc>
          <w:tcPr>
            <w:tcW w:w="1100" w:type="dxa"/>
            <w:vAlign w:val="bottom"/>
          </w:tcPr>
          <w:p>
            <w:pPr>
              <w:jc w:val="right"/>
              <w:spacing w:after="0"/>
              <w:rPr>
                <w:sz w:val="20"/>
                <w:szCs w:val="20"/>
                <w:color w:val="auto"/>
              </w:rPr>
            </w:pPr>
            <w:r>
              <w:rPr>
                <w:rFonts w:ascii="Arial" w:cs="Arial" w:eastAsia="Arial" w:hAnsi="Arial"/>
                <w:sz w:val="18"/>
                <w:szCs w:val="18"/>
                <w:color w:val="auto"/>
              </w:rPr>
              <w:t>108.75%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117.76%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108.75%</w:t>
            </w:r>
          </w:p>
        </w:tc>
        <w:tc>
          <w:tcPr>
            <w:tcW w:w="1080" w:type="dxa"/>
            <w:vAlign w:val="bottom"/>
          </w:tcPr>
          <w:p>
            <w:pPr>
              <w:jc w:val="right"/>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substandard loans (C+D+E)</w:t>
            </w:r>
          </w:p>
        </w:tc>
        <w:tc>
          <w:tcPr>
            <w:tcW w:w="1100" w:type="dxa"/>
            <w:vAlign w:val="bottom"/>
          </w:tcPr>
          <w:p>
            <w:pPr>
              <w:jc w:val="right"/>
              <w:spacing w:after="0"/>
              <w:rPr>
                <w:sz w:val="20"/>
                <w:szCs w:val="20"/>
                <w:color w:val="auto"/>
              </w:rPr>
            </w:pPr>
            <w:r>
              <w:rPr>
                <w:rFonts w:ascii="Arial" w:cs="Arial" w:eastAsia="Arial" w:hAnsi="Arial"/>
                <w:sz w:val="18"/>
                <w:szCs w:val="18"/>
                <w:color w:val="auto"/>
              </w:rPr>
              <w:t>52.86%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54.35%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52.67%</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52.86%</w:t>
            </w:r>
          </w:p>
        </w:tc>
        <w:tc>
          <w:tcPr>
            <w:tcW w:w="1080" w:type="dxa"/>
            <w:vAlign w:val="bottom"/>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percentage of shareholders'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-5.88%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Operating efficiency (5)</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Oper. expense as a percent. of total income (4)</w:t>
            </w:r>
          </w:p>
        </w:tc>
        <w:tc>
          <w:tcPr>
            <w:tcW w:w="1100" w:type="dxa"/>
            <w:vAlign w:val="bottom"/>
          </w:tcPr>
          <w:p>
            <w:pPr>
              <w:jc w:val="right"/>
              <w:spacing w:after="0"/>
              <w:rPr>
                <w:sz w:val="20"/>
                <w:szCs w:val="20"/>
                <w:color w:val="auto"/>
              </w:rPr>
            </w:pPr>
            <w:r>
              <w:rPr>
                <w:rFonts w:ascii="Arial" w:cs="Arial" w:eastAsia="Arial" w:hAnsi="Arial"/>
                <w:sz w:val="18"/>
                <w:szCs w:val="18"/>
                <w:color w:val="auto"/>
              </w:rPr>
              <w:t>57.42%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55.75%</w:t>
            </w:r>
          </w:p>
        </w:tc>
        <w:tc>
          <w:tcPr>
            <w:tcW w:w="1080" w:type="dxa"/>
            <w:vAlign w:val="bottom"/>
          </w:tcPr>
          <w:p>
            <w:pPr>
              <w:jc w:val="right"/>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Oper. expense as a percent. of av. tot. assets(2)(3)</w:t>
            </w: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Capital adequacy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Regulatory capital (constant millions S/.)</w:t>
            </w:r>
          </w:p>
        </w:tc>
        <w:tc>
          <w:tcPr>
            <w:tcW w:w="1100" w:type="dxa"/>
            <w:vAlign w:val="bottom"/>
          </w:tcPr>
          <w:p>
            <w:pPr>
              <w:jc w:val="right"/>
              <w:spacing w:after="0"/>
              <w:rPr>
                <w:sz w:val="20"/>
                <w:szCs w:val="20"/>
                <w:color w:val="auto"/>
              </w:rPr>
            </w:pPr>
            <w:r>
              <w:rPr>
                <w:rFonts w:ascii="Arial" w:cs="Arial" w:eastAsia="Arial" w:hAnsi="Arial"/>
                <w:sz w:val="18"/>
                <w:szCs w:val="18"/>
                <w:color w:val="auto"/>
              </w:rPr>
              <w:t>2,300.5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2,152.0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2,181.8</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2,300.5</w:t>
            </w:r>
          </w:p>
        </w:tc>
        <w:tc>
          <w:tcPr>
            <w:tcW w:w="1080" w:type="dxa"/>
            <w:vAlign w:val="bottom"/>
          </w:tcPr>
          <w:p>
            <w:pPr>
              <w:jc w:val="right"/>
              <w:spacing w:after="0"/>
              <w:rPr>
                <w:sz w:val="20"/>
                <w:szCs w:val="20"/>
                <w:color w:val="auto"/>
              </w:rPr>
            </w:pPr>
            <w:r>
              <w:rPr>
                <w:rFonts w:ascii="Arial" w:cs="Arial" w:eastAsia="Arial" w:hAnsi="Arial"/>
                <w:sz w:val="18"/>
                <w:szCs w:val="18"/>
                <w:color w:val="auto"/>
              </w:rPr>
              <w:t>2,181.8</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Tier I Capital (constant millions S/.)</w:t>
            </w:r>
          </w:p>
        </w:tc>
        <w:tc>
          <w:tcPr>
            <w:tcW w:w="1100" w:type="dxa"/>
            <w:vAlign w:val="bottom"/>
          </w:tcPr>
          <w:p>
            <w:pPr>
              <w:jc w:val="right"/>
              <w:spacing w:after="0"/>
              <w:rPr>
                <w:sz w:val="20"/>
                <w:szCs w:val="20"/>
                <w:color w:val="auto"/>
              </w:rPr>
            </w:pPr>
            <w:r>
              <w:rPr>
                <w:rFonts w:ascii="Arial" w:cs="Arial" w:eastAsia="Arial" w:hAnsi="Arial"/>
                <w:sz w:val="18"/>
                <w:szCs w:val="18"/>
                <w:color w:val="auto"/>
              </w:rPr>
              <w:t>1,777.1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1,900.3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1,901.4</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1,777.1</w:t>
            </w:r>
          </w:p>
        </w:tc>
        <w:tc>
          <w:tcPr>
            <w:tcW w:w="1080" w:type="dxa"/>
            <w:vAlign w:val="bottom"/>
          </w:tcPr>
          <w:p>
            <w:pPr>
              <w:jc w:val="right"/>
              <w:spacing w:after="0"/>
              <w:rPr>
                <w:sz w:val="20"/>
                <w:szCs w:val="20"/>
                <w:color w:val="auto"/>
              </w:rPr>
            </w:pPr>
            <w:r>
              <w:rPr>
                <w:rFonts w:ascii="Arial" w:cs="Arial" w:eastAsia="Arial" w:hAnsi="Arial"/>
                <w:sz w:val="18"/>
                <w:szCs w:val="18"/>
                <w:color w:val="auto"/>
              </w:rPr>
              <w:t>1,901.4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7.82%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7.82%</w:t>
            </w:r>
          </w:p>
        </w:tc>
        <w:tc>
          <w:tcPr>
            <w:tcW w:w="108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Regulatory capital / risk-weighted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12.54%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12.85%</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c>
          <w:tcPr>
            <w:tcW w:w="108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Average balances (constant millions S/.) (3)</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20,248.2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20,741.8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20,418.7</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19,746.9</w:t>
            </w:r>
          </w:p>
        </w:tc>
        <w:tc>
          <w:tcPr>
            <w:tcW w:w="1080" w:type="dxa"/>
            <w:vAlign w:val="bottom"/>
          </w:tcPr>
          <w:p>
            <w:pPr>
              <w:jc w:val="right"/>
              <w:spacing w:after="0"/>
              <w:rPr>
                <w:sz w:val="20"/>
                <w:szCs w:val="20"/>
                <w:color w:val="auto"/>
              </w:rPr>
            </w:pPr>
            <w:r>
              <w:rPr>
                <w:rFonts w:ascii="Arial" w:cs="Arial" w:eastAsia="Arial" w:hAnsi="Arial"/>
                <w:sz w:val="18"/>
                <w:szCs w:val="18"/>
                <w:color w:val="auto"/>
              </w:rPr>
              <w:t>21,336.7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24,107.3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23,691.5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23,391.6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23,813.6</w:t>
            </w:r>
          </w:p>
        </w:tc>
        <w:tc>
          <w:tcPr>
            <w:tcW w:w="1080" w:type="dxa"/>
            <w:vAlign w:val="bottom"/>
          </w:tcPr>
          <w:p>
            <w:pPr>
              <w:jc w:val="right"/>
              <w:spacing w:after="0"/>
              <w:rPr>
                <w:sz w:val="20"/>
                <w:szCs w:val="20"/>
                <w:color w:val="auto"/>
              </w:rPr>
            </w:pPr>
            <w:r>
              <w:rPr>
                <w:rFonts w:ascii="Arial" w:cs="Arial" w:eastAsia="Arial" w:hAnsi="Arial"/>
                <w:sz w:val="18"/>
                <w:szCs w:val="18"/>
                <w:color w:val="auto"/>
              </w:rPr>
              <w:t>24,593.4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Net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2,013.0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2,093.6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2,191.0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1,944.9</w:t>
            </w:r>
          </w:p>
        </w:tc>
        <w:tc>
          <w:tcPr>
            <w:tcW w:w="1080" w:type="dxa"/>
            <w:vAlign w:val="bottom"/>
          </w:tcPr>
          <w:p>
            <w:pPr>
              <w:jc w:val="right"/>
              <w:spacing w:after="0"/>
              <w:rPr>
                <w:sz w:val="20"/>
                <w:szCs w:val="20"/>
                <w:color w:val="auto"/>
              </w:rPr>
            </w:pPr>
            <w:r>
              <w:rPr>
                <w:rFonts w:ascii="Arial" w:cs="Arial" w:eastAsia="Arial" w:hAnsi="Arial"/>
                <w:sz w:val="18"/>
                <w:szCs w:val="18"/>
                <w:color w:val="auto"/>
              </w:rPr>
              <w:t>2,078.6</w:t>
            </w:r>
          </w:p>
        </w:tc>
        <w:tc>
          <w:tcPr>
            <w:tcW w:w="0" w:type="dxa"/>
            <w:vAlign w:val="bottom"/>
          </w:tcPr>
          <w:p>
            <w:pPr>
              <w:spacing w:after="0"/>
              <w:rPr>
                <w:sz w:val="1"/>
                <w:szCs w:val="1"/>
                <w:color w:val="auto"/>
              </w:rPr>
            </w:pPr>
          </w:p>
        </w:tc>
      </w:tr>
      <w:tr>
        <w:trPr>
          <w:trHeight w:val="540"/>
        </w:trPr>
        <w:tc>
          <w:tcPr>
            <w:tcW w:w="5700" w:type="dxa"/>
            <w:vAlign w:val="bottom"/>
          </w:tcPr>
          <w:p>
            <w:pPr>
              <w:spacing w:after="0"/>
              <w:rPr>
                <w:sz w:val="20"/>
                <w:szCs w:val="20"/>
                <w:color w:val="auto"/>
              </w:rPr>
            </w:pPr>
            <w:r>
              <w:rPr>
                <w:rFonts w:ascii="Arial" w:cs="Arial" w:eastAsia="Arial" w:hAnsi="Arial"/>
                <w:sz w:val="18"/>
                <w:szCs w:val="18"/>
                <w:color w:val="auto"/>
              </w:rPr>
              <w:t>Additional data</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 of outstanding shares (millions)</w:t>
            </w: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 of employees</w:t>
            </w:r>
          </w:p>
        </w:tc>
        <w:tc>
          <w:tcPr>
            <w:tcW w:w="1100" w:type="dxa"/>
            <w:vAlign w:val="bottom"/>
          </w:tcPr>
          <w:p>
            <w:pPr>
              <w:jc w:val="right"/>
              <w:spacing w:after="0"/>
              <w:rPr>
                <w:sz w:val="20"/>
                <w:szCs w:val="20"/>
                <w:color w:val="auto"/>
              </w:rPr>
            </w:pPr>
            <w:r>
              <w:rPr>
                <w:rFonts w:ascii="Arial" w:cs="Arial" w:eastAsia="Arial" w:hAnsi="Arial"/>
                <w:sz w:val="18"/>
                <w:szCs w:val="18"/>
                <w:color w:val="auto"/>
              </w:rPr>
              <w:t>8,356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7,644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8,356</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Inflation rate ( Wholesale price index)</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Exchange rate (S/. per 1 U.S. Dollar)</w:t>
            </w: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108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5772785</wp:posOffset>
            </wp:positionH>
            <wp:positionV relativeFrom="paragraph">
              <wp:posOffset>-6974205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-6974205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-6614160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-6614160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-6614160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-6614160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-6614160</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(1)Shares outstanding of 1,202 million is used for all periods since shares have been issued only for capitalization of profits and inflation adjustment.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(4)Total income includes net interest income and other income, excluding non-recurring items.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(5)Operating expense does not include mandatory employee profit sharing expense nor provisions for other assets received in lieu of loan repayment and non-recurring items.</w:t>
      </w:r>
    </w:p>
    <w:p>
      <w:pPr>
        <w:sectPr>
          <w:pgSz w:w="11900" w:h="16838" w:orient="portrait"/>
          <w:cols w:equalWidth="0" w:num="1">
            <w:col w:w="11420"/>
          </w:cols>
          <w:pgMar w:left="240" w:top="131" w:right="239" w:bottom="1440" w:gutter="0" w:footer="0" w:header="0"/>
        </w:sectPr>
      </w:pPr>
    </w:p>
    <w:bookmarkStart w:id="18" w:name="page19"/>
    <w:bookmarkEnd w:id="18"/>
    <w:p>
      <w:pPr>
        <w:jc w:val="center"/>
        <w:ind w:right="-131"/>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1564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645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32"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auto"/>
                <w:w w:val="95"/>
              </w:rPr>
              <w:t>Three months ended</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3"/>
          </w:tcPr>
          <w:p>
            <w:pPr>
              <w:jc w:val="right"/>
              <w:ind w:right="472"/>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31.12.02</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30.09.03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31.12.03</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31.12.03</w:t>
            </w:r>
          </w:p>
        </w:tc>
        <w:tc>
          <w:tcPr>
            <w:tcW w:w="0" w:type="dxa"/>
            <w:vAlign w:val="bottom"/>
          </w:tcPr>
          <w:p>
            <w:pPr>
              <w:spacing w:after="0"/>
              <w:rPr>
                <w:sz w:val="1"/>
                <w:szCs w:val="1"/>
                <w:color w:val="auto"/>
              </w:rPr>
            </w:pPr>
          </w:p>
        </w:tc>
      </w:tr>
      <w:tr>
        <w:trPr>
          <w:trHeight w:val="164"/>
        </w:trPr>
        <w:tc>
          <w:tcPr>
            <w:tcW w:w="4500" w:type="dxa"/>
            <w:vAlign w:val="bottom"/>
            <w:vMerge w:val="restart"/>
          </w:tcPr>
          <w:p>
            <w:pPr>
              <w:spacing w:after="0"/>
              <w:rPr>
                <w:sz w:val="20"/>
                <w:szCs w:val="20"/>
                <w:color w:val="auto"/>
              </w:rPr>
            </w:pPr>
            <w:r>
              <w:rPr>
                <w:rFonts w:ascii="Arial" w:cs="Arial" w:eastAsia="Arial" w:hAnsi="Arial"/>
                <w:sz w:val="18"/>
                <w:szCs w:val="18"/>
                <w:color w:val="auto"/>
              </w:rPr>
              <w:t>Results</w:t>
            </w:r>
          </w:p>
        </w:tc>
        <w:tc>
          <w:tcPr>
            <w:tcW w:w="12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5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Net Interest Income (w/o dividends)</w:t>
            </w:r>
          </w:p>
        </w:tc>
        <w:tc>
          <w:tcPr>
            <w:tcW w:w="1280" w:type="dxa"/>
            <w:vAlign w:val="bottom"/>
          </w:tcPr>
          <w:p>
            <w:pPr>
              <w:jc w:val="right"/>
              <w:spacing w:after="0"/>
              <w:rPr>
                <w:sz w:val="20"/>
                <w:szCs w:val="20"/>
                <w:color w:val="auto"/>
              </w:rPr>
            </w:pPr>
            <w:r>
              <w:rPr>
                <w:rFonts w:ascii="Arial" w:cs="Arial" w:eastAsia="Arial" w:hAnsi="Arial"/>
                <w:sz w:val="18"/>
                <w:szCs w:val="18"/>
                <w:color w:val="auto"/>
              </w:rPr>
              <w:t>3,934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3,601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17,394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Dividend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4,355</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Provisions for credit and market risks</w:t>
            </w:r>
          </w:p>
        </w:tc>
        <w:tc>
          <w:tcPr>
            <w:tcW w:w="1280" w:type="dxa"/>
            <w:vAlign w:val="bottom"/>
          </w:tcPr>
          <w:p>
            <w:pPr>
              <w:jc w:val="right"/>
              <w:spacing w:after="0"/>
              <w:rPr>
                <w:sz w:val="20"/>
                <w:szCs w:val="20"/>
                <w:color w:val="auto"/>
              </w:rPr>
            </w:pPr>
            <w:r>
              <w:rPr>
                <w:rFonts w:ascii="Arial" w:cs="Arial" w:eastAsia="Arial" w:hAnsi="Arial"/>
                <w:sz w:val="18"/>
                <w:szCs w:val="18"/>
                <w:color w:val="auto"/>
              </w:rPr>
              <w:t>2,987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1,894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9,439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Commissions and fee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925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5,290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Other Income(1)</w:t>
            </w:r>
          </w:p>
        </w:tc>
        <w:tc>
          <w:tcPr>
            <w:tcW w:w="1280" w:type="dxa"/>
            <w:vAlign w:val="bottom"/>
          </w:tcPr>
          <w:p>
            <w:pPr>
              <w:jc w:val="right"/>
              <w:spacing w:after="0"/>
              <w:rPr>
                <w:sz w:val="20"/>
                <w:szCs w:val="20"/>
                <w:color w:val="auto"/>
              </w:rPr>
            </w:pPr>
            <w:r>
              <w:rPr>
                <w:rFonts w:ascii="Arial" w:cs="Arial" w:eastAsia="Arial" w:hAnsi="Arial"/>
                <w:sz w:val="18"/>
                <w:szCs w:val="18"/>
                <w:color w:val="auto"/>
              </w:rPr>
              <w:t>242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(2,545)</w:t>
            </w:r>
          </w:p>
        </w:tc>
        <w:tc>
          <w:tcPr>
            <w:tcW w:w="1300" w:type="dxa"/>
            <w:vAlign w:val="bottom"/>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Operating Expense</w:t>
            </w:r>
          </w:p>
        </w:tc>
        <w:tc>
          <w:tcPr>
            <w:tcW w:w="1280" w:type="dxa"/>
            <w:vAlign w:val="bottom"/>
          </w:tcPr>
          <w:p>
            <w:pPr>
              <w:jc w:val="right"/>
              <w:spacing w:after="0"/>
              <w:rPr>
                <w:sz w:val="20"/>
                <w:szCs w:val="20"/>
                <w:color w:val="auto"/>
              </w:rPr>
            </w:pPr>
            <w:r>
              <w:rPr>
                <w:rFonts w:ascii="Arial" w:cs="Arial" w:eastAsia="Arial" w:hAnsi="Arial"/>
                <w:sz w:val="18"/>
                <w:szCs w:val="18"/>
                <w:color w:val="auto"/>
              </w:rPr>
              <w:t>1,965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1,716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9,287</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5,768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Net Income per share (US$)</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540"/>
        </w:trPr>
        <w:tc>
          <w:tcPr>
            <w:tcW w:w="4500" w:type="dxa"/>
            <w:vAlign w:val="bottom"/>
          </w:tcPr>
          <w:p>
            <w:pPr>
              <w:spacing w:after="0"/>
              <w:rPr>
                <w:sz w:val="20"/>
                <w:szCs w:val="20"/>
                <w:color w:val="auto"/>
              </w:rPr>
            </w:pPr>
            <w:r>
              <w:rPr>
                <w:rFonts w:ascii="Arial" w:cs="Arial" w:eastAsia="Arial" w:hAnsi="Arial"/>
                <w:sz w:val="18"/>
                <w:szCs w:val="18"/>
                <w:color w:val="auto"/>
              </w:rPr>
              <w:t>Balance Sheets (end of period)</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666,522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746,885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776,323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666,522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776,323</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Loan portfolio, net</w:t>
            </w:r>
          </w:p>
        </w:tc>
        <w:tc>
          <w:tcPr>
            <w:tcW w:w="1280" w:type="dxa"/>
            <w:vAlign w:val="bottom"/>
          </w:tcPr>
          <w:p>
            <w:pPr>
              <w:jc w:val="right"/>
              <w:spacing w:after="0"/>
              <w:rPr>
                <w:sz w:val="20"/>
                <w:szCs w:val="20"/>
                <w:color w:val="auto"/>
              </w:rPr>
            </w:pPr>
            <w:r>
              <w:rPr>
                <w:rFonts w:ascii="Arial" w:cs="Arial" w:eastAsia="Arial" w:hAnsi="Arial"/>
                <w:sz w:val="18"/>
                <w:szCs w:val="18"/>
                <w:color w:val="auto"/>
              </w:rPr>
              <w:t>160,483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151,123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152,388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160,483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152,388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Marketable securities and investments</w:t>
            </w:r>
          </w:p>
        </w:tc>
        <w:tc>
          <w:tcPr>
            <w:tcW w:w="1280" w:type="dxa"/>
            <w:vAlign w:val="bottom"/>
          </w:tcPr>
          <w:p>
            <w:pPr>
              <w:jc w:val="right"/>
              <w:spacing w:after="0"/>
              <w:rPr>
                <w:sz w:val="20"/>
                <w:szCs w:val="20"/>
                <w:color w:val="auto"/>
              </w:rPr>
            </w:pPr>
            <w:r>
              <w:rPr>
                <w:rFonts w:ascii="Arial" w:cs="Arial" w:eastAsia="Arial" w:hAnsi="Arial"/>
                <w:sz w:val="18"/>
                <w:szCs w:val="18"/>
                <w:color w:val="auto"/>
              </w:rPr>
              <w:t>313,828</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423,214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430,137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313,828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430,137</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Total Deposits</w:t>
            </w:r>
          </w:p>
        </w:tc>
        <w:tc>
          <w:tcPr>
            <w:tcW w:w="1280" w:type="dxa"/>
            <w:vAlign w:val="bottom"/>
          </w:tcPr>
          <w:p>
            <w:pPr>
              <w:jc w:val="right"/>
              <w:spacing w:after="0"/>
              <w:rPr>
                <w:sz w:val="20"/>
                <w:szCs w:val="20"/>
                <w:color w:val="auto"/>
              </w:rPr>
            </w:pPr>
            <w:r>
              <w:rPr>
                <w:rFonts w:ascii="Arial" w:cs="Arial" w:eastAsia="Arial" w:hAnsi="Arial"/>
                <w:sz w:val="18"/>
                <w:szCs w:val="18"/>
                <w:color w:val="auto"/>
              </w:rPr>
              <w:t>544,346</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584,526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629,354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544,346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629,354</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Shareholders' equity</w:t>
            </w:r>
          </w:p>
        </w:tc>
        <w:tc>
          <w:tcPr>
            <w:tcW w:w="1280" w:type="dxa"/>
            <w:vAlign w:val="bottom"/>
          </w:tcPr>
          <w:p>
            <w:pPr>
              <w:jc w:val="right"/>
              <w:spacing w:after="0"/>
              <w:rPr>
                <w:sz w:val="20"/>
                <w:szCs w:val="20"/>
                <w:color w:val="auto"/>
              </w:rPr>
            </w:pPr>
            <w:r>
              <w:rPr>
                <w:rFonts w:ascii="Arial" w:cs="Arial" w:eastAsia="Arial" w:hAnsi="Arial"/>
                <w:sz w:val="18"/>
                <w:szCs w:val="18"/>
                <w:color w:val="auto"/>
              </w:rPr>
              <w:t>110,260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129,467</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110,260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112,870</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Funds under administration</w:t>
            </w:r>
          </w:p>
        </w:tc>
        <w:tc>
          <w:tcPr>
            <w:tcW w:w="1280" w:type="dxa"/>
            <w:vAlign w:val="bottom"/>
          </w:tcPr>
          <w:p>
            <w:pPr>
              <w:jc w:val="right"/>
              <w:spacing w:after="0"/>
              <w:rPr>
                <w:sz w:val="20"/>
                <w:szCs w:val="20"/>
                <w:color w:val="auto"/>
              </w:rPr>
            </w:pPr>
            <w:r>
              <w:rPr>
                <w:rFonts w:ascii="Arial" w:cs="Arial" w:eastAsia="Arial" w:hAnsi="Arial"/>
                <w:sz w:val="18"/>
                <w:szCs w:val="18"/>
                <w:color w:val="auto"/>
              </w:rPr>
              <w:t>549,051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597,951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664,143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549,051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664,143</w:t>
            </w:r>
          </w:p>
        </w:tc>
        <w:tc>
          <w:tcPr>
            <w:tcW w:w="0" w:type="dxa"/>
            <w:vAlign w:val="bottom"/>
          </w:tcPr>
          <w:p>
            <w:pPr>
              <w:spacing w:after="0"/>
              <w:rPr>
                <w:sz w:val="1"/>
                <w:szCs w:val="1"/>
                <w:color w:val="auto"/>
              </w:rPr>
            </w:pPr>
          </w:p>
        </w:tc>
      </w:tr>
      <w:tr>
        <w:trPr>
          <w:trHeight w:val="540"/>
        </w:trPr>
        <w:tc>
          <w:tcPr>
            <w:tcW w:w="4500" w:type="dxa"/>
            <w:vAlign w:val="bottom"/>
          </w:tcPr>
          <w:p>
            <w:pPr>
              <w:spacing w:after="0"/>
              <w:rPr>
                <w:sz w:val="20"/>
                <w:szCs w:val="20"/>
                <w:color w:val="auto"/>
              </w:rPr>
            </w:pPr>
            <w:r>
              <w:rPr>
                <w:rFonts w:ascii="Arial" w:cs="Arial" w:eastAsia="Arial" w:hAnsi="Arial"/>
                <w:sz w:val="18"/>
                <w:szCs w:val="18"/>
                <w:color w:val="auto"/>
              </w:rPr>
              <w:t>Ratios (2)</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Net interest margin / interest earning assets (3)(4)(5)</w:t>
            </w: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Return on average stockholders' equity(4)</w:t>
            </w: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Return on average total assets(4)</w:t>
            </w: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tcPr>
          <w:p>
            <w:pPr>
              <w:jc w:val="right"/>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Operating expense / total(6)</w:t>
            </w:r>
          </w:p>
        </w:tc>
        <w:tc>
          <w:tcPr>
            <w:tcW w:w="1280" w:type="dxa"/>
            <w:vAlign w:val="bottom"/>
          </w:tcPr>
          <w:p>
            <w:pPr>
              <w:jc w:val="right"/>
              <w:spacing w:after="0"/>
              <w:rPr>
                <w:sz w:val="20"/>
                <w:szCs w:val="20"/>
                <w:color w:val="auto"/>
              </w:rPr>
            </w:pPr>
            <w:r>
              <w:rPr>
                <w:rFonts w:ascii="Arial" w:cs="Arial" w:eastAsia="Arial" w:hAnsi="Arial"/>
                <w:sz w:val="18"/>
                <w:szCs w:val="18"/>
                <w:color w:val="auto"/>
              </w:rPr>
              <w:t>38.5%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Operating expense / average total assets(4)</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0"/>
                <w:szCs w:val="20"/>
                <w:color w:val="auto"/>
              </w:rPr>
            </w:pPr>
            <w:r>
              <w:rPr>
                <w:rFonts w:ascii="Arial" w:cs="Arial" w:eastAsia="Arial" w:hAnsi="Arial"/>
                <w:sz w:val="18"/>
                <w:szCs w:val="18"/>
                <w:color w:val="auto"/>
              </w:rPr>
              <w:t>Operating expense / average total assets + funds under</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management(4)</w:t>
            </w: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-5224780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-5224780</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-4864735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-4864735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-4864735</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-4864735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-4864735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91440</wp:posOffset>
            </wp:positionV>
            <wp:extent cx="722503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realized gains in securities.</w:t>
      </w:r>
    </w:p>
    <w:p>
      <w:pPr>
        <w:spacing w:after="0" w:line="15"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Averages determined from monthly balances.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considering dividend income and dividend earning assets.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considering provisions for investments.</w:t>
      </w:r>
    </w:p>
    <w:p>
      <w:pPr>
        <w:sectPr>
          <w:pgSz w:w="11900" w:h="16838" w:orient="portrait"/>
          <w:cols w:equalWidth="0" w:num="1">
            <w:col w:w="11272"/>
          </w:cols>
          <w:pgMar w:left="248" w:top="131"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EL PACIFICO-PERUANO SUIZA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(Constant Nuevos Soles as of December 31, 2003,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gridSpan w:val="5"/>
          </w:tcPr>
          <w:p>
            <w:pPr>
              <w:jc w:val="right"/>
              <w:ind w:right="20"/>
              <w:spacing w:after="0"/>
              <w:rPr>
                <w:sz w:val="20"/>
                <w:szCs w:val="20"/>
                <w:color w:val="auto"/>
              </w:rPr>
            </w:pPr>
            <w:r>
              <w:rPr>
                <w:rFonts w:ascii="Arial" w:cs="Arial" w:eastAsia="Arial" w:hAnsi="Arial"/>
                <w:sz w:val="18"/>
                <w:szCs w:val="18"/>
                <w:color w:val="auto"/>
                <w:w w:val="88"/>
              </w:rPr>
              <w:t>As of and for the three month</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color w:val="auto"/>
                <w:w w:val="90"/>
              </w:rPr>
              <w:t>As of and for the twelve month</w:t>
            </w:r>
          </w:p>
        </w:tc>
      </w:tr>
      <w:tr>
        <w:trPr>
          <w:trHeight w:val="222"/>
        </w:trPr>
        <w:tc>
          <w:tcPr>
            <w:tcW w:w="4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8"/>
                <w:szCs w:val="18"/>
                <w:color w:val="auto"/>
              </w:rPr>
              <w:t>period ended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period ended</w:t>
            </w:r>
          </w:p>
        </w:tc>
        <w:tc>
          <w:tcPr>
            <w:tcW w:w="980" w:type="dxa"/>
            <w:vAlign w:val="bottom"/>
          </w:tcPr>
          <w:p>
            <w:pPr>
              <w:spacing w:after="0"/>
              <w:rPr>
                <w:sz w:val="19"/>
                <w:szCs w:val="19"/>
                <w:color w:val="auto"/>
              </w:rPr>
            </w:pPr>
          </w:p>
        </w:tc>
      </w:tr>
      <w:tr>
        <w:trPr>
          <w:trHeight w:val="164"/>
        </w:trPr>
        <w:tc>
          <w:tcPr>
            <w:tcW w:w="422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r>
      <w:tr>
        <w:trPr>
          <w:trHeight w:val="383"/>
        </w:trPr>
        <w:tc>
          <w:tcPr>
            <w:tcW w:w="42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31.12.02</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30.09.03</w:t>
            </w:r>
          </w:p>
        </w:tc>
        <w:tc>
          <w:tcPr>
            <w:tcW w:w="6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31.12.03</w:t>
            </w:r>
          </w:p>
        </w:tc>
        <w:tc>
          <w:tcPr>
            <w:tcW w:w="4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31.12.02</w:t>
            </w:r>
          </w:p>
        </w:tc>
        <w:tc>
          <w:tcPr>
            <w:tcW w:w="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31.12.03</w:t>
            </w:r>
          </w:p>
        </w:tc>
        <w:tc>
          <w:tcPr>
            <w:tcW w:w="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31.12.03</w:t>
            </w:r>
          </w:p>
        </w:tc>
      </w:tr>
      <w:tr>
        <w:trPr>
          <w:trHeight w:val="164"/>
        </w:trPr>
        <w:tc>
          <w:tcPr>
            <w:tcW w:w="422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r>
      <w:tr>
        <w:trPr>
          <w:trHeight w:val="383"/>
        </w:trPr>
        <w:tc>
          <w:tcPr>
            <w:tcW w:w="4220" w:type="dxa"/>
            <w:vAlign w:val="bottom"/>
          </w:tcPr>
          <w:p>
            <w:pPr>
              <w:spacing w:after="0"/>
              <w:rPr>
                <w:sz w:val="20"/>
                <w:szCs w:val="20"/>
                <w:color w:val="auto"/>
              </w:rPr>
            </w:pPr>
            <w:r>
              <w:rPr>
                <w:rFonts w:ascii="Arial" w:cs="Arial" w:eastAsia="Arial" w:hAnsi="Arial"/>
                <w:sz w:val="18"/>
                <w:szCs w:val="18"/>
                <w:color w:val="auto"/>
              </w:rPr>
              <w:t>Results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w w:val="91"/>
              </w:rPr>
              <w:t>US$000(1)</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US$000(1)</w:t>
            </w:r>
          </w:p>
        </w:tc>
      </w:tr>
      <w:tr>
        <w:trPr>
          <w:trHeight w:val="540"/>
        </w:trPr>
        <w:tc>
          <w:tcPr>
            <w:tcW w:w="4220" w:type="dxa"/>
            <w:vAlign w:val="bottom"/>
          </w:tcPr>
          <w:p>
            <w:pPr>
              <w:spacing w:after="0"/>
              <w:rPr>
                <w:sz w:val="20"/>
                <w:szCs w:val="20"/>
                <w:color w:val="auto"/>
              </w:rPr>
            </w:pPr>
            <w:r>
              <w:rPr>
                <w:rFonts w:ascii="Arial" w:cs="Arial" w:eastAsia="Arial" w:hAnsi="Arial"/>
                <w:sz w:val="18"/>
                <w:szCs w:val="18"/>
                <w:color w:val="auto"/>
              </w:rPr>
              <w:t>Total gross Premiums</w:t>
            </w:r>
          </w:p>
        </w:tc>
        <w:tc>
          <w:tcPr>
            <w:tcW w:w="980" w:type="dxa"/>
            <w:vAlign w:val="bottom"/>
          </w:tcPr>
          <w:p>
            <w:pPr>
              <w:jc w:val="right"/>
              <w:spacing w:after="0"/>
              <w:rPr>
                <w:sz w:val="20"/>
                <w:szCs w:val="20"/>
                <w:color w:val="auto"/>
              </w:rPr>
            </w:pPr>
            <w:r>
              <w:rPr>
                <w:rFonts w:ascii="Arial" w:cs="Arial" w:eastAsia="Arial" w:hAnsi="Arial"/>
                <w:sz w:val="18"/>
                <w:szCs w:val="18"/>
                <w:color w:val="auto"/>
              </w:rPr>
              <w:t>201,212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274,897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211,688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$61,129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876,242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1,001,664</w:t>
            </w:r>
          </w:p>
        </w:tc>
        <w:tc>
          <w:tcPr>
            <w:tcW w:w="980" w:type="dxa"/>
            <w:vAlign w:val="bottom"/>
          </w:tcPr>
          <w:p>
            <w:pPr>
              <w:jc w:val="right"/>
              <w:spacing w:after="0"/>
              <w:rPr>
                <w:sz w:val="20"/>
                <w:szCs w:val="20"/>
                <w:color w:val="auto"/>
              </w:rPr>
            </w:pPr>
            <w:r>
              <w:rPr>
                <w:rFonts w:ascii="Arial" w:cs="Arial" w:eastAsia="Arial" w:hAnsi="Arial"/>
                <w:sz w:val="18"/>
                <w:szCs w:val="18"/>
                <w:color w:val="auto"/>
              </w:rPr>
              <w:t>$289,248</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Premiums Earned</w:t>
            </w:r>
          </w:p>
        </w:tc>
        <w:tc>
          <w:tcPr>
            <w:tcW w:w="980" w:type="dxa"/>
            <w:vAlign w:val="bottom"/>
          </w:tcPr>
          <w:p>
            <w:pPr>
              <w:jc w:val="right"/>
              <w:spacing w:after="0"/>
              <w:rPr>
                <w:sz w:val="20"/>
                <w:szCs w:val="20"/>
                <w:color w:val="auto"/>
              </w:rPr>
            </w:pPr>
            <w:r>
              <w:rPr>
                <w:rFonts w:ascii="Arial" w:cs="Arial" w:eastAsia="Arial" w:hAnsi="Arial"/>
                <w:sz w:val="18"/>
                <w:szCs w:val="18"/>
                <w:color w:val="auto"/>
              </w:rPr>
              <w:t>123,128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132,640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105,877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$30,574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492,683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482,676</w:t>
            </w:r>
          </w:p>
        </w:tc>
        <w:tc>
          <w:tcPr>
            <w:tcW w:w="980" w:type="dxa"/>
            <w:vAlign w:val="bottom"/>
          </w:tcPr>
          <w:p>
            <w:pPr>
              <w:jc w:val="right"/>
              <w:spacing w:after="0"/>
              <w:rPr>
                <w:sz w:val="20"/>
                <w:szCs w:val="20"/>
                <w:color w:val="auto"/>
              </w:rPr>
            </w:pPr>
            <w:r>
              <w:rPr>
                <w:rFonts w:ascii="Arial" w:cs="Arial" w:eastAsia="Arial" w:hAnsi="Arial"/>
                <w:sz w:val="18"/>
                <w:szCs w:val="18"/>
                <w:color w:val="auto"/>
              </w:rPr>
              <w:t>$139,381</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Change in Reserves</w:t>
            </w:r>
          </w:p>
        </w:tc>
        <w:tc>
          <w:tcPr>
            <w:tcW w:w="980" w:type="dxa"/>
            <w:vAlign w:val="bottom"/>
          </w:tcPr>
          <w:p>
            <w:pPr>
              <w:jc w:val="right"/>
              <w:spacing w:after="0"/>
              <w:rPr>
                <w:sz w:val="20"/>
                <w:szCs w:val="20"/>
                <w:color w:val="auto"/>
              </w:rPr>
            </w:pPr>
            <w:r>
              <w:rPr>
                <w:rFonts w:ascii="Arial" w:cs="Arial" w:eastAsia="Arial" w:hAnsi="Arial"/>
                <w:sz w:val="18"/>
                <w:szCs w:val="18"/>
                <w:color w:val="auto"/>
              </w:rPr>
              <w:t>29,141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54,501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44,602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$12,879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120,430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226,760</w:t>
            </w:r>
          </w:p>
        </w:tc>
        <w:tc>
          <w:tcPr>
            <w:tcW w:w="980" w:type="dxa"/>
            <w:vAlign w:val="bottom"/>
          </w:tcPr>
          <w:p>
            <w:pPr>
              <w:jc w:val="right"/>
              <w:spacing w:after="0"/>
              <w:rPr>
                <w:sz w:val="20"/>
                <w:szCs w:val="20"/>
                <w:color w:val="auto"/>
              </w:rPr>
            </w:pPr>
            <w:r>
              <w:rPr>
                <w:rFonts w:ascii="Arial" w:cs="Arial" w:eastAsia="Arial" w:hAnsi="Arial"/>
                <w:sz w:val="18"/>
                <w:szCs w:val="18"/>
                <w:color w:val="auto"/>
              </w:rPr>
              <w:t>$65,481</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980" w:type="dxa"/>
            <w:vAlign w:val="bottom"/>
          </w:tcPr>
          <w:p>
            <w:pPr>
              <w:jc w:val="right"/>
              <w:spacing w:after="0"/>
              <w:rPr>
                <w:sz w:val="20"/>
                <w:szCs w:val="20"/>
                <w:color w:val="auto"/>
              </w:rPr>
            </w:pPr>
            <w:r>
              <w:rPr>
                <w:rFonts w:ascii="Arial" w:cs="Arial" w:eastAsia="Arial" w:hAnsi="Arial"/>
                <w:sz w:val="18"/>
                <w:szCs w:val="18"/>
                <w:color w:val="auto"/>
              </w:rPr>
              <w:t>14,034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31,297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73,701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66,481</w:t>
            </w:r>
          </w:p>
        </w:tc>
        <w:tc>
          <w:tcPr>
            <w:tcW w:w="980" w:type="dxa"/>
            <w:vAlign w:val="bottom"/>
          </w:tcPr>
          <w:p>
            <w:pPr>
              <w:jc w:val="right"/>
              <w:spacing w:after="0"/>
              <w:rPr>
                <w:sz w:val="20"/>
                <w:szCs w:val="20"/>
                <w:color w:val="auto"/>
              </w:rPr>
            </w:pPr>
            <w:r>
              <w:rPr>
                <w:rFonts w:ascii="Arial" w:cs="Arial" w:eastAsia="Arial" w:hAnsi="Arial"/>
                <w:sz w:val="18"/>
                <w:szCs w:val="18"/>
                <w:color w:val="auto"/>
              </w:rPr>
              <w:t>$19,197</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Financial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22,579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18,981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25,317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88,831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112,341</w:t>
            </w:r>
          </w:p>
        </w:tc>
        <w:tc>
          <w:tcPr>
            <w:tcW w:w="980" w:type="dxa"/>
            <w:vAlign w:val="bottom"/>
          </w:tcPr>
          <w:p>
            <w:pPr>
              <w:jc w:val="right"/>
              <w:spacing w:after="0"/>
              <w:rPr>
                <w:sz w:val="20"/>
                <w:szCs w:val="20"/>
                <w:color w:val="auto"/>
              </w:rPr>
            </w:pPr>
            <w:r>
              <w:rPr>
                <w:rFonts w:ascii="Arial" w:cs="Arial" w:eastAsia="Arial" w:hAnsi="Arial"/>
                <w:sz w:val="18"/>
                <w:szCs w:val="18"/>
                <w:color w:val="auto"/>
              </w:rPr>
              <w:t>$32,440</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General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31,278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28,512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32,447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$9,370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111,615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117,226</w:t>
            </w:r>
          </w:p>
        </w:tc>
        <w:tc>
          <w:tcPr>
            <w:tcW w:w="980" w:type="dxa"/>
            <w:vAlign w:val="bottom"/>
          </w:tcPr>
          <w:p>
            <w:pPr>
              <w:jc w:val="right"/>
              <w:spacing w:after="0"/>
              <w:rPr>
                <w:sz w:val="20"/>
                <w:szCs w:val="20"/>
                <w:color w:val="auto"/>
              </w:rPr>
            </w:pPr>
            <w:r>
              <w:rPr>
                <w:rFonts w:ascii="Arial" w:cs="Arial" w:eastAsia="Arial" w:hAnsi="Arial"/>
                <w:sz w:val="18"/>
                <w:szCs w:val="18"/>
                <w:color w:val="auto"/>
              </w:rPr>
              <w:t>$33,851</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1,030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16,059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(6,771)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36,258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38,386</w:t>
            </w:r>
          </w:p>
        </w:tc>
        <w:tc>
          <w:tcPr>
            <w:tcW w:w="980" w:type="dxa"/>
            <w:vAlign w:val="bottom"/>
          </w:tcPr>
          <w:p>
            <w:pPr>
              <w:jc w:val="right"/>
              <w:spacing w:after="0"/>
              <w:rPr>
                <w:sz w:val="20"/>
                <w:szCs w:val="20"/>
                <w:color w:val="auto"/>
              </w:rPr>
            </w:pPr>
            <w:r>
              <w:rPr>
                <w:rFonts w:ascii="Arial" w:cs="Arial" w:eastAsia="Arial" w:hAnsi="Arial"/>
                <w:sz w:val="18"/>
                <w:szCs w:val="18"/>
                <w:color w:val="auto"/>
              </w:rPr>
              <w:t>$11,085</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 per share (S/.)(2)</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0.68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540"/>
        </w:trPr>
        <w:tc>
          <w:tcPr>
            <w:tcW w:w="4220" w:type="dxa"/>
            <w:vAlign w:val="bottom"/>
          </w:tcPr>
          <w:p>
            <w:pPr>
              <w:spacing w:after="0"/>
              <w:rPr>
                <w:sz w:val="20"/>
                <w:szCs w:val="20"/>
                <w:color w:val="auto"/>
              </w:rPr>
            </w:pPr>
            <w:r>
              <w:rPr>
                <w:rFonts w:ascii="Arial" w:cs="Arial" w:eastAsia="Arial" w:hAnsi="Arial"/>
                <w:sz w:val="18"/>
                <w:szCs w:val="18"/>
                <w:color w:val="auto"/>
              </w:rPr>
              <w:t>Balance Sheets (end of period)</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1,445,114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1,797,221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1,769,285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$510,911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1,445,114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1,769,285</w:t>
            </w:r>
          </w:p>
        </w:tc>
        <w:tc>
          <w:tcPr>
            <w:tcW w:w="980" w:type="dxa"/>
            <w:vAlign w:val="bottom"/>
          </w:tcPr>
          <w:p>
            <w:pPr>
              <w:jc w:val="right"/>
              <w:spacing w:after="0"/>
              <w:rPr>
                <w:sz w:val="20"/>
                <w:szCs w:val="20"/>
                <w:color w:val="auto"/>
              </w:rPr>
            </w:pPr>
            <w:r>
              <w:rPr>
                <w:rFonts w:ascii="Arial" w:cs="Arial" w:eastAsia="Arial" w:hAnsi="Arial"/>
                <w:sz w:val="18"/>
                <w:szCs w:val="18"/>
                <w:color w:val="auto"/>
              </w:rPr>
              <w:t>$510,911</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Investments in Secur. and Real estate</w:t>
            </w:r>
          </w:p>
        </w:tc>
        <w:tc>
          <w:tcPr>
            <w:tcW w:w="980" w:type="dxa"/>
            <w:vAlign w:val="bottom"/>
          </w:tcPr>
          <w:p>
            <w:pPr>
              <w:jc w:val="right"/>
              <w:spacing w:after="0"/>
              <w:rPr>
                <w:sz w:val="20"/>
                <w:szCs w:val="20"/>
                <w:color w:val="auto"/>
              </w:rPr>
            </w:pPr>
            <w:r>
              <w:rPr>
                <w:rFonts w:ascii="Arial" w:cs="Arial" w:eastAsia="Arial" w:hAnsi="Arial"/>
                <w:sz w:val="18"/>
                <w:szCs w:val="18"/>
                <w:color w:val="auto"/>
              </w:rPr>
              <w:t>1,044,805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1,275,554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1,317,181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$380,358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1,044,805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1,317,181</w:t>
            </w:r>
          </w:p>
        </w:tc>
        <w:tc>
          <w:tcPr>
            <w:tcW w:w="980" w:type="dxa"/>
            <w:vAlign w:val="bottom"/>
          </w:tcPr>
          <w:p>
            <w:pPr>
              <w:jc w:val="right"/>
              <w:spacing w:after="0"/>
              <w:rPr>
                <w:sz w:val="20"/>
                <w:szCs w:val="20"/>
                <w:color w:val="auto"/>
              </w:rPr>
            </w:pPr>
            <w:r>
              <w:rPr>
                <w:rFonts w:ascii="Arial" w:cs="Arial" w:eastAsia="Arial" w:hAnsi="Arial"/>
                <w:sz w:val="18"/>
                <w:szCs w:val="18"/>
                <w:color w:val="auto"/>
              </w:rPr>
              <w:t>$380,358</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Technical Reserves</w:t>
            </w:r>
          </w:p>
        </w:tc>
        <w:tc>
          <w:tcPr>
            <w:tcW w:w="980" w:type="dxa"/>
            <w:vAlign w:val="bottom"/>
          </w:tcPr>
          <w:p>
            <w:pPr>
              <w:jc w:val="right"/>
              <w:spacing w:after="0"/>
              <w:rPr>
                <w:sz w:val="20"/>
                <w:szCs w:val="20"/>
                <w:color w:val="auto"/>
              </w:rPr>
            </w:pPr>
            <w:r>
              <w:rPr>
                <w:rFonts w:ascii="Arial" w:cs="Arial" w:eastAsia="Arial" w:hAnsi="Arial"/>
                <w:sz w:val="18"/>
                <w:szCs w:val="18"/>
                <w:color w:val="auto"/>
              </w:rPr>
              <w:t>911,950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1,135,237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1,171,565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$338,309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911,950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1,171,565</w:t>
            </w:r>
          </w:p>
        </w:tc>
        <w:tc>
          <w:tcPr>
            <w:tcW w:w="980" w:type="dxa"/>
            <w:vAlign w:val="bottom"/>
          </w:tcPr>
          <w:p>
            <w:pPr>
              <w:jc w:val="right"/>
              <w:spacing w:after="0"/>
              <w:rPr>
                <w:sz w:val="20"/>
                <w:szCs w:val="20"/>
                <w:color w:val="auto"/>
              </w:rPr>
            </w:pPr>
            <w:r>
              <w:rPr>
                <w:rFonts w:ascii="Arial" w:cs="Arial" w:eastAsia="Arial" w:hAnsi="Arial"/>
                <w:sz w:val="18"/>
                <w:szCs w:val="18"/>
                <w:color w:val="auto"/>
              </w:rPr>
              <w:t>$338,309</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Equity</w:t>
            </w:r>
          </w:p>
        </w:tc>
        <w:tc>
          <w:tcPr>
            <w:tcW w:w="980" w:type="dxa"/>
            <w:vAlign w:val="bottom"/>
          </w:tcPr>
          <w:p>
            <w:pPr>
              <w:jc w:val="right"/>
              <w:spacing w:after="0"/>
              <w:rPr>
                <w:sz w:val="20"/>
                <w:szCs w:val="20"/>
                <w:color w:val="auto"/>
              </w:rPr>
            </w:pPr>
            <w:r>
              <w:rPr>
                <w:rFonts w:ascii="Arial" w:cs="Arial" w:eastAsia="Arial" w:hAnsi="Arial"/>
                <w:sz w:val="18"/>
                <w:szCs w:val="18"/>
                <w:color w:val="auto"/>
              </w:rPr>
              <w:t>341,200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384,833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375,925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$108,555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341,200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375,925</w:t>
            </w:r>
          </w:p>
        </w:tc>
        <w:tc>
          <w:tcPr>
            <w:tcW w:w="980" w:type="dxa"/>
            <w:vAlign w:val="bottom"/>
          </w:tcPr>
          <w:p>
            <w:pPr>
              <w:jc w:val="right"/>
              <w:spacing w:after="0"/>
              <w:rPr>
                <w:sz w:val="20"/>
                <w:szCs w:val="20"/>
                <w:color w:val="auto"/>
              </w:rPr>
            </w:pPr>
            <w:r>
              <w:rPr>
                <w:rFonts w:ascii="Arial" w:cs="Arial" w:eastAsia="Arial" w:hAnsi="Arial"/>
                <w:sz w:val="18"/>
                <w:szCs w:val="18"/>
                <w:color w:val="auto"/>
              </w:rPr>
              <w:t>$108,555</w:t>
            </w:r>
          </w:p>
        </w:tc>
      </w:tr>
      <w:tr>
        <w:trPr>
          <w:trHeight w:val="540"/>
        </w:trPr>
        <w:tc>
          <w:tcPr>
            <w:tcW w:w="4220" w:type="dxa"/>
            <w:vAlign w:val="bottom"/>
          </w:tcPr>
          <w:p>
            <w:pPr>
              <w:spacing w:after="0"/>
              <w:rPr>
                <w:sz w:val="20"/>
                <w:szCs w:val="20"/>
                <w:color w:val="auto"/>
              </w:rPr>
            </w:pPr>
            <w:r>
              <w:rPr>
                <w:rFonts w:ascii="Arial" w:cs="Arial" w:eastAsia="Arial" w:hAnsi="Arial"/>
                <w:sz w:val="18"/>
                <w:szCs w:val="18"/>
                <w:color w:val="auto"/>
              </w:rPr>
              <w:t>Ratios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22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loss ratio</w:t>
            </w: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Return on avge. equity (3)(4)</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Shareholders' Equity / Total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Increase in Risk Reserves</w:t>
            </w: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Combined Ratio (5)</w:t>
            </w: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87.1%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Claims / Net Premiums Earned</w:t>
            </w:r>
          </w:p>
        </w:tc>
        <w:tc>
          <w:tcPr>
            <w:tcW w:w="980" w:type="dxa"/>
            <w:vAlign w:val="bottom"/>
          </w:tcPr>
          <w:p>
            <w:pPr>
              <w:jc w:val="right"/>
              <w:spacing w:after="0"/>
              <w:rPr>
                <w:sz w:val="20"/>
                <w:szCs w:val="20"/>
                <w:color w:val="auto"/>
              </w:rPr>
            </w:pPr>
            <w:r>
              <w:rPr>
                <w:rFonts w:ascii="Arial" w:cs="Arial" w:eastAsia="Arial" w:hAnsi="Arial"/>
                <w:sz w:val="18"/>
                <w:szCs w:val="18"/>
                <w:color w:val="auto"/>
              </w:rPr>
              <w:t>71.4%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9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-Op. Exp.+Comiss./Net Prems. Earned</w:t>
            </w: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Operating expense/Net Premiums</w:t>
            </w: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Oper. expense / Avge. assets (3)(4)</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-5773420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-5773420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-5413375</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-5413375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-5413375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-5413375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-5413375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-5413375</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-5413375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S/.3.463 per US$1.00.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(2)Based on 23.7 million shares in all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(5)Does not include the life insurance subsidiary Pacifico Vida.</w:t>
      </w:r>
    </w:p>
    <w:p>
      <w:pPr>
        <w:sectPr>
          <w:pgSz w:w="11900" w:h="16838" w:orient="portrait"/>
          <w:cols w:equalWidth="0" w:num="1">
            <w:col w:w="11400"/>
          </w:cols>
          <w:pgMar w:left="240" w:top="13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9,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2019-12-14T05:56:44Z</dcterms:created>
  <dcterms:modified xsi:type="dcterms:W3CDTF">2019-12-14T05:56:44Z</dcterms:modified>
</cp:coreProperties>
</file>