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July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jc w:val="center"/>
        <w:ind w:right="-4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578485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87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July 2,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statements made by our Chief Operating Officer, Mr. Walter Bayly Llona, which were published today Wednesday the 2nd of July in the local newspapers, El Comercio and Gestion, we would like to clarify the following, pursuant to Resolution SMV for Material Events, Restricted Information and Other Communications No. 005-2014-SMV/01.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aspects that Mr. Bayly addressed in relation to Mibanco and Edyficar, both subsidiaries of Credicorp Ltd., are pending approval by the corporate bodies of these companies and are subject to the authorization of the Superintendence of Banking, Insurance and AFPs. In this regard, information will be announced in due course as it comes available.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July 2,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11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2019-12-06T13:49:19Z</dcterms:created>
  <dcterms:modified xsi:type="dcterms:W3CDTF">2019-12-06T13:49:19Z</dcterms:modified>
</cp:coreProperties>
</file>