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January 2022</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53" w:right="1440" w:bottom="1440" w:gutter="0" w:footer="0" w:header="0"/>
        </w:sectPr>
      </w:pPr>
    </w:p>
    <w:bookmarkStart w:id="1" w:name="page2"/>
    <w:bookmarkEnd w:id="1"/>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000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0020" cy="325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January 12,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hereby notify you as a Material Event that S&amp;P Global Ratings has announced its decision to grant the rating of "strong" to the Sustainability Financing Framework (the "Framework") of Banco de Crédito del Perú ("BCP"), as it considers that it is aligned with international sustainability standards, has clearly defined the criteria for eligible projects and incorporates the commitment to report transparently on the use and impact of proceeds. Thus, this subsidiary of Credicorp Ltd. (“Credicorp”) becomes the first bank in Latin America to have a Framework with such rating.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Framework has been developed in line with the Credicorp Group's corporate sustainability strategy and establishes the parameters and processes to be followed by BCP and Mibanco, Banco de la Microempresa S.A. to launch financing instruments for green, social and sustainable purposes such as bonds and commercial papers issued through public or private placements, loans, and repos.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way, the proceeds raised with these instruments will be used for new or existing green projects (renewable energy, green buildings, energy efficiency, sustainable water, wastewater management, sustainable management of living natural resources and sustainable land use) or social projects (Small and Midsize Enterprises -SME- financing and microfinancing, socioeconomic advancement and empowerment represented by empowerment of women and financial literacy to underbanked and underserved individuals, access to essential services to promote financial inclusion, and access to basic infrastructure) that qualify as eligible.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Framework was designed following the international guidelines of the International Capital Market Association (ICMA), the 2021 Green Bond Principles (GBP), the 2021 Social Bond Principles (SBP) and the 2021 Green Loan Principles (GLP).</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January 12,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2022-01-13T05:30:09Z</dcterms:created>
  <dcterms:modified xsi:type="dcterms:W3CDTF">2022-01-13T05:30:09Z</dcterms:modified>
</cp:coreProperties>
</file>